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IB00133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深度学习方法与应用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基于卷积神经网络LeNet的物体识别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熟悉卷积神经网络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掌握LeNet网络的pytorch构建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熟悉CIFAR10的卷积网络物体分类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参考课件代码，利用Pytorch实现LeNet用于CIFAR10物体分类训练并测试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在(1)的基础上调参：学习率策略、批大小，并将训练损失值和测试精度画出进行比较。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Arial"/>
                <w:bCs/>
                <w:sz w:val="24"/>
                <w:lang w:val="en-US" w:eastAsia="zh-CN"/>
              </w:rPr>
              <w:t>基于深度学习的大规模视觉目标分类最早成功的是AlexNet，后续发展到VGGNet、ResNet、DenseNet以及MobileNet等，请简要阐述它们的原理和改进策略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？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  <w:bookmarkStart w:id="0" w:name="_GoBack"/>
            <w:bookmarkEnd w:id="0"/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69267FD"/>
    <w:rsid w:val="0F9E354E"/>
    <w:rsid w:val="13823E31"/>
    <w:rsid w:val="15F635A6"/>
    <w:rsid w:val="1A255F4E"/>
    <w:rsid w:val="1AAA3C74"/>
    <w:rsid w:val="5A821FE6"/>
    <w:rsid w:val="5A845C76"/>
    <w:rsid w:val="5B17525C"/>
    <w:rsid w:val="5BD20818"/>
    <w:rsid w:val="688C1FD0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2022-02-14T04:58:22Z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