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深度学习方法与应用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   文本情感分类  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熟悉Pytorch的torchtext模块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熟悉循环神经网络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熟悉IMDB数据库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熟悉中文分词jieba和中文情感分类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（2）和（3）选做一个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参考课件代码，利用Pytorch的LSTM模型实现英文电影评论IMDB文本数据库的情感分类。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（2）利用（1）部分代码，实现中文购物评论素材online_shopping_10_cats的情感分类。（选做）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参考课件代码，利用Pytorch，实现CNN+LSTM模型进行视频黑烟序列分类。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（选做）</w:t>
            </w: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 w:val="24"/>
                <w:lang w:val="en-US" w:eastAsia="zh-CN"/>
              </w:rPr>
              <w:t>查阅资料，再列出一种循环神经网络的应用案例，并简单阐述原理。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7F057E3"/>
    <w:multiLevelType w:val="singleLevel"/>
    <w:tmpl w:val="07F057E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2952192"/>
    <w:rsid w:val="13823E31"/>
    <w:rsid w:val="15F635A6"/>
    <w:rsid w:val="1980704B"/>
    <w:rsid w:val="1A255F4E"/>
    <w:rsid w:val="1AAA3C74"/>
    <w:rsid w:val="1FF85D26"/>
    <w:rsid w:val="26A5052A"/>
    <w:rsid w:val="28816013"/>
    <w:rsid w:val="3A663D7C"/>
    <w:rsid w:val="5154126B"/>
    <w:rsid w:val="53B95F43"/>
    <w:rsid w:val="5A821FE6"/>
    <w:rsid w:val="5A845C76"/>
    <w:rsid w:val="5B17525C"/>
    <w:rsid w:val="5BD20818"/>
    <w:rsid w:val="688C1FD0"/>
    <w:rsid w:val="6F7E068A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2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2022-02-14T08:45:21Z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