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spacing w:before="0" w:after="160" w:line="240" w:lineRule="auto"/>
        <w:jc w:val="center"/>
      </w:pPr>
      <w:r>
        <w:rPr>
          <w:rFonts w:ascii="楷体" w:hAnsi="楷体" w:eastAsia="楷体" w:cs="楷体"/>
          <w:b/>
          <w:sz w:val="32"/>
        </w:rPr>
        <w:t>从行动计划到行动向量：教师专业差异与课堂管理效能</w:t>
      </w:r>
    </w:p>
    <w:p>
      <w:pPr>
        <w:spacing w:before="40" w:after="40" w:line="312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/>
          <w:sz w:val="24"/>
        </w:rPr>
        <w:t>摘  要：</w:t>
      </w:r>
      <w:r>
        <w:rPr>
          <w:rFonts w:ascii="楷体" w:hAnsi="楷体" w:eastAsia="楷体" w:cs="楷体"/>
          <w:b w:val="0"/>
          <w:sz w:val="24"/>
        </w:rPr>
        <w:t>课堂管理并非对课堂纪律的被动维持，而是教师围绕学习目标组织互动秩序、保护有效学习时间的专业实践。本文以 Doyle 的生态取向课堂管理理论和 Kounin 的课堂管理特征为分析框架，结合专家—新手教师研究，对一则中学英语课堂干扰案例进行反思性分析。文章指出：教师专业差异主要体现在情境监控、行为期望的明确表达、程序与惯例的建立、活动过渡、教学流程控制以及干扰处理六个相互关联的方面。高效课堂管理不是单一技巧的机械叠加，而是教师依据课堂线索，对言语、目光、位置、节奏和任务进行连续而低扰动的协调。由此，教师培养应从静态教案训练转向基于真实情境的观察、解释、决策和复盘，并通过视频分析、同伴观课和指导性实践促进新手教师形成可迁移的课堂管理脚本。</w:t>
      </w:r>
    </w:p>
    <w:p>
      <w:pPr>
        <w:spacing w:before="40" w:after="40" w:line="312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/>
          <w:sz w:val="24"/>
        </w:rPr>
        <w:t>关键词：</w:t>
      </w:r>
      <w:r>
        <w:rPr>
          <w:rFonts w:ascii="楷体" w:hAnsi="楷体" w:eastAsia="楷体" w:cs="楷体"/>
          <w:b w:val="0"/>
          <w:sz w:val="24"/>
        </w:rPr>
        <w:t>课堂管理；教师专业差异；专家—新手教师；行动计划；行动向量；教学反思</w:t>
      </w:r>
    </w:p>
    <w:p>
      <w:pPr>
        <w:keepNext/>
        <w:spacing w:before="160" w:after="40" w:line="300" w:lineRule="auto"/>
        <w:jc w:val="left"/>
        <w:keepLines/>
        <w:widowControl/>
      </w:pPr>
      <w:r>
        <w:rPr>
          <w:rFonts w:ascii="楷体" w:hAnsi="楷体" w:eastAsia="楷体" w:cs="楷体"/>
          <w:b/>
          <w:sz w:val="24"/>
        </w:rPr>
        <w:t>导言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长期以来，课堂管理常被窄化为对违纪行为的即时处置，因而在教学研究与教师培养中没有得到与其重要性相称的关注。事实上，课堂管理不仅包括对干扰的应对和预防，也包括对教学流程、注意分配和互动秩序的持续组织。按照机会—利用模型，学生能否获得充分的有效学习时间，取决于教师所提供的学习机会以及学生对这些机会的实际利用；课堂管理正是连接二者的重要机制。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本文关注的问题是：面对同一教学任务，为什么不同教师会呈现出明显不同的课堂管理效果？文章以“行动计划—行动向量”为概念主线，先澄清教师专业差异如何作用于课堂管理，再以一则中学英语课堂案例进行反思，继而从六个方面归纳教师的管理任务，并回到 Kounin 所概括的五项基本特征。本文采取理论阐释与案例反思相结合的方式，旨在提出可供教师教育与校本研修使用的分析框架，而不把单个案例的观察推论为普遍因果规律。</w:t>
      </w:r>
    </w:p>
    <w:p>
      <w:pPr>
        <w:keepNext/>
        <w:spacing w:before="160" w:after="40" w:line="300" w:lineRule="auto"/>
        <w:jc w:val="left"/>
        <w:keepLines/>
        <w:widowControl/>
      </w:pPr>
      <w:r>
        <w:rPr>
          <w:rFonts w:ascii="楷体" w:hAnsi="楷体" w:eastAsia="楷体" w:cs="楷体"/>
          <w:b/>
          <w:sz w:val="24"/>
        </w:rPr>
        <w:t>一、从专家—新手教师研究开始的思考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Thiel、Richter 与 Ophardt（2012）采用视频资料，对柏林和勃兰登堡中学11位专家教师与6位新手教师的课堂管理表现进行了比较。研究聚焦于学生从小组或个别活动转入全班交流的过渡阶段，并以序列分析重构教师的管理策略。结果表明，专家教师更早识别学生注意力减弱和潜在干扰的线索，能够连续运用多种言语、非言语和副言语信号调节教学流程，并持续激活全班；新手教师则更容易把注意力集中于局部学生，在个别互动中被吸附，从而由教师自身打断教学时间流。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这一研究的重要意义，不在于简单证明“教龄越长，课堂管理越好”，而在于揭示专业经验如何转化为情境识别与即时决策能力。Westerman（1991）同样发现，专家教师能从学生视角分析学习任务，并根据课堂信息调整原有计划；新手教师的计划通常更具体，却较难把教学前、教学中和教学后的判断动态连接起来。由此可见，专家与新手的差异不只在于拥有多少技巧，更在于能否把多个局部行动组织成指向学习目标的整体。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受上述研究启发，本文把日常观课中接触的教师大致区分为两类：一类是具有较丰富教学经验、能稳定完成课堂组织的教师，另一类是入职时间较短或处于实习阶段的教师。这个划分仅用于案例反思，并不等同于严格抽样，也不意味着所有资深教师都优于新手教师。为避免不当泛化，后文使用“经验教师”和“新手教师”描述两种典型实践取向，而不把观察到的个别现象解释为固定的人格差异。</w:t>
      </w:r>
    </w:p>
    <w:p>
      <w:pPr>
        <w:keepNext/>
        <w:spacing w:before="160" w:after="40" w:line="300" w:lineRule="auto"/>
        <w:jc w:val="left"/>
        <w:keepLines/>
        <w:widowControl/>
      </w:pPr>
      <w:r>
        <w:rPr>
          <w:rFonts w:ascii="楷体" w:hAnsi="楷体" w:eastAsia="楷体" w:cs="楷体"/>
          <w:b/>
          <w:sz w:val="24"/>
        </w:rPr>
        <w:t>二、教师专业差异对课堂管理的影响</w:t>
      </w:r>
    </w:p>
    <w:p>
      <w:pPr>
        <w:keepNext/>
        <w:spacing w:before="80" w:after="40" w:line="300" w:lineRule="auto"/>
        <w:jc w:val="left"/>
        <w:keepLines/>
        <w:widowControl/>
      </w:pPr>
      <w:r>
        <w:rPr>
          <w:rFonts w:ascii="楷体" w:hAnsi="楷体" w:eastAsia="楷体" w:cs="楷体"/>
          <w:b/>
          <w:sz w:val="24"/>
        </w:rPr>
        <w:t>（一）差异的实质：专业知识、经验与情境认知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日常教学中常会出现这样的疑问：为什么同一教案由不同教师实施，会产生不同的课堂效果？为什么新手教师把课堂步骤甚至教师用语设计得十分细致，仍可能在突发情境中失去节奏？为什么经验教师的书面教案看似简略，却能根据学生反应不断调整活动？这些现象提示我们，课堂管理的差异不能仅用教案详略解释。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教师的学科知识、教学知识、教育经历、课堂经验、语言表达、体态与关系建立方式，共同影响其对课堂线索的感知和判断。尤其关键的是，经验能否沉淀为有组织的认知脚本：教师是否知道在何时观察什么、如何判断风险、何时介入以及介入到何种程度。因而，本文所说的“教师专业差异”，主要指专业知识结构、情境认知和行动储备的差异，而不是以年龄、气质或个人魅力替代专业解释。</w:t>
      </w:r>
    </w:p>
    <w:p>
      <w:pPr>
        <w:keepNext/>
        <w:spacing w:before="80" w:after="40" w:line="300" w:lineRule="auto"/>
        <w:jc w:val="left"/>
        <w:keepLines/>
        <w:widowControl/>
      </w:pPr>
      <w:r>
        <w:rPr>
          <w:rFonts w:ascii="楷体" w:hAnsi="楷体" w:eastAsia="楷体" w:cs="楷体"/>
          <w:b/>
          <w:sz w:val="24"/>
        </w:rPr>
        <w:t>（二）行动计划与行动向量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Doyle（1984，2006）从生态取向提出课堂管理框架。所谓行动计划，是教师围绕学习目标安排的活动及其顺序，它构成课堂进程的基本议程。秩序并不等于课堂绝对安静，而是学生在可接受范围内共同追随这一行动计划。计划越清晰，学习任务、参与方式和行为边界就越容易被学生理解。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行动计划只有在具体课堂中被教师和学生共同执行，才会形成行动向量。行动向量具有方向和强度：方向体现互动是否持续指向学习目标，强度体现它在一定时间内凝聚学生行动的能力。行动向量并不稳定，需要教师通过任务解释、注意提示、程序、节奏和反馈持续加以支持。与学习目标竞争的谈话、起哄或公开对抗，可被理解为次要行动向量；它们一旦吸走全班注意，就会削弱甚至取代主要行动向量。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从这一框架看，经验教师的优势并非“不需要计划”，而是能在简明计划背后保有丰富的备选脚本。他们能够根据学生状态改变说明方式、活动节奏或介入强度，同时不失去学习目标的方向。新手教师则可能把大量精力投入于计划的明确化，却在课堂线索偏离预设时缺少可调用的替代方案。因此，教师培养既要训练计划设计，也要训练计划的情境化实施。</w:t>
      </w:r>
    </w:p>
    <w:p>
      <w:pPr>
        <w:keepNext/>
        <w:spacing w:before="80" w:after="40" w:line="300" w:lineRule="auto"/>
        <w:jc w:val="left"/>
        <w:keepLines/>
        <w:widowControl/>
      </w:pPr>
      <w:r>
        <w:rPr>
          <w:rFonts w:ascii="楷体" w:hAnsi="楷体" w:eastAsia="楷体" w:cs="楷体"/>
          <w:b/>
          <w:sz w:val="24"/>
        </w:rPr>
        <w:t>（三）典型案例：两种干扰处理路径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以下案例来自一所中学英语课堂的反思性记录。为保护相关人员，学校、班级和师生信息均作匿名化处理；对话经过压缩和语言规范化，旨在呈现两种典型处理路径，而非提供可用于因果推断的完整研究资料。课堂任务是操练英语名词所有格。学生借字母 s 的发音起哄后，经验教师先以目光和简短提问锁定干扰源，明确指出玩笑不能继续；随后迅速把学生的注意重新导向 s 的多种语法功能，并以新的问题组织全班参与。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另一节课中，两名学生持续私下交谈。新手教师先停止教学并公开追问谈话内容，学生否认后，师生围绕“是否说话”“为什么要回答”展开争执。教师随后以请班主任到场作为结束冲突的手段，结果全班注意由原学习任务转向师生对抗，课堂未能及时恢复。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从行动向量的角度看，前一种处理通过最小而明确的介入截断次要行动向量，并把干扰材料重新纳入学习任务，因而保护了主要行动向量。后一种处理则把纪律事件公开化、延长化，使个别冲突获得全班可见性，次要行动向量由此被不断强化。这一比较并不意味着严厉或温和本身决定效果；真正重要的是介入能否指向可观察的期望行为，能否避免无关争辩，并能否尽快恢复全班的学习参与。</w:t>
      </w:r>
    </w:p>
    <w:p>
      <w:pPr>
        <w:keepNext/>
        <w:spacing w:before="160" w:after="40" w:line="300" w:lineRule="auto"/>
        <w:jc w:val="left"/>
        <w:keepLines/>
        <w:widowControl/>
      </w:pPr>
      <w:r>
        <w:rPr>
          <w:rFonts w:ascii="楷体" w:hAnsi="楷体" w:eastAsia="楷体" w:cs="楷体"/>
          <w:b/>
          <w:sz w:val="24"/>
        </w:rPr>
        <w:t>三、教师进行课堂管理的六个主要方面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根据相关研究，专家教师的课堂管理实践可从六个相互关联的方面加以理解。这六个方面并非彼此孤立的技巧清单，而是一条从预防到调节、从个体行为到全班学习的连续链条。</w:t>
      </w:r>
    </w:p>
    <w:p>
      <w:pPr>
        <w:keepNext/>
        <w:spacing w:before="80" w:after="40" w:line="300" w:lineRule="auto"/>
        <w:jc w:val="left"/>
        <w:keepLines/>
        <w:widowControl/>
      </w:pPr>
      <w:r>
        <w:rPr>
          <w:rFonts w:ascii="楷体" w:hAnsi="楷体" w:eastAsia="楷体" w:cs="楷体"/>
          <w:b/>
          <w:sz w:val="24"/>
        </w:rPr>
        <w:t>（一）监控学生活动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监控是教师持续获取课堂信息的过程。Westerman（1991）指出，专家教师能注意到提示其调整方法的行为线索。其他研究也表明，优秀课堂管理者能够把注意集中在情境中的典型要素，并借助已有认知图式判断何处可能出现注意衰减或干扰。监控的目的不是对学生进行高压注视，而是维持对全班活动的广角感知，并让学生知道教师始终了解课堂进程。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对新手教师而言，监控能力可以通过明确的观察问题进行训练：哪些学生尚未进入任务？哪个环节最容易产生等待？教师的位置是否使视线覆盖全班？何种线索表明需要调整任务难度或节奏？把这些问题纳入观课与复盘，有助于将模糊的“课堂感觉”转化为可讨论的专业判断。</w:t>
      </w:r>
    </w:p>
    <w:p>
      <w:pPr>
        <w:keepNext/>
        <w:spacing w:before="80" w:after="40" w:line="300" w:lineRule="auto"/>
        <w:jc w:val="left"/>
        <w:keepLines/>
        <w:widowControl/>
      </w:pPr>
      <w:r>
        <w:rPr>
          <w:rFonts w:ascii="楷体" w:hAnsi="楷体" w:eastAsia="楷体" w:cs="楷体"/>
          <w:b/>
          <w:sz w:val="24"/>
        </w:rPr>
        <w:t>（二）明确表达行为期望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规则只有转化为具体情境中的可观察行为，才能发挥作用。与其笼统要求“认真听课”，教师更应说明在同伴发言、任务转换、迟到或需要帮助时，学生应当怎样做。经验教师往往提前处理高风险情境，并在规则被触及时以简洁、一致的方式重申期望。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行为期望还应具备正当性和可执行性。教师需要说明规则如何保护每个人的学习权利，并确保后果与行为相称。班主任有时比任课教师更容易形成稳定秩序，常与其长期建立的关系、规则连续性和反馈一致性有关，而不能简单归结为身份权威。</w:t>
      </w:r>
    </w:p>
    <w:p>
      <w:pPr>
        <w:keepNext/>
        <w:spacing w:before="80" w:after="40" w:line="300" w:lineRule="auto"/>
        <w:jc w:val="left"/>
        <w:keepLines/>
        <w:widowControl/>
      </w:pPr>
      <w:r>
        <w:rPr>
          <w:rFonts w:ascii="楷体" w:hAnsi="楷体" w:eastAsia="楷体" w:cs="楷体"/>
          <w:b/>
          <w:sz w:val="24"/>
        </w:rPr>
        <w:t>（三）建立标准化程序与惯例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程序和惯例是对高频课堂活动的预先组织，可被视为师生共同遵循的“行为路线图”。例如，上课开始、举手发言、材料发放、小组讨论、成果反馈和下课收束，都可以形成稳定程序。程序减少了每次重新解释的时间，也降低了学生因等待和不确定而产生干扰的可能。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英语课堂中的口令、节奏性掌声或固定手势可以成为过渡信号，但程序不应沦为形式表演。有效程序必须被明确示范、反复练习，并根据学生年龄、班级文化和任务性质进行调整。只有当程序真正节省认知资源并支持学习，它才具有课堂管理价值。</w:t>
      </w:r>
    </w:p>
    <w:p>
      <w:pPr>
        <w:keepNext/>
        <w:spacing w:before="80" w:after="40" w:line="300" w:lineRule="auto"/>
        <w:jc w:val="left"/>
        <w:keepLines/>
        <w:widowControl/>
      </w:pPr>
      <w:r>
        <w:rPr>
          <w:rFonts w:ascii="楷体" w:hAnsi="楷体" w:eastAsia="楷体" w:cs="楷体"/>
          <w:b/>
          <w:sz w:val="24"/>
        </w:rPr>
        <w:t>（四）通过过渡连接活动结构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活动过渡是一个任务结束、另一个任务建立的连接过程，也是课堂最容易失去方向的时段。Arlin（1979）发现，活动过渡中的不当行为频率显著高于其他教学时段。Thiel 等人（2012）进一步指出，专家教师会先清楚结束旧活动，再建立新活动，并持续使用言语与非言语信号调节注意；新手教师更容易把两个活动混合在一起，使学生无法识别边界。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高质量过渡至少包含三个要素：明确的结束标志、下一任务的简洁说明，以及对全班是否进入新任务的确认。教师在结束旧活动时投入少量时间，往往能在建立新活动时获得补偿，从而提高整节课的有效学习时间。</w:t>
      </w:r>
    </w:p>
    <w:p>
      <w:pPr>
        <w:keepNext/>
        <w:spacing w:before="80" w:after="40" w:line="300" w:lineRule="auto"/>
        <w:jc w:val="left"/>
        <w:keepLines/>
        <w:widowControl/>
      </w:pPr>
      <w:r>
        <w:rPr>
          <w:rFonts w:ascii="楷体" w:hAnsi="楷体" w:eastAsia="楷体" w:cs="楷体"/>
          <w:b/>
          <w:sz w:val="24"/>
        </w:rPr>
        <w:t>（五）控制活动流程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活动流程控制是教师对课堂节奏、注意中心和参与范围的连续调节。成功的管理者会综合使用声音、停顿、目光、手势、站位和提问，将全班注意集中于当前任务。这里的“控制”不是压制学生，而是让不同参与机会形成清楚、有序且能推进学习的结构。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所谓教师感染力，也应落实为可分析的专业行为：声音是否清晰而有变化，提问是否使多数学生保持思考，等待时间是否适当，反馈是否把答案重新连接到学习目标。把“个人魅力”还原为这些可观察行为，才能使经验具有可学习性。</w:t>
      </w:r>
    </w:p>
    <w:p>
      <w:pPr>
        <w:keepNext/>
        <w:spacing w:before="80" w:after="40" w:line="300" w:lineRule="auto"/>
        <w:jc w:val="left"/>
        <w:keepLines/>
        <w:widowControl/>
      </w:pPr>
      <w:r>
        <w:rPr>
          <w:rFonts w:ascii="楷体" w:hAnsi="楷体" w:eastAsia="楷体" w:cs="楷体"/>
          <w:b/>
          <w:sz w:val="24"/>
        </w:rPr>
        <w:t>（六）低扰动地处理干扰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当干扰发生时，教师首先需要判断是否必须介入以及介入的最小强度。研究表明，新手教师的公开指责可能效果有限，还可能中断教学流程。有效介入通常从接近、目光、停顿、手势或简短提示开始；只有在这些方式无效或行为涉及安全与尊严时，才逐步提高介入强度。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处理干扰应坚持三个原则：针对行为而非人格，说明期望而非沉溺于追责，保护全班学习而非把冲突变成公开表演。复杂冲突可以在课后个别处理，但课堂中的即时目标仍是阻止次要行动向量扩大，并尽快恢复主要行动向量。</w:t>
      </w:r>
    </w:p>
    <w:p>
      <w:pPr>
        <w:keepNext/>
        <w:spacing w:before="160" w:after="40" w:line="300" w:lineRule="auto"/>
        <w:jc w:val="left"/>
        <w:keepLines/>
        <w:widowControl/>
      </w:pPr>
      <w:r>
        <w:rPr>
          <w:rFonts w:ascii="楷体" w:hAnsi="楷体" w:eastAsia="楷体" w:cs="楷体"/>
          <w:b/>
          <w:sz w:val="24"/>
        </w:rPr>
        <w:t>四、高效课堂管理者的五个基本特征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Kounin（1970）在课堂管理研究中概括了五项基本特征：监控（withitness/monitoring）、重叠（overlapping）、流畅（smoothness）、动力（momentum）和群体关注（group focus）。它们不是与前述六个方面并列的另一套清单，而是对教师如何实施这些管理任务的综合描述。</w:t>
      </w:r>
    </w:p>
    <w:p>
      <w:pPr>
        <w:keepNext/>
        <w:spacing w:before="80" w:after="40" w:line="300" w:lineRule="auto"/>
        <w:jc w:val="left"/>
        <w:keepLines/>
        <w:widowControl/>
      </w:pPr>
      <w:r>
        <w:rPr>
          <w:rFonts w:ascii="楷体" w:hAnsi="楷体" w:eastAsia="楷体" w:cs="楷体"/>
          <w:b/>
          <w:sz w:val="24"/>
        </w:rPr>
        <w:t>（一）监控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高效管理者能够持续掌握课堂大局，较早识别注意衰减和干扰线索，并在适当时机作出反应。监控的专业性体现在判断准确、介入及时且不轻易误判干扰者。</w:t>
      </w:r>
    </w:p>
    <w:p>
      <w:pPr>
        <w:keepNext/>
        <w:spacing w:before="80" w:after="40" w:line="300" w:lineRule="auto"/>
        <w:jc w:val="left"/>
        <w:keepLines/>
        <w:widowControl/>
      </w:pPr>
      <w:r>
        <w:rPr>
          <w:rFonts w:ascii="楷体" w:hAnsi="楷体" w:eastAsia="楷体" w:cs="楷体"/>
          <w:b/>
          <w:sz w:val="24"/>
        </w:rPr>
        <w:t>（二）重叠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重叠是教师同时处理多个任务而不丢失主线的能力。例如，教师在听取一名学生回答时，仍能关注其他学生的参与状态；在解决材料问题时，仍能通过任务提示维持全班活动。重叠依赖程序、认知脚本和注意分配，而不是单纯追求“同时做更多事情”。</w:t>
      </w:r>
    </w:p>
    <w:p>
      <w:pPr>
        <w:keepNext/>
        <w:spacing w:before="80" w:after="40" w:line="300" w:lineRule="auto"/>
        <w:jc w:val="left"/>
        <w:keepLines/>
        <w:widowControl/>
      </w:pPr>
      <w:r>
        <w:rPr>
          <w:rFonts w:ascii="楷体" w:hAnsi="楷体" w:eastAsia="楷体" w:cs="楷体"/>
          <w:b/>
          <w:sz w:val="24"/>
        </w:rPr>
        <w:t>（三）流畅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流畅强调活动之间衔接自然、说明简洁、节奏不被无关插曲反复打断。它要求教师识别何时应结束、何时应延伸，以及如何把学生贡献纳入既定学习方向。</w:t>
      </w:r>
    </w:p>
    <w:p>
      <w:pPr>
        <w:keepNext/>
        <w:spacing w:before="80" w:after="40" w:line="300" w:lineRule="auto"/>
        <w:jc w:val="left"/>
        <w:keepLines/>
        <w:widowControl/>
      </w:pPr>
      <w:r>
        <w:rPr>
          <w:rFonts w:ascii="楷体" w:hAnsi="楷体" w:eastAsia="楷体" w:cs="楷体"/>
          <w:b/>
          <w:sz w:val="24"/>
        </w:rPr>
        <w:t>（四）动力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动力指课堂活动持续向前推进的势能。任务难度适切、互动具有回应性、时间分配紧凑而不过度催促，都会支持这种势能。新手教师的热情和与学生的亲近感可能成为优势，但仍需通过清楚的任务结构转化为稳定的学习参与。</w:t>
      </w:r>
    </w:p>
    <w:p>
      <w:pPr>
        <w:keepNext/>
        <w:spacing w:before="80" w:after="40" w:line="300" w:lineRule="auto"/>
        <w:jc w:val="left"/>
        <w:keepLines/>
        <w:widowControl/>
      </w:pPr>
      <w:r>
        <w:rPr>
          <w:rFonts w:ascii="楷体" w:hAnsi="楷体" w:eastAsia="楷体" w:cs="楷体"/>
          <w:b/>
          <w:sz w:val="24"/>
        </w:rPr>
        <w:t>（五）群体关注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群体关注要求教师在照顾个别需要的同时，始终维持全班的认知参与。有效做法包括面向全体提出问题、给予思考时间、随机邀请回答、让学生评价不同方案，以及在个别指导时为其他学生保留明确任务。群体关注并非弱化个体，而是在公共学习空间中保障不同学生获得参与机会。</w:t>
      </w:r>
    </w:p>
    <w:p>
      <w:pPr>
        <w:keepNext/>
        <w:spacing w:before="160" w:after="40" w:line="300" w:lineRule="auto"/>
        <w:jc w:val="left"/>
        <w:keepLines/>
        <w:widowControl/>
      </w:pPr>
      <w:r>
        <w:rPr>
          <w:rFonts w:ascii="楷体" w:hAnsi="楷体" w:eastAsia="楷体" w:cs="楷体"/>
          <w:b/>
          <w:sz w:val="24"/>
        </w:rPr>
        <w:t>五、讨论：从个人经验走向可学习的专业能力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上述分析表明，课堂管理效能来自监控、计划、程序、信号、节奏和关系的协同，而不是某种无法传授的天赋。所谓经验，只有经过观察、命名和反思，才能转化为专业知识。教师教育可围绕真实课堂片段组织“注意—解释—决策”训练：先描述可见线索，再解释可能的行动向量，最后比较不同介入方案及其对全班学习的影响。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对新手教师而言，单纯增加教案细节并不足以应对课堂复杂性。更有效的路径包括：以视频回看识别自己忽略的线索；与指导教师共同标注活动边界和风险点；为常见干扰准备由低到高的介入阶梯；在课后复盘计划改变的原因及后果。学校还应提供安全的试错环境，避免把课堂管理问题简单归因为个性软弱或威信不足。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本文也存在明显局限。其一，本地课堂材料属于匿名化的反思性案例，缺少系统抽样、完整录像、编码一致性和学生学习结果数据，不能据此验证教师经验与课堂质量之间的因果关系。其二，文章主要从教师行动分析课堂管理，尚未充分纳入学生视角、师生关系、公平性和班级文化。后续研究可采用多案例视频分析，并结合学生访谈、课堂参与度与学习结果，检验不同管理策略在不同学科和班级情境中的适用边界。</w:t>
      </w:r>
    </w:p>
    <w:p>
      <w:pPr>
        <w:keepNext/>
        <w:spacing w:before="160" w:after="40" w:line="300" w:lineRule="auto"/>
        <w:jc w:val="left"/>
        <w:keepLines/>
        <w:widowControl/>
      </w:pPr>
      <w:r>
        <w:rPr>
          <w:rFonts w:ascii="楷体" w:hAnsi="楷体" w:eastAsia="楷体" w:cs="楷体"/>
          <w:b/>
          <w:sz w:val="24"/>
        </w:rPr>
        <w:t>结论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课堂管理的核心，不是把所有偏离都压制为安静，而是围绕学习目标建立并维持可参与的互动秩序。行动计划为课堂提供方向，行动向量体现计划在具体情境中的实现；教师的专业能力则表现在能否持续监控课堂、明确行为期望、建立程序、组织过渡、保持流程并低扰动地处理干扰。</w:t>
      </w:r>
    </w:p>
    <w:p>
      <w:pPr>
        <w:spacing w:before="0" w:after="0" w:line="324" w:lineRule="auto"/>
        <w:ind w:firstLine="480"/>
        <w:jc w:val="both"/>
        <w:keepLines/>
        <w:widowControl/>
      </w:pPr>
      <w:r>
        <w:rPr>
          <w:rFonts w:ascii="楷体" w:hAnsi="楷体" w:eastAsia="楷体" w:cs="楷体"/>
          <w:b w:val="0"/>
          <w:sz w:val="24"/>
        </w:rPr>
        <w:t>经验教师与新手教师的差异并非不可逾越。通过视频分析、同伴观课、指导性实践和结构化复盘，新手教师可以逐步形成丰富而灵活的课堂管理脚本。优秀课堂管理者的成长需要时间，但更需要把经验转化为可观察、可解释、可练习的专业知识。</w:t>
      </w:r>
    </w:p>
    <w:p>
      <w:pPr>
        <w:keepNext/>
        <w:spacing w:before="160" w:after="40" w:line="300" w:lineRule="auto"/>
        <w:jc w:val="left"/>
        <w:keepLines/>
        <w:widowControl/>
      </w:pPr>
      <w:r>
        <w:rPr>
          <w:rFonts w:ascii="楷体" w:hAnsi="楷体" w:eastAsia="楷体" w:cs="楷体"/>
          <w:b/>
          <w:sz w:val="24"/>
        </w:rPr>
        <w:t>参考文献</w:t>
      </w:r>
    </w:p>
    <w:p>
      <w:pPr>
        <w:spacing w:before="0" w:after="20" w:line="276" w:lineRule="auto"/>
        <w:ind w:left="480" w:hanging="480"/>
        <w:jc w:val="left"/>
        <w:keepLines/>
        <w:widowControl/>
      </w:pPr>
      <w:r>
        <w:rPr>
          <w:rFonts w:ascii="楷体" w:hAnsi="楷体" w:eastAsia="楷体" w:cs="楷体"/>
          <w:b w:val="0"/>
          <w:sz w:val="21"/>
        </w:rPr>
        <w:t>Arlin, M. (1979). Teacher transitions can disrupt time flow in classrooms. American Educational Research Journal, 16(1), 42–56. https://doi.org/10.3102/00028312016001042</w:t>
      </w:r>
    </w:p>
    <w:p>
      <w:pPr>
        <w:spacing w:before="0" w:after="20" w:line="276" w:lineRule="auto"/>
        <w:ind w:left="480" w:hanging="480"/>
        <w:jc w:val="left"/>
        <w:keepLines/>
        <w:widowControl/>
      </w:pPr>
      <w:r>
        <w:rPr>
          <w:rFonts w:ascii="楷体" w:hAnsi="楷体" w:eastAsia="楷体" w:cs="楷体"/>
          <w:b w:val="0"/>
          <w:sz w:val="21"/>
        </w:rPr>
        <w:t>Doyle, W. (1984). How order is achieved in classrooms: An interim report. Journal of Curriculum Studies, 16(3), 259–277.</w:t>
      </w:r>
    </w:p>
    <w:p>
      <w:pPr>
        <w:spacing w:before="0" w:after="20" w:line="276" w:lineRule="auto"/>
        <w:ind w:left="480" w:hanging="480"/>
        <w:jc w:val="left"/>
        <w:keepLines/>
        <w:widowControl/>
      </w:pPr>
      <w:r>
        <w:rPr>
          <w:rFonts w:ascii="楷体" w:hAnsi="楷体" w:eastAsia="楷体" w:cs="楷体"/>
          <w:b w:val="0"/>
          <w:sz w:val="21"/>
        </w:rPr>
        <w:t>Doyle, W. (2006). Ecological approaches to classroom management. In C. M. Evertson &amp; C. S. Weinstein (Eds.), Handbook of classroom management: Research, practice, and contemporary issues (pp. 97–125). Lawrence Erlbaum Associates.</w:t>
      </w:r>
    </w:p>
    <w:p>
      <w:pPr>
        <w:spacing w:before="0" w:after="20" w:line="276" w:lineRule="auto"/>
        <w:ind w:left="480" w:hanging="480"/>
        <w:jc w:val="left"/>
        <w:keepLines/>
        <w:widowControl/>
      </w:pPr>
      <w:r>
        <w:rPr>
          <w:rFonts w:ascii="楷体" w:hAnsi="楷体" w:eastAsia="楷体" w:cs="楷体"/>
          <w:b w:val="0"/>
          <w:sz w:val="21"/>
        </w:rPr>
        <w:t>Emmer, E. T., &amp; Gerwels, M. C. (2006). Classroom management in middle and high school classrooms. In C. M. Evertson &amp; C. S. Weinstein (Eds.), Handbook of classroom management: Research, practice, and contemporary issues (pp. 407–437). Lawrence Erlbaum Associates.</w:t>
      </w:r>
    </w:p>
    <w:p>
      <w:pPr>
        <w:spacing w:before="0" w:after="20" w:line="276" w:lineRule="auto"/>
        <w:ind w:left="480" w:hanging="480"/>
        <w:jc w:val="left"/>
        <w:keepLines/>
        <w:widowControl/>
      </w:pPr>
      <w:r>
        <w:rPr>
          <w:rFonts w:ascii="楷体" w:hAnsi="楷体" w:eastAsia="楷体" w:cs="楷体"/>
          <w:b w:val="0"/>
          <w:sz w:val="21"/>
        </w:rPr>
        <w:t>Kounin, J. S. (1970). Discipline and group management in classrooms. Holt, Rinehart and Winston.</w:t>
      </w:r>
    </w:p>
    <w:p>
      <w:pPr>
        <w:spacing w:before="0" w:after="20" w:line="276" w:lineRule="auto"/>
        <w:ind w:left="480" w:hanging="480"/>
        <w:jc w:val="left"/>
        <w:keepLines/>
        <w:widowControl/>
      </w:pPr>
      <w:r>
        <w:rPr>
          <w:rFonts w:ascii="楷体" w:hAnsi="楷体" w:eastAsia="楷体" w:cs="楷体"/>
          <w:b w:val="0"/>
          <w:sz w:val="21"/>
        </w:rPr>
        <w:t>Ophardt, D., &amp; Thiel, F. (2013). Klassenmanagement: Ein Handbuch für Studium und Praxis. Kohlhammer.</w:t>
      </w:r>
    </w:p>
    <w:p>
      <w:pPr>
        <w:spacing w:before="0" w:after="20" w:line="276" w:lineRule="auto"/>
        <w:ind w:left="480" w:hanging="480"/>
        <w:jc w:val="left"/>
        <w:keepLines/>
        <w:widowControl/>
      </w:pPr>
      <w:r>
        <w:rPr>
          <w:rFonts w:ascii="楷体" w:hAnsi="楷体" w:eastAsia="楷体" w:cs="楷体"/>
          <w:b w:val="0"/>
          <w:sz w:val="21"/>
        </w:rPr>
        <w:t>Thiel, F., Richter, S. G., &amp; Ophardt, D. (2012). Steuerung von Übergängen im Unterricht: Eine Experten-Novizen-Studie zum Klassenmanagement. Zeitschrift für Erziehungswissenschaft, 15(4), 727–752. https://doi.org/10.1007/s11618-012-0325-5</w:t>
      </w:r>
    </w:p>
    <w:p>
      <w:pPr>
        <w:spacing w:before="0" w:after="20" w:line="276" w:lineRule="auto"/>
        <w:ind w:left="480" w:hanging="480"/>
        <w:jc w:val="left"/>
        <w:keepLines/>
        <w:widowControl/>
      </w:pPr>
      <w:r>
        <w:rPr>
          <w:rFonts w:ascii="楷体" w:hAnsi="楷体" w:eastAsia="楷体" w:cs="楷体"/>
          <w:b w:val="0"/>
          <w:sz w:val="21"/>
        </w:rPr>
        <w:t>Westerman, D. A. (1991). Expert and novice teacher decision making. Journal of Teacher Education, 42(4), 292–305. https://doi.org/10.1177/002248719104200407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0D161C"/>
    <w:multiLevelType w:val="singleLevel"/>
    <w:tmpl w:val="800D161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F4D0361"/>
    <w:multiLevelType w:val="singleLevel"/>
    <w:tmpl w:val="8F4D0361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C0AB0AB7"/>
    <w:multiLevelType w:val="singleLevel"/>
    <w:tmpl w:val="C0AB0AB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E64CD35D"/>
    <w:multiLevelType w:val="singleLevel"/>
    <w:tmpl w:val="E64CD35D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kYWQyNTY3MDJkNTgxMDQ2NDFhNjU5ZjdiYjM2MGMifQ=="/>
  </w:docVars>
  <w:rsids>
    <w:rsidRoot w:val="1D9671DB"/>
    <w:rsid w:val="01411924"/>
    <w:rsid w:val="0B89451B"/>
    <w:rsid w:val="0C2801BA"/>
    <w:rsid w:val="0E4D5CB6"/>
    <w:rsid w:val="10CF6E57"/>
    <w:rsid w:val="110B261D"/>
    <w:rsid w:val="1121519A"/>
    <w:rsid w:val="1300779B"/>
    <w:rsid w:val="14457B8C"/>
    <w:rsid w:val="1C3B4E20"/>
    <w:rsid w:val="1D9671DB"/>
    <w:rsid w:val="1E3E73CA"/>
    <w:rsid w:val="204333BD"/>
    <w:rsid w:val="208A69E8"/>
    <w:rsid w:val="255826EB"/>
    <w:rsid w:val="25711085"/>
    <w:rsid w:val="25F27417"/>
    <w:rsid w:val="27295896"/>
    <w:rsid w:val="297A100D"/>
    <w:rsid w:val="2C491D5B"/>
    <w:rsid w:val="2DD40AFA"/>
    <w:rsid w:val="2E50117F"/>
    <w:rsid w:val="33811DDB"/>
    <w:rsid w:val="374159AC"/>
    <w:rsid w:val="3DE511B8"/>
    <w:rsid w:val="431F6F1A"/>
    <w:rsid w:val="47195406"/>
    <w:rsid w:val="47D604EF"/>
    <w:rsid w:val="4B03281C"/>
    <w:rsid w:val="4EB0334D"/>
    <w:rsid w:val="4F2C6C47"/>
    <w:rsid w:val="57034731"/>
    <w:rsid w:val="6025396A"/>
    <w:rsid w:val="64971B99"/>
    <w:rsid w:val="65F53DDF"/>
    <w:rsid w:val="66C978E2"/>
    <w:rsid w:val="6A2C55F3"/>
    <w:rsid w:val="6B2A658B"/>
    <w:rsid w:val="715D7E77"/>
    <w:rsid w:val="721455EC"/>
    <w:rsid w:val="7A747570"/>
    <w:rsid w:val="7BB8348D"/>
    <w:rsid w:val="7F03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/>
      <w:jc w:val="both"/>
    </w:pPr>
    <w:rPr>
      <w:rFonts w:asciiTheme="minorHAnsi" w:hAnsiTheme="minorHAnsi" w:eastAsiaTheme="minorEastAsia" w:cstheme="minorBidi" w:ascii="楷体" w:hAnsi="楷体" w:eastAsia="楷体"/>
      <w:kern w:val="2"/>
      <w:sz w:val="24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7271</Words>
  <Characters>7914</Characters>
  <Lines>0</Lines>
  <Paragraphs>0</Paragraphs>
  <TotalTime>11</TotalTime>
  <ScaleCrop>false</ScaleCrop>
  <LinksUpToDate>false</LinksUpToDate>
  <CharactersWithSpaces>8017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2023-08-17T02:40:00Z</dcterms:created>
  <dc:creator>洋</dc:creator>
  <cp:lastModifiedBy>洋</cp:lastModifiedBy>
  <dcterms:modified xsi:type="dcterms:W3CDTF">2023-08-24T09:16:50Z</dcterms:modified>
  <cp:revision>1</cp:revision>
  <dc:title>从行动计划到行动向量：教师专业差异与课堂管理效能</dc:title>
  <dc:subject>课堂管理与教师专业发展</dc:subject>
  <cp:keywords>课堂管理, 教师专业差异, 专家新手教师, 行动向量</cp:keywords>
  <dc:description>在保留原稿楷体、A4页面与简洁风格基础上的学术优化稿。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E4315CA74E3B44B0A488F36C9FAF3B78_13</vt:lpwstr>
  </property>
</Properties>
</file>