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27" w:rsidRDefault="00527727">
      <w:pP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1. 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事务的概念是什么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事务的特性是什么？</w:t>
      </w:r>
    </w:p>
    <w:p w:rsidR="007174B3" w:rsidRDefault="0052772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事务的概念：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保证一组数据库操作，要么全部成功，要么全部失败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7174B3" w:rsidRDefault="00527727">
      <w:pP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事务的特性：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原子性、一致性、隔离性、持久性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。</w:t>
      </w:r>
    </w:p>
    <w:p w:rsidR="007174B3" w:rsidRDefault="007174B3">
      <w:pPr>
        <w:rPr>
          <w:rFonts w:ascii="Microsoft Sans Serif" w:hAnsi="Microsoft Sans Serif" w:cs="Microsoft Sans Serif"/>
          <w:color w:val="505050"/>
          <w:szCs w:val="21"/>
        </w:rPr>
      </w:pPr>
    </w:p>
    <w:p w:rsidR="00433FF5" w:rsidRDefault="007174B3">
      <w:pP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505050"/>
          <w:szCs w:val="21"/>
        </w:rPr>
        <w:t>2</w:t>
      </w:r>
      <w:r>
        <w:rPr>
          <w:rFonts w:ascii="Microsoft Sans Serif" w:hAnsi="Microsoft Sans Serif" w:cs="Microsoft Sans Serif"/>
          <w:color w:val="505050"/>
          <w:szCs w:val="21"/>
        </w:rPr>
        <w:t>.</w:t>
      </w:r>
      <w:r w:rsidRPr="007174B3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多事务同时执行的时候，可能会出现的问题：脏读、不可重复读、幻读</w:t>
      </w:r>
      <w:r w:rsidR="00433FF5"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。</w:t>
      </w:r>
    </w:p>
    <w:p w:rsidR="00433FF5" w:rsidRDefault="00433FF5">
      <w:pP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脏读：事务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1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执行修改操作，还未提交，事务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2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读到事务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1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的修改后的值进行后续操作，此时事务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1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进行回滚，事务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2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读到的其实是脏数据。</w:t>
      </w:r>
    </w:p>
    <w:p w:rsidR="00433FF5" w:rsidRDefault="00433FF5">
      <w:pP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不可重复读：事务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1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读表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t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的所有数据后，事务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2</w:t>
      </w:r>
      <w:r w:rsidR="007D09BE"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修改了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表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t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中</w:t>
      </w:r>
      <w:r w:rsidR="007D09BE"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的若干行数据并提交，事务</w:t>
      </w:r>
      <w:r w:rsidR="007D09BE"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1</w:t>
      </w:r>
      <w:r w:rsidR="007D09BE"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再次读表</w:t>
      </w:r>
      <w:r w:rsidR="007D09BE"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t</w:t>
      </w:r>
      <w:r w:rsidR="007D09BE"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的数据，发现和第一次读的时候不一致。</w:t>
      </w:r>
    </w:p>
    <w:p w:rsidR="007D09BE" w:rsidRPr="00433FF5" w:rsidRDefault="007D09BE">
      <w:pP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幻读：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事务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1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读表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t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的所有数据后，事务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2</w:t>
      </w:r>
      <w:proofErr w:type="gramStart"/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向表</w:t>
      </w:r>
      <w:proofErr w:type="gramEnd"/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t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中插入了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若干行数据并提交，事务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1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再次读表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t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的数据，发现和第一次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读的时候相比多了若干行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。</w:t>
      </w:r>
    </w:p>
    <w:p w:rsidR="007174B3" w:rsidRDefault="00527727">
      <w:pP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3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mysql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的事务隔离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级别读未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提交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, 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读已提交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, 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可重复读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, 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串行各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是什么意思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</w:t>
      </w:r>
    </w:p>
    <w:p w:rsidR="007174B3" w:rsidRDefault="007174B3" w:rsidP="007174B3">
      <w:pPr>
        <w:rPr>
          <w:rFonts w:ascii="Microsoft Sans Serif" w:hAnsi="Microsoft Sans Serif" w:cs="Microsoft Sans Serif"/>
          <w:color w:val="505050"/>
          <w:szCs w:val="21"/>
        </w:rPr>
      </w:pP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读未提交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：一个事务还未提交，它所做的变更就可以被别的事务看到</w:t>
      </w:r>
    </w:p>
    <w:p w:rsidR="007174B3" w:rsidRDefault="007174B3" w:rsidP="007174B3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读提交：一个事务提交之后，它所做的变更才可以被别的事务看到</w:t>
      </w:r>
    </w:p>
    <w:p w:rsidR="007174B3" w:rsidRDefault="007174B3" w:rsidP="007174B3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可重复读：一个事务执行过程中看到的数据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和该事务启动时看到的数据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是一致的。</w:t>
      </w:r>
    </w:p>
    <w:p w:rsidR="007174B3" w:rsidRDefault="007174B3">
      <w:pP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串行化：对应一个记录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会加读写锁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，出现冲突的时候，后访问的事务必须等前一个事务执行完成才能继续执行</w:t>
      </w:r>
    </w:p>
    <w:p w:rsidR="00527727" w:rsidRPr="007174B3" w:rsidRDefault="00527727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4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读已提交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, 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可重复读是怎么通过视图构建实现的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</w:t>
      </w:r>
      <w:bookmarkStart w:id="0" w:name="_GoBack"/>
      <w:bookmarkEnd w:id="0"/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5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可重复读的使用场景举例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? 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对账的时候应该很有用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6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事务隔离是怎么通过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read-view(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读视图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)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实现的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7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并发版本控制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(MCVV)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的概念是什么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, 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是怎么实现的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8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使用长事务的弊病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? 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为什么使用常事务可能拖垮整个库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9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事务的启动方式有哪几种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 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10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commit work and chain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的语法是做什么用的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 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11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怎么查询各个表中的长事务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 w:rsidR="00433FF5"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12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. 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如何避免长事务的出现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?</w:t>
      </w:r>
    </w:p>
    <w:p w:rsidR="00527727" w:rsidRDefault="00527727">
      <w:pP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</w:pP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1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</w:t>
      </w:r>
      <w:r>
        <w:rPr>
          <w:rFonts w:ascii="Microsoft Sans Serif" w:hAnsi="Microsoft Sans Serif" w:cs="Microsoft Sans Serif" w:hint="eastAsia"/>
          <w:color w:val="505050"/>
          <w:szCs w:val="21"/>
          <w:shd w:val="clear" w:color="auto" w:fill="FFFFFF"/>
        </w:rPr>
        <w:t>事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务的特性：原子性、一致性、隔离性、持久性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2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、多事务同时执行的时候，可能会出现的问题：脏读、不可重复读、幻读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3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、事务隔离级别：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读未提交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、读提交、可重复读、串行化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4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、不同事务隔离级别的区别：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读未提交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：一个事务还未提交，它所做的变更就可以被别的事务看到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读提交：一个事务提交之后，它所做的变更才可以被别的事务看到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可重复读：一个事务执行过程中看到的数据是一致的。未提交的更改对其他事务是不可见的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串行化：对应一个记录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会加读写锁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，出现冲突的时候，后访问的事务必须等前一个事务执行完成才能继续执行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5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、配置方法：启动参数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transaction-isolation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6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、事务隔离的实现：每条记录在更新的时候都会同时记录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一条回滚操作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。同一条记录在系统中可以存在多个版本，这就是数据库的多版本并发控制（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MVCC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）。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7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回滚日志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什么时候删除？系统会判断当没有事务需要用到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这些回滚日志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的时候，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回滚日志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会被删除。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8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、什么时候不需要了？当系统里么有比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这个回滚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日志更早的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read-view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的时候。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lastRenderedPageBreak/>
        <w:t>9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、为什么尽量不要使用长事务。长事务意味着系统里面会存在很老的事务视图，在这个事务提交之前，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回滚记录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都要保留，这会导致大量占用存储空间。除此之外，长事务还占用锁资源，可能会拖垮库。</w:t>
      </w:r>
    </w:p>
    <w:p w:rsidR="00A74519" w:rsidRDefault="00A74519">
      <w:pPr>
        <w:rPr>
          <w:rFonts w:ascii="Microsoft Sans Serif" w:hAnsi="Microsoft Sans Serif" w:cs="Microsoft Sans Serif"/>
          <w:color w:val="505050"/>
          <w:szCs w:val="21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10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、事务启动方式：一、显式启动事务语句，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begin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或者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start transaction,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提交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commit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，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回滚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rollback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；二、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set 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autocommit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=0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，该命令会把这个线程的自动提交关掉。这样只要执行一个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select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语句，事务就启动，并不会自动提交，直到主动执行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commit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或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rollback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或断开连接。</w:t>
      </w:r>
    </w:p>
    <w:p w:rsidR="00134C36" w:rsidRDefault="00A74519"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11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、建议使用方法</w:t>
      </w:r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一</w:t>
      </w:r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，如果考虑多一次交互问题，可以使用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commit work and chain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语法。在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autocommit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=1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的情况下用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begin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显式启动事务，如果执行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commit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则提交事务。如果执行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commit work and chain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则提交事务并自动启动下一个事务。</w:t>
      </w:r>
    </w:p>
    <w:sectPr w:rsidR="0013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C0"/>
    <w:rsid w:val="00042A4D"/>
    <w:rsid w:val="00134C36"/>
    <w:rsid w:val="00433FF5"/>
    <w:rsid w:val="00527727"/>
    <w:rsid w:val="007174B3"/>
    <w:rsid w:val="007D09BE"/>
    <w:rsid w:val="00A35DC0"/>
    <w:rsid w:val="00A7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FCAA"/>
  <w15:chartTrackingRefBased/>
  <w15:docId w15:val="{64C4F527-3D26-45BA-87CE-87835D63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昀磊</dc:creator>
  <cp:keywords/>
  <dc:description/>
  <cp:lastModifiedBy>彭 昀磊</cp:lastModifiedBy>
  <cp:revision>2</cp:revision>
  <dcterms:created xsi:type="dcterms:W3CDTF">2020-02-08T07:38:00Z</dcterms:created>
  <dcterms:modified xsi:type="dcterms:W3CDTF">2020-02-08T10:25:00Z</dcterms:modified>
</cp:coreProperties>
</file>