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0" w:beforeLines="0" w:after="312" w:afterLines="100" w:line="240" w:lineRule="auto"/>
        <w:ind w:left="0" w:leftChars="0" w:right="0" w:rightChars="0" w:firstLine="0" w:firstLineChars="0"/>
        <w:jc w:val="both"/>
        <w:textAlignment w:val="auto"/>
        <w:outlineLvl w:val="9"/>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2" w:lineRule="atLeast"/>
        <w:ind w:right="0"/>
        <w:jc w:val="center"/>
        <w:rPr>
          <w:rFonts w:hint="eastAsia"/>
        </w:rPr>
      </w:pPr>
      <w:r>
        <w:rPr>
          <w:rFonts w:hint="eastAsia" w:ascii="宋体" w:hAnsi="宋体" w:eastAsia="宋体" w:cs="宋体"/>
          <w:i w:val="0"/>
          <w:iCs w:val="0"/>
          <w:caps w:val="0"/>
          <w:color w:val="1F1F1F"/>
          <w:spacing w:val="0"/>
          <w:sz w:val="72"/>
          <w:szCs w:val="72"/>
          <w:bdr w:val="none" w:color="auto" w:sz="0" w:space="0"/>
          <w:shd w:val="clear" w:fill="FFFFFF"/>
          <w:lang w:val="en-US" w:eastAsia="zh-CN"/>
        </w:rPr>
        <w:t>作品申报书</w:t>
      </w:r>
    </w:p>
    <w:p>
      <w:pPr>
        <w:bidi w:val="0"/>
        <w:rPr>
          <w:rFonts w:hint="eastAsia"/>
        </w:rPr>
      </w:pPr>
    </w:p>
    <w:p>
      <w:pPr>
        <w:keepNext w:val="0"/>
        <w:keepLines w:val="0"/>
        <w:widowControl/>
        <w:suppressLineNumbers w:val="0"/>
        <w:jc w:val="left"/>
        <w:rPr>
          <w:rFonts w:hint="default"/>
          <w:lang w:val="en-US"/>
        </w:rPr>
      </w:pPr>
      <w:r>
        <w:rPr>
          <w:rFonts w:hint="eastAsia"/>
          <w:lang w:eastAsia="zh-CN"/>
        </w:rPr>
        <w:tab/>
      </w:r>
      <w:r>
        <w:rPr>
          <w:rFonts w:hint="eastAsia" w:ascii="宋体" w:hAnsi="宋体" w:eastAsia="宋体" w:cs="宋体"/>
          <w:b w:val="0"/>
          <w:bCs w:val="0"/>
          <w:i w:val="0"/>
          <w:iCs w:val="0"/>
          <w:caps w:val="0"/>
          <w:color w:val="333333"/>
          <w:spacing w:val="0"/>
          <w:kern w:val="0"/>
          <w:sz w:val="28"/>
          <w:szCs w:val="28"/>
          <w:shd w:val="clear" w:fill="FFFFFF"/>
          <w:lang w:val="en-US" w:eastAsia="zh-CN" w:bidi="ar"/>
        </w:rPr>
        <w:t>大规模非对称不定带宽线性代数方程组求解算法大赛-基于GPU加速的高性能ILU(0)- PBICGSTAB方法求解大规模线性代数方程组</w:t>
      </w: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pPr>
    </w:p>
    <w:p>
      <w:pPr>
        <w:tabs>
          <w:tab w:val="left" w:pos="2860"/>
        </w:tabs>
        <w:bidi w:val="0"/>
        <w:jc w:val="left"/>
        <w:rPr>
          <w:rFonts w:hint="default" w:eastAsiaTheme="minor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ab/>
      </w:r>
      <w:r>
        <w:rPr>
          <w:rFonts w:hint="eastAsia"/>
          <w:sz w:val="32"/>
          <w:szCs w:val="32"/>
          <w:lang w:val="en-US" w:eastAsia="zh-CN"/>
        </w:rPr>
        <w:t>edge-knife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line="32" w:lineRule="atLeast"/>
        <w:ind w:left="0" w:right="0" w:firstLine="0"/>
        <w:rPr>
          <w:rFonts w:hint="eastAsia" w:ascii="Hiragino Sans GB" w:hAnsi="Hiragino Sans GB" w:eastAsia="Hiragino Sans GB" w:cs="Hiragino Sans GB"/>
          <w:i w:val="0"/>
          <w:iCs w:val="0"/>
          <w:caps w:val="0"/>
          <w:color w:val="1F1F1F"/>
          <w:spacing w:val="0"/>
          <w:sz w:val="26"/>
          <w:szCs w:val="26"/>
          <w:bdr w:val="none" w:color="auto" w:sz="0" w:space="0"/>
          <w:shd w:val="clear" w:fill="FFFFFF"/>
        </w:rPr>
      </w:pPr>
    </w:p>
    <w:p>
      <w:pPr>
        <w:pStyle w:val="2"/>
        <w:bidi w:val="0"/>
      </w:pPr>
      <w:r>
        <w:rPr>
          <w:rFonts w:hint="eastAsia"/>
        </w:rPr>
        <w:t>一、基本信息</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93"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作品标题：</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lang w:val="en-US" w:eastAsia="zh-CN"/>
        </w:rPr>
        <w:t xml:space="preserve"> </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基于GPU加速的高性能ILU(0)-PBICGSTAB方法求解大规模线性代数方程组</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93"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摘要：</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lang w:val="en-US" w:eastAsia="zh-CN"/>
        </w:rPr>
        <w:t xml:space="preserve"> </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本</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lang w:val="en-US" w:eastAsia="zh-CN"/>
        </w:rPr>
        <w:t>项目是</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一种基于预处理稳定双共轭梯度法的不完全LU分解求解L-U矩阵的算法系统。该系统利用基于依赖分析的不完全LU分解作为预条件，结合C/CPP实现和C-CUDA编程，实现了高效的矩阵求解。通过自研实现关键算法瓶颈点，并利用底层语言进行性能优化，该系统在三角矩阵求解、LU分解等关键算法上的计算性能显著优于业界普遍水平，提升了10-20倍。尤其在处理L型三角稀疏矩阵时，该系统的性能超过了NVIDIA官方CUDA-TOOLKIT-</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lang w:val="en-US" w:eastAsia="zh-CN"/>
        </w:rPr>
        <w:t xml:space="preserve"> </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cusparse方法50倍左右。这一成果为科学计算、数值分析和工程领域中的大规模矩阵问题提供了高效解决方案。</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93"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作品软件分类</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lang w:val="en-US"/>
        </w:rPr>
        <w:t>: 开源软件/</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lang w:val="en-US" w:eastAsia="zh-CN"/>
        </w:rPr>
        <w:t>工业软件</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93"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应用领域：</w:t>
      </w: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lang w:val="en-US" w:eastAsia="zh-CN"/>
        </w:rPr>
        <w:t>计算流体力学/数值模拟</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93"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iCs w:val="0"/>
          <w:caps w:val="0"/>
          <w:color w:val="1F1F1F"/>
          <w:spacing w:val="0"/>
          <w:sz w:val="24"/>
          <w:szCs w:val="24"/>
          <w:bdr w:val="none" w:color="auto" w:sz="0" w:space="0"/>
          <w:shd w:val="clear" w:fill="FFFFFF"/>
        </w:rPr>
        <w:t>开放源码许可证类型（可多个）：AGPL-3.0</w:t>
      </w:r>
    </w:p>
    <w:p>
      <w:pPr>
        <w:pStyle w:val="2"/>
        <w:numPr>
          <w:ilvl w:val="0"/>
          <w:numId w:val="2"/>
        </w:numPr>
        <w:bidi w:val="0"/>
        <w:rPr>
          <w:rFonts w:hint="eastAsia"/>
        </w:rPr>
      </w:pPr>
      <w:r>
        <w:rPr>
          <w:rFonts w:hint="eastAsia"/>
        </w:rPr>
        <w:t>背景及应用领域</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船舶流体动力学是研究船舶在流体中运动规律的科学。随着科技的发展，船舶流体动力学在船舶设计、航行安全、能源节约等方面发挥着越来越重要的作用。而计算流体动力学（CFD）作为船舶流体动力学的重要分支，通过数值模拟的方法对流体流动进行模拟和分析，具有高效、经济、灵活等优点。因此，开发适用于船舶流体的CFD软件对于推动船舶工业的发展具有重要意义。</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本</w:t>
      </w:r>
      <w:r>
        <w:rPr>
          <w:rFonts w:hint="eastAsia" w:ascii="宋体" w:hAnsi="宋体" w:eastAsia="宋体" w:cs="宋体"/>
          <w:sz w:val="24"/>
          <w:szCs w:val="24"/>
          <w:lang w:val="en-US" w:eastAsia="zh-CN"/>
        </w:rPr>
        <w:t>项目</w:t>
      </w:r>
      <w:r>
        <w:rPr>
          <w:rFonts w:hint="eastAsia" w:ascii="宋体" w:hAnsi="宋体" w:eastAsia="宋体" w:cs="宋体"/>
          <w:sz w:val="24"/>
          <w:szCs w:val="24"/>
        </w:rPr>
        <w:t>旨在实现适用于船舶流体CFD软件的底层迭代算法，以提高CFD软件的计算精度和效率。本</w:t>
      </w:r>
      <w:r>
        <w:rPr>
          <w:rFonts w:hint="eastAsia" w:ascii="宋体" w:hAnsi="宋体" w:eastAsia="宋体" w:cs="宋体"/>
          <w:sz w:val="24"/>
          <w:szCs w:val="24"/>
          <w:lang w:val="en-US" w:eastAsia="zh-CN"/>
        </w:rPr>
        <w:t>项目的</w:t>
      </w:r>
      <w:r>
        <w:rPr>
          <w:rFonts w:hint="eastAsia" w:ascii="宋体" w:hAnsi="宋体" w:eastAsia="宋体" w:cs="宋体"/>
          <w:sz w:val="24"/>
          <w:szCs w:val="24"/>
        </w:rPr>
        <w:t>应用领域非常广泛，包括但不限于以下几个方面：</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rPr>
      </w:pPr>
      <w:r>
        <w:rPr>
          <w:rFonts w:hint="eastAsia" w:ascii="宋体" w:hAnsi="宋体" w:eastAsia="宋体" w:cs="宋体"/>
          <w:sz w:val="24"/>
          <w:szCs w:val="24"/>
        </w:rPr>
        <w:t>船舶设计：通过CFD软件模拟船舶在各种工况下的流体动力学性能，优化船舶设计，提高航行效率</w:t>
      </w:r>
      <w:r>
        <w:rPr>
          <w:rFonts w:hint="eastAsia" w:ascii="宋体" w:hAnsi="宋体" w:eastAsia="宋体" w:cs="宋体"/>
          <w:sz w:val="24"/>
          <w:szCs w:val="24"/>
          <w:lang w:eastAsia="zh-CN"/>
        </w:rPr>
        <w:t>；</w:t>
      </w:r>
      <w:r>
        <w:rPr>
          <w:rFonts w:hint="eastAsia" w:ascii="宋体" w:hAnsi="宋体" w:eastAsia="宋体" w:cs="宋体"/>
          <w:sz w:val="24"/>
          <w:szCs w:val="24"/>
        </w:rPr>
        <w:t>航行安全：通过CFD软件模拟和分析船舶在复杂环境下的流体动力行为，为航行安全提供保障。</w:t>
      </w:r>
      <w:r>
        <w:rPr>
          <w:rFonts w:hint="eastAsia" w:ascii="宋体" w:hAnsi="宋体" w:eastAsia="宋体" w:cs="宋体"/>
          <w:sz w:val="24"/>
          <w:szCs w:val="24"/>
          <w:lang w:eastAsia="zh-CN"/>
        </w:rPr>
        <w:t>；</w:t>
      </w:r>
      <w:r>
        <w:rPr>
          <w:rFonts w:hint="eastAsia" w:ascii="宋体" w:hAnsi="宋体" w:eastAsia="宋体" w:cs="宋体"/>
          <w:sz w:val="24"/>
          <w:szCs w:val="24"/>
        </w:rPr>
        <w:t>能源节约：通过CFD软件模拟和分析船舶的流体动力性能，优化船舶的能源配置和利用，降低能耗和排放。</w:t>
      </w:r>
      <w:r>
        <w:rPr>
          <w:rFonts w:hint="eastAsia" w:ascii="宋体" w:hAnsi="宋体" w:eastAsia="宋体" w:cs="宋体"/>
          <w:sz w:val="24"/>
          <w:szCs w:val="24"/>
          <w:lang w:eastAsia="zh-CN"/>
        </w:rPr>
        <w:t>；</w:t>
      </w:r>
      <w:r>
        <w:rPr>
          <w:rFonts w:hint="eastAsia" w:ascii="宋体" w:hAnsi="宋体" w:eastAsia="宋体" w:cs="宋体"/>
          <w:sz w:val="24"/>
          <w:szCs w:val="24"/>
        </w:rPr>
        <w:t>海洋工程：通过CFD软件模拟和分析海洋环境下的流体动力学问题，为海洋工程设计和运行提供技术支持。</w:t>
      </w:r>
    </w:p>
    <w:p>
      <w:pPr>
        <w:pStyle w:val="2"/>
        <w:numPr>
          <w:ilvl w:val="0"/>
          <w:numId w:val="2"/>
        </w:numPr>
        <w:bidi w:val="0"/>
        <w:ind w:left="0" w:leftChars="0" w:firstLine="0" w:firstLineChars="0"/>
        <w:rPr>
          <w:rFonts w:hint="eastAsia"/>
        </w:rPr>
      </w:pPr>
      <w:r>
        <w:rPr>
          <w:rFonts w:hint="eastAsia"/>
        </w:rPr>
        <w:t>国内外现状及分析对比</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国内在船舶流体CFD软件领域的研究和应用起步较晚，但近年来随着国家对船舶工业的重视和投入的增加，国内在该领域的研究和应用水平得到了快速提升。国内的一些高校、科研机构和企业已经开始自主研发船舶流体CFD软件，并取得了一定的成果。同时，国内的一些软件公司也积极跟进，推出了一些商业化的船舶流体CFD软件，但与国际先进水平相比仍有一定的差距。</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国外在船舶流体CFD软件领域的研究和应用起步较早，一些国际知名的流体动力学软件开发商如ANSYS、FLUENT等已经推出了商业化的船舶流体CFD软件，并在船舶工业界得到了广泛应用。这些软件在算法设计、计算精度、计算效率等方面都达到了较高的水平，成为国内外船舶流体CFD软件市场上的主导产品。</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与国外相比，国内在船舶流体CFD软件领域的研究和应用水平还有一定的差距，主要表现在以下几个方面：</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算法设计：国内在算法设计方面相对较为薄弱，而国外的知名CFD软件开发商通常拥有自己的算法库和工具箱，能够根据不同的流体动力学问题快速设计出高效的求解算法。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计算精度：国内在计算精度方面与国外相比还有一定差距，需要进一步提高计算精度以更好地满足实际应用需求。</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计算效率：国内在计算效率方面与国外相比也有一定差距，需要进一步优化算法和软件架构以提高计算效率。</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rPr>
          <w:rFonts w:hint="eastAsia" w:ascii="宋体" w:hAnsi="宋体" w:eastAsia="宋体" w:cs="宋体"/>
          <w:sz w:val="24"/>
          <w:szCs w:val="24"/>
        </w:rPr>
      </w:pPr>
      <w:r>
        <w:rPr>
          <w:rFonts w:hint="eastAsia" w:ascii="宋体" w:hAnsi="宋体" w:eastAsia="宋体" w:cs="宋体"/>
          <w:sz w:val="24"/>
          <w:szCs w:val="24"/>
        </w:rPr>
        <w:t>软件开发和商业化：国内在软件开发和商业化方面与国外相比还有很大的提升空间，需要进一步加强软件工程化和商业化方面的能力，提高软件的稳定性和易用性。</w:t>
      </w:r>
    </w:p>
    <w:p>
      <w:pPr>
        <w:numPr>
          <w:numId w:val="0"/>
        </w:numPr>
        <w:ind w:leftChars="0"/>
        <w:rPr>
          <w:rFonts w:hint="eastAsia"/>
        </w:rPr>
      </w:pPr>
    </w:p>
    <w:p>
      <w:pPr>
        <w:numPr>
          <w:numId w:val="0"/>
        </w:numPr>
        <w:ind w:leftChars="0"/>
        <w:rPr>
          <w:rFonts w:hint="eastAsia"/>
        </w:rPr>
      </w:pPr>
    </w:p>
    <w:p>
      <w:pPr>
        <w:pStyle w:val="2"/>
        <w:numPr>
          <w:ilvl w:val="0"/>
          <w:numId w:val="2"/>
        </w:numPr>
        <w:bidi w:val="0"/>
        <w:ind w:left="0" w:leftChars="0" w:firstLine="0" w:firstLineChars="0"/>
        <w:rPr>
          <w:rFonts w:hint="eastAsia"/>
        </w:rPr>
      </w:pPr>
      <w:r>
        <w:rPr>
          <w:rFonts w:hint="eastAsia"/>
        </w:rPr>
        <w:t>特点和设计思路</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本</w:t>
      </w:r>
      <w:r>
        <w:rPr>
          <w:rFonts w:hint="eastAsia" w:asciiTheme="minorEastAsia" w:hAnsiTheme="minorEastAsia" w:eastAsiaTheme="minorEastAsia" w:cstheme="minorEastAsia"/>
          <w:sz w:val="24"/>
          <w:szCs w:val="24"/>
        </w:rPr>
        <w:t>系统基于预处理稳定双共轭梯度法，利用不完全LU分解作为预条件，结合C/CPP实现和C-CUDA编程，实现了高效的矩阵求解。其特点包括：</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高效性：通过预处理技术和不完全LU分解，显著提高了计算性能，相较于业界普遍水平提升了10-20倍。</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适用性：尤其适用于处理</w:t>
      </w:r>
      <w:r>
        <w:rPr>
          <w:rFonts w:hint="eastAsia" w:asciiTheme="minorEastAsia" w:hAnsiTheme="minorEastAsia" w:cstheme="minorEastAsia"/>
          <w:sz w:val="24"/>
          <w:szCs w:val="24"/>
          <w:lang w:val="en-US" w:eastAsia="zh-CN"/>
        </w:rPr>
        <w:t>各类型</w:t>
      </w:r>
      <w:r>
        <w:rPr>
          <w:rFonts w:hint="eastAsia" w:asciiTheme="minorEastAsia" w:hAnsiTheme="minorEastAsia" w:eastAsiaTheme="minorEastAsia" w:cstheme="minorEastAsia"/>
          <w:sz w:val="24"/>
          <w:szCs w:val="24"/>
        </w:rPr>
        <w:t>稀疏矩阵</w:t>
      </w:r>
      <w:r>
        <w:rPr>
          <w:rFonts w:hint="eastAsia" w:asciiTheme="minorEastAsia" w:hAnsiTheme="minorEastAsia" w:cstheme="minorEastAsia"/>
          <w:sz w:val="24"/>
          <w:szCs w:val="24"/>
          <w:lang w:val="en-US" w:eastAsia="zh-CN"/>
        </w:rPr>
        <w:t>求解</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稳定性：采用稳定双共轭梯度法，保证了求解过程的稳定性和准确性。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易用性：提供C/CPP接口和C-CUDA编程支持，方便用户进行二次开发和集成。</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本</w:t>
      </w:r>
      <w:r>
        <w:rPr>
          <w:rFonts w:hint="eastAsia" w:asciiTheme="minorEastAsia" w:hAnsiTheme="minorEastAsia" w:eastAsiaTheme="minorEastAsia" w:cstheme="minorEastAsia"/>
          <w:sz w:val="24"/>
          <w:szCs w:val="24"/>
        </w:rPr>
        <w:t>系统的设计思路主要包括以下几点：</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基于预处理技术：通过不完全LU分解作为预条件，降低求解难度，提高计算效率。</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优化算法瓶颈：自研实现关键算法瓶颈点，针对性地进行性能优化。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rPr>
      </w:pPr>
      <w:r>
        <w:rPr>
          <w:rFonts w:hint="eastAsia" w:asciiTheme="minorEastAsia" w:hAnsiTheme="minorEastAsia" w:eastAsiaTheme="minorEastAsia" w:cstheme="minorEastAsia"/>
          <w:sz w:val="24"/>
          <w:szCs w:val="24"/>
        </w:rPr>
        <w:t>利用底层语言优化：利用C/CPP和C-CUDA编程，充分发挥底层语言的性能优势，</w:t>
      </w:r>
      <w:r>
        <w:rPr>
          <w:rFonts w:hint="eastAsia" w:asciiTheme="minorEastAsia" w:hAnsiTheme="minorEastAsia" w:cstheme="minorEastAsia"/>
          <w:sz w:val="24"/>
          <w:szCs w:val="24"/>
          <w:lang w:val="en-US" w:eastAsia="zh-CN"/>
        </w:rPr>
        <w:t>发挥CPU GPU的计算能力，</w:t>
      </w:r>
      <w:r>
        <w:rPr>
          <w:rFonts w:hint="eastAsia" w:asciiTheme="minorEastAsia" w:hAnsiTheme="minorEastAsia" w:eastAsiaTheme="minorEastAsia" w:cstheme="minorEastAsia"/>
          <w:sz w:val="24"/>
          <w:szCs w:val="24"/>
        </w:rPr>
        <w:t>提升计算速度。</w:t>
      </w:r>
    </w:p>
    <w:p>
      <w:pPr>
        <w:pStyle w:val="2"/>
        <w:numPr>
          <w:ilvl w:val="0"/>
          <w:numId w:val="2"/>
        </w:numPr>
        <w:bidi w:val="0"/>
        <w:rPr>
          <w:rFonts w:hint="eastAsia"/>
        </w:rPr>
      </w:pPr>
      <w:r>
        <w:rPr>
          <w:rFonts w:hint="eastAsia"/>
        </w:rPr>
        <w:t>数据结构及功能描述</w:t>
      </w:r>
    </w:p>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rPr>
        <w:t>数据结构描述：</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本项目涉及的数据结构主要是基于CSR格式存储的稀疏矩阵，以及使用一维数组表示的方程右端项向量和解向量。</w:t>
      </w:r>
      <w:r>
        <w:rPr>
          <w:rFonts w:hint="eastAsia" w:ascii="宋体" w:hAnsi="宋体" w:eastAsia="宋体" w:cs="宋体"/>
          <w:sz w:val="24"/>
          <w:szCs w:val="24"/>
        </w:rPr>
        <w:t>CSR（Compressed Sparse Row）是一种常用的稀疏矩阵存储格式。在CSR结构中，稀疏矩阵被压缩成三个数组：(row_ind, col_ind, values)。</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row_ind：存储每行非零元素的索引，不包含行尾的nnz值。</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col_ind：存储非零元素对应的列索引。</w:t>
      </w:r>
    </w:p>
    <w:p>
      <w:pPr>
        <w:pageBreakBefore w:val="0"/>
        <w:widowControl w:val="0"/>
        <w:numPr>
          <w:numId w:val="0"/>
        </w:numPr>
        <w:kinsoku/>
        <w:wordWrap/>
        <w:overflowPunct/>
        <w:topLinePunct w:val="0"/>
        <w:autoSpaceDE/>
        <w:autoSpaceDN/>
        <w:bidi w:val="0"/>
        <w:adjustRightInd/>
        <w:snapToGrid/>
        <w:spacing w:line="360" w:lineRule="auto"/>
        <w:ind w:leftChars="0" w:firstLine="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values：存储非零元素的值。</w:t>
      </w:r>
    </w:p>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rPr>
        <w:t>这种结构的特点是：只存储非零元素的位置和值，大大节省了存储空间。</w:t>
      </w:r>
    </w:p>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p>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rPr>
        <w:t>功能描述：</w:t>
      </w:r>
    </w:p>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rPr>
        <w:t>本系统包含三个主要模块：</w:t>
      </w:r>
    </w:p>
    <w:p>
      <w:pPr>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文件输入输出模块：</w:t>
      </w:r>
    </w:p>
    <w:p>
      <w:pPr>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功能：负责读取和写入CSR格式的稀疏矩阵数据。</w:t>
      </w:r>
    </w:p>
    <w:p>
      <w:pPr>
        <w:pageBreakBefore w:val="0"/>
        <w:widowControl w:val="0"/>
        <w:numPr>
          <w:ilvl w:val="0"/>
          <w:numId w:val="4"/>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流程：</w:t>
      </w:r>
    </w:p>
    <w:p>
      <w:pPr>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读取文件中的row_ind、col_ind和values。</w:t>
      </w:r>
    </w:p>
    <w:p>
      <w:pPr>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将这三个数组转换为CSR格式的稀疏矩阵。</w:t>
      </w:r>
    </w:p>
    <w:p>
      <w:pPr>
        <w:pageBreakBefore w:val="0"/>
        <w:widowControl w:val="0"/>
        <w:numPr>
          <w:ilvl w:val="0"/>
          <w:numId w:val="5"/>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将处理后的矩阵数据传递给其他模块。</w:t>
      </w:r>
    </w:p>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2.</w:t>
      </w:r>
      <w:r>
        <w:rPr>
          <w:rFonts w:hint="eastAsia" w:ascii="宋体" w:hAnsi="宋体" w:eastAsia="宋体" w:cs="宋体"/>
          <w:sz w:val="24"/>
          <w:szCs w:val="24"/>
        </w:rPr>
        <w:t>系数矩阵预处理模块：</w:t>
      </w:r>
    </w:p>
    <w:p>
      <w:pPr>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功能：对系数矩阵进行必要的预处理操作，如排序、压缩</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LU分解</w:t>
      </w:r>
      <w:r>
        <w:rPr>
          <w:rFonts w:hint="eastAsia" w:ascii="宋体" w:hAnsi="宋体" w:eastAsia="宋体" w:cs="宋体"/>
          <w:sz w:val="24"/>
          <w:szCs w:val="24"/>
        </w:rPr>
        <w:t>等。</w:t>
      </w:r>
    </w:p>
    <w:p>
      <w:pPr>
        <w:pageBreakBefore w:val="0"/>
        <w:widowControl w:val="0"/>
        <w:numPr>
          <w:ilvl w:val="0"/>
          <w:numId w:val="6"/>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流程：</w:t>
      </w:r>
    </w:p>
    <w:p>
      <w:pPr>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根据row_ind和col_ind对矩阵进行排序，确保矩阵的非零元素按照行优先的顺序排列。</w:t>
      </w:r>
    </w:p>
    <w:p>
      <w:pPr>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对稀疏矩阵进行压缩，去除重复和非必要的元素。</w:t>
      </w:r>
    </w:p>
    <w:p>
      <w:pPr>
        <w:pageBreakBefore w:val="0"/>
        <w:widowControl w:val="0"/>
        <w:numPr>
          <w:ilvl w:val="0"/>
          <w:numId w:val="7"/>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对稀疏矩阵进行不完全LU分解，以加速后续方程求解速度。</w:t>
      </w:r>
    </w:p>
    <w:p>
      <w:pPr>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方程组求解模块：</w:t>
      </w:r>
    </w:p>
    <w:p>
      <w:pPr>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功能：基于预处理的系数矩阵，使用特定的迭代算法（如预处理稳定双共轭梯度法）进行方程组的求解。</w:t>
      </w:r>
    </w:p>
    <w:p>
      <w:pPr>
        <w:pageBreakBefore w:val="0"/>
        <w:widowControl w:val="0"/>
        <w:numPr>
          <w:ilvl w:val="0"/>
          <w:numId w:val="8"/>
        </w:numPr>
        <w:kinsoku/>
        <w:wordWrap/>
        <w:overflowPunct/>
        <w:topLinePunct w:val="0"/>
        <w:autoSpaceDE/>
        <w:autoSpaceDN/>
        <w:bidi w:val="0"/>
        <w:adjustRightInd/>
        <w:snapToGrid/>
        <w:spacing w:line="360" w:lineRule="auto"/>
        <w:ind w:left="420" w:leftChars="0" w:hanging="420"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流程：</w:t>
      </w:r>
    </w:p>
    <w:p>
      <w:pPr>
        <w:pageBreakBefore w:val="0"/>
        <w:widowControl w:val="0"/>
        <w:numPr>
          <w:ilvl w:val="0"/>
          <w:numId w:val="9"/>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初始化迭代算法所需的参数。</w:t>
      </w:r>
    </w:p>
    <w:p>
      <w:pPr>
        <w:pageBreakBefore w:val="0"/>
        <w:widowControl w:val="0"/>
        <w:numPr>
          <w:ilvl w:val="0"/>
          <w:numId w:val="9"/>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执行迭代计算，直到满足收敛条件或达到最大迭代次数。</w:t>
      </w:r>
    </w:p>
    <w:p>
      <w:pPr>
        <w:pageBreakBefore w:val="0"/>
        <w:widowControl w:val="0"/>
        <w:numPr>
          <w:ilvl w:val="0"/>
          <w:numId w:val="9"/>
        </w:numPr>
        <w:kinsoku/>
        <w:wordWrap/>
        <w:overflowPunct/>
        <w:topLinePunct w:val="0"/>
        <w:autoSpaceDE/>
        <w:autoSpaceDN/>
        <w:bidi w:val="0"/>
        <w:adjustRightInd/>
        <w:snapToGrid/>
        <w:spacing w:line="360" w:lineRule="auto"/>
        <w:ind w:left="845" w:leftChars="0" w:hanging="425" w:firstLineChars="0"/>
        <w:jc w:val="left"/>
        <w:textAlignment w:val="auto"/>
        <w:rPr>
          <w:rFonts w:hint="eastAsia" w:ascii="宋体" w:hAnsi="宋体" w:eastAsia="宋体" w:cs="宋体"/>
          <w:sz w:val="24"/>
          <w:szCs w:val="24"/>
        </w:rPr>
      </w:pPr>
      <w:r>
        <w:rPr>
          <w:rFonts w:hint="eastAsia" w:ascii="宋体" w:hAnsi="宋体" w:eastAsia="宋体" w:cs="宋体"/>
          <w:sz w:val="24"/>
          <w:szCs w:val="24"/>
        </w:rPr>
        <w:t>返回方程的解。</w:t>
      </w:r>
    </w:p>
    <w:p>
      <w:pPr>
        <w:numPr>
          <w:numId w:val="0"/>
        </w:numPr>
        <w:ind w:leftChars="0"/>
        <w:rPr>
          <w:rFonts w:hint="eastAsia"/>
        </w:rPr>
      </w:pPr>
    </w:p>
    <w:p>
      <w:pPr>
        <w:pStyle w:val="2"/>
        <w:bidi w:val="0"/>
        <w:rPr>
          <w:rFonts w:hint="eastAsia"/>
        </w:rPr>
      </w:pPr>
      <w:r>
        <w:rPr>
          <w:rFonts w:hint="eastAsia"/>
        </w:rPr>
        <w:t>六、体系结构和关键技术点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作品体系结构描述：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420" w:firstLineChars="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本作品主要由三个模块组成：文件输入输出模块、系数矩阵预处理模块和方程组求解模块。各模块之间通过数据流进行交互，形成完整的系统流程。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文件输入输出模块：职责：负责读取和写入外部文件，特别是CSR格式的稀疏矩阵数据。与其他模块的关系：此模块将读取的稀疏矩阵数据传递给系数矩阵预处理模块，并将预处理后的数据传递给方程组求解模块。同时，它还负责将求解模块的结果输出到文件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系数矩阵预处理模块：职责：对从文件输入输出模块接收到的系数矩阵进行必要的预处理，如排序、压缩</w:t>
      </w:r>
      <w:r>
        <w:rPr>
          <w:rFonts w:hint="eastAsia" w:ascii="宋体" w:hAnsi="宋体" w:eastAsia="宋体" w:cs="宋体"/>
          <w:i w:val="0"/>
          <w:iCs w:val="0"/>
          <w:caps w:val="0"/>
          <w:color w:val="1F1F1F"/>
          <w:spacing w:val="0"/>
          <w:sz w:val="24"/>
          <w:szCs w:val="24"/>
          <w:lang w:eastAsia="zh-CN"/>
        </w:rPr>
        <w:t>、</w:t>
      </w:r>
      <w:r>
        <w:rPr>
          <w:rFonts w:hint="eastAsia" w:ascii="宋体" w:hAnsi="宋体" w:eastAsia="宋体" w:cs="宋体"/>
          <w:i w:val="0"/>
          <w:iCs w:val="0"/>
          <w:caps w:val="0"/>
          <w:color w:val="1F1F1F"/>
          <w:spacing w:val="0"/>
          <w:sz w:val="24"/>
          <w:szCs w:val="24"/>
          <w:lang w:val="en-US" w:eastAsia="zh-CN"/>
        </w:rPr>
        <w:t>LU分解</w:t>
      </w:r>
      <w:r>
        <w:rPr>
          <w:rFonts w:hint="eastAsia" w:ascii="宋体" w:hAnsi="宋体" w:eastAsia="宋体" w:cs="宋体"/>
          <w:i w:val="0"/>
          <w:iCs w:val="0"/>
          <w:caps w:val="0"/>
          <w:color w:val="1F1F1F"/>
          <w:spacing w:val="0"/>
          <w:sz w:val="24"/>
          <w:szCs w:val="24"/>
        </w:rPr>
        <w:t>等</w:t>
      </w:r>
      <w:r>
        <w:rPr>
          <w:rFonts w:hint="eastAsia" w:ascii="宋体" w:hAnsi="宋体" w:eastAsia="宋体" w:cs="宋体"/>
          <w:i w:val="0"/>
          <w:iCs w:val="0"/>
          <w:caps w:val="0"/>
          <w:color w:val="1F1F1F"/>
          <w:spacing w:val="0"/>
          <w:sz w:val="24"/>
          <w:szCs w:val="24"/>
          <w:lang w:eastAsia="zh-CN"/>
        </w:rPr>
        <w:t>。</w:t>
      </w:r>
      <w:r>
        <w:rPr>
          <w:rFonts w:hint="eastAsia" w:ascii="宋体" w:hAnsi="宋体" w:eastAsia="宋体" w:cs="宋体"/>
          <w:i w:val="0"/>
          <w:iCs w:val="0"/>
          <w:caps w:val="0"/>
          <w:color w:val="1F1F1F"/>
          <w:spacing w:val="0"/>
          <w:sz w:val="24"/>
          <w:szCs w:val="24"/>
        </w:rPr>
        <w:t>与其他模块的关系：从文件输入输出模块接收原始数据，经过预处理后，将数据传递给方程组求解模块。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方程组求解模块：职责：基于预处理的系数矩阵，使用特定的迭代算法进行方程组的求解。与其他模块的关系：从系数矩阵预处理模块接收预处理后的数据，进行方程组的求解，并将结果返回给文件输入输出模块进行输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lang w:val="en-US" w:eastAsia="zh-CN"/>
        </w:rPr>
      </w:pPr>
      <w:r>
        <w:rPr>
          <w:rFonts w:hint="eastAsia" w:ascii="宋体" w:hAnsi="宋体" w:eastAsia="宋体" w:cs="宋体"/>
          <w:i w:val="0"/>
          <w:iCs w:val="0"/>
          <w:caps w:val="0"/>
          <w:color w:val="1F1F1F"/>
          <w:spacing w:val="0"/>
          <w:sz w:val="24"/>
          <w:szCs w:val="24"/>
        </w:rPr>
        <w:t>关键技术点：</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预处理技术：预处理技术是提高迭代算法效率的关键。通过对系数矩阵进行</w:t>
      </w:r>
      <w:r>
        <w:rPr>
          <w:rFonts w:hint="eastAsia" w:ascii="宋体" w:hAnsi="宋体" w:eastAsia="宋体" w:cs="宋体"/>
          <w:i w:val="0"/>
          <w:iCs w:val="0"/>
          <w:caps w:val="0"/>
          <w:color w:val="1F1F1F"/>
          <w:spacing w:val="0"/>
          <w:sz w:val="24"/>
          <w:szCs w:val="24"/>
          <w:lang w:val="en-US" w:eastAsia="zh-CN"/>
        </w:rPr>
        <w:t>不完全LU分解</w:t>
      </w:r>
      <w:r>
        <w:rPr>
          <w:rFonts w:hint="eastAsia" w:ascii="宋体" w:hAnsi="宋体" w:eastAsia="宋体" w:cs="宋体"/>
          <w:i w:val="0"/>
          <w:iCs w:val="0"/>
          <w:caps w:val="0"/>
          <w:color w:val="1F1F1F"/>
          <w:spacing w:val="0"/>
          <w:sz w:val="24"/>
          <w:szCs w:val="24"/>
        </w:rPr>
        <w:t>，我们可以加速迭代算法的计算过程，提高整体效率。</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迭代算法：本作品采用了稳定双共轭梯度法作为迭代算法。这种方法在求解大型稀疏线性方程组时具有较高的计算效率和稳定性。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宋体" w:hAnsi="宋体" w:eastAsia="宋体" w:cs="宋体"/>
          <w:i w:val="0"/>
          <w:iCs w:val="0"/>
          <w:caps w:val="0"/>
          <w:color w:val="1F1F1F"/>
          <w:spacing w:val="0"/>
          <w:sz w:val="24"/>
          <w:szCs w:val="24"/>
        </w:rPr>
      </w:pPr>
      <w:r>
        <w:rPr>
          <w:rFonts w:hint="eastAsia" w:ascii="宋体" w:hAnsi="宋体" w:eastAsia="宋体" w:cs="宋体"/>
          <w:i w:val="0"/>
          <w:iCs w:val="0"/>
          <w:caps w:val="0"/>
          <w:color w:val="1F1F1F"/>
          <w:spacing w:val="0"/>
          <w:sz w:val="24"/>
          <w:szCs w:val="24"/>
        </w:rPr>
        <w:t>并行计算：利用现代计算机的多核处理器，</w:t>
      </w:r>
      <w:r>
        <w:rPr>
          <w:rFonts w:hint="eastAsia" w:ascii="宋体" w:hAnsi="宋体" w:eastAsia="宋体" w:cs="宋体"/>
          <w:i w:val="0"/>
          <w:iCs w:val="0"/>
          <w:caps w:val="0"/>
          <w:color w:val="1F1F1F"/>
          <w:spacing w:val="0"/>
          <w:sz w:val="24"/>
          <w:szCs w:val="24"/>
          <w:lang w:val="en-US" w:eastAsia="zh-CN"/>
        </w:rPr>
        <w:t>和GPU的众核处理能力，</w:t>
      </w:r>
      <w:r>
        <w:rPr>
          <w:rFonts w:hint="eastAsia" w:ascii="宋体" w:hAnsi="宋体" w:eastAsia="宋体" w:cs="宋体"/>
          <w:i w:val="0"/>
          <w:iCs w:val="0"/>
          <w:caps w:val="0"/>
          <w:color w:val="1F1F1F"/>
          <w:spacing w:val="0"/>
          <w:sz w:val="24"/>
          <w:szCs w:val="24"/>
        </w:rPr>
        <w:t>我们将整个计算过程设计为并行化，从而提高整体计算速度。尤其是在矩阵乘法和迭代计算过程中，充分利用了并行化技术。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240" w:beforeAutospacing="0" w:after="0" w:afterAutospacing="0" w:line="360" w:lineRule="auto"/>
        <w:ind w:left="0" w:right="0" w:firstLine="0"/>
        <w:textAlignment w:val="auto"/>
        <w:rPr>
          <w:rFonts w:hint="eastAsia" w:ascii="Hiragino Sans GB" w:hAnsi="Hiragino Sans GB" w:eastAsia="Hiragino Sans GB" w:cs="Hiragino Sans GB"/>
          <w:i w:val="0"/>
          <w:iCs w:val="0"/>
          <w:caps w:val="0"/>
          <w:color w:val="1F1F1F"/>
          <w:spacing w:val="0"/>
          <w:sz w:val="26"/>
          <w:szCs w:val="26"/>
        </w:rPr>
      </w:pPr>
      <w:r>
        <w:rPr>
          <w:rFonts w:hint="eastAsia" w:ascii="宋体" w:hAnsi="宋体" w:eastAsia="宋体" w:cs="宋体"/>
          <w:i w:val="0"/>
          <w:iCs w:val="0"/>
          <w:caps w:val="0"/>
          <w:color w:val="1F1F1F"/>
          <w:spacing w:val="0"/>
          <w:sz w:val="24"/>
          <w:szCs w:val="24"/>
        </w:rPr>
        <w:t>优化技术：针对关键算法瓶颈，我们进行了深度优化，包括但不限于算法实现、内存管理、线程调度等方面的优化，从而确保了系统的高效运行。</w:t>
      </w:r>
    </w:p>
    <w:p>
      <w:pPr>
        <w:pStyle w:val="2"/>
        <w:numPr>
          <w:numId w:val="0"/>
        </w:numPr>
        <w:bidi w:val="0"/>
        <w:ind w:leftChars="0"/>
        <w:rPr>
          <w:rFonts w:hint="eastAsia"/>
        </w:rPr>
      </w:pPr>
      <w:r>
        <w:rPr>
          <w:rFonts w:hint="eastAsia"/>
          <w:lang w:val="en-US" w:eastAsia="zh-CN"/>
        </w:rPr>
        <w:t>七、</w:t>
      </w:r>
      <w:r>
        <w:rPr>
          <w:rFonts w:hint="eastAsia"/>
        </w:rPr>
        <w:t>功能模块设计</w:t>
      </w:r>
    </w:p>
    <w:p>
      <w:pPr>
        <w:numPr>
          <w:ilvl w:val="0"/>
          <w:numId w:val="10"/>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文件输入输出模块</w:t>
      </w:r>
    </w:p>
    <w:p>
      <w:pPr>
        <w:numPr>
          <w:numId w:val="0"/>
        </w:numPr>
        <w:ind w:leftChars="0"/>
        <w:rPr>
          <w:rFonts w:hint="eastAsia" w:asciiTheme="minorEastAsia" w:hAnsiTheme="minorEastAsia" w:eastAsiaTheme="minorEastAsia" w:cstheme="minorEastAsia"/>
          <w:sz w:val="24"/>
          <w:szCs w:val="24"/>
        </w:rPr>
      </w:pP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实现方式：使用C++的文件流操作，如ifstream和ofstream，来读取和写入文件。对于CSR格式的稀疏矩阵，我们特别定义了数据结构来存储row_ind、col_ind和values。</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实现流程：</w:t>
      </w:r>
    </w:p>
    <w:p>
      <w:pPr>
        <w:numPr>
          <w:ilvl w:val="0"/>
          <w:numId w:val="11"/>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打开指定的输入文件，读取row_ind、col_ind和values。</w:t>
      </w:r>
    </w:p>
    <w:p>
      <w:pPr>
        <w:numPr>
          <w:ilvl w:val="0"/>
          <w:numId w:val="11"/>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将读取的数据转换为内部使用的数据结构。</w:t>
      </w:r>
    </w:p>
    <w:p>
      <w:pPr>
        <w:numPr>
          <w:ilvl w:val="0"/>
          <w:numId w:val="11"/>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将数据传递给下一个模块。</w:t>
      </w:r>
    </w:p>
    <w:p>
      <w:pPr>
        <w:numPr>
          <w:ilvl w:val="0"/>
          <w:numId w:val="11"/>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计算完成后，</w:t>
      </w:r>
      <w:r>
        <w:rPr>
          <w:rFonts w:hint="eastAsia" w:asciiTheme="minorEastAsia" w:hAnsiTheme="minorEastAsia" w:eastAsiaTheme="minorEastAsia" w:cstheme="minorEastAsia"/>
          <w:sz w:val="24"/>
          <w:szCs w:val="24"/>
        </w:rPr>
        <w:t>打开指定的输出文件，将结果写入。</w:t>
      </w:r>
    </w:p>
    <w:p>
      <w:pPr>
        <w:numPr>
          <w:ilvl w:val="0"/>
          <w:numId w:val="12"/>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系数矩阵预处理模块</w:t>
      </w:r>
    </w:p>
    <w:p>
      <w:pPr>
        <w:numPr>
          <w:numId w:val="0"/>
        </w:numPr>
        <w:ind w:leftChars="0"/>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实现方式：对接收到的稀疏矩阵数据进行</w:t>
      </w:r>
      <w:r>
        <w:rPr>
          <w:rFonts w:hint="eastAsia" w:asciiTheme="minorEastAsia" w:hAnsiTheme="minorEastAsia" w:cstheme="minorEastAsia"/>
          <w:sz w:val="24"/>
          <w:szCs w:val="24"/>
          <w:lang w:val="en-US" w:eastAsia="zh-CN"/>
        </w:rPr>
        <w:t>不完全LU分解</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实现流程：</w:t>
      </w:r>
    </w:p>
    <w:p>
      <w:pPr>
        <w:numPr>
          <w:ilvl w:val="0"/>
          <w:numId w:val="13"/>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接收从文件输入输出模块传递过来的数据。</w:t>
      </w:r>
    </w:p>
    <w:p>
      <w:pPr>
        <w:numPr>
          <w:ilvl w:val="0"/>
          <w:numId w:val="13"/>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对系数矩阵各非0元素进行LU分解依赖元素分析</w:t>
      </w:r>
    </w:p>
    <w:p>
      <w:pPr>
        <w:numPr>
          <w:ilvl w:val="0"/>
          <w:numId w:val="13"/>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cstheme="minorEastAsia"/>
          <w:sz w:val="24"/>
          <w:szCs w:val="24"/>
          <w:lang w:val="en-US" w:eastAsia="zh-CN"/>
        </w:rPr>
        <w:t>基于依赖元素分析，完成LU分解预处理</w:t>
      </w:r>
    </w:p>
    <w:p>
      <w:pPr>
        <w:numPr>
          <w:ilvl w:val="0"/>
          <w:numId w:val="13"/>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将预处理后的数据传递给方程组求解模块。</w:t>
      </w:r>
    </w:p>
    <w:p>
      <w:pPr>
        <w:numPr>
          <w:ilvl w:val="0"/>
          <w:numId w:val="14"/>
        </w:numPr>
        <w:ind w:left="420" w:leftChars="0" w:hanging="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方程组求解模块</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实现方式：使用稳定双共轭梯度法作为迭代算法。对预处理后的数据进行迭代计算，直到满足收敛条件或达到最大迭代次数。</w:t>
      </w:r>
    </w:p>
    <w:p>
      <w:pPr>
        <w:numPr>
          <w:numId w:val="0"/>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实现流程：</w:t>
      </w:r>
    </w:p>
    <w:p>
      <w:pPr>
        <w:numPr>
          <w:ilvl w:val="0"/>
          <w:numId w:val="15"/>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接收预处理后的数据。</w:t>
      </w:r>
    </w:p>
    <w:p>
      <w:pPr>
        <w:numPr>
          <w:ilvl w:val="0"/>
          <w:numId w:val="15"/>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初始化迭代算法所需的参数，如初始解、迭代次数等。</w:t>
      </w:r>
    </w:p>
    <w:p>
      <w:pPr>
        <w:numPr>
          <w:ilvl w:val="0"/>
          <w:numId w:val="15"/>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执行迭代计算，直到满足收敛条件或达到最大迭代次数。</w:t>
      </w:r>
    </w:p>
    <w:p>
      <w:pPr>
        <w:numPr>
          <w:ilvl w:val="0"/>
          <w:numId w:val="15"/>
        </w:numPr>
        <w:ind w:left="845" w:leftChars="0" w:hanging="425"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将结果返回给文件输入输出模块进行输出。</w:t>
      </w:r>
    </w:p>
    <w:p>
      <w:pPr>
        <w:pStyle w:val="2"/>
        <w:numPr>
          <w:numId w:val="0"/>
        </w:numPr>
        <w:bidi w:val="0"/>
        <w:ind w:leftChars="0"/>
        <w:rPr>
          <w:rFonts w:hint="eastAsia"/>
        </w:rPr>
      </w:pPr>
      <w:r>
        <w:rPr>
          <w:rFonts w:hint="eastAsia"/>
          <w:lang w:val="en-US" w:eastAsia="zh-CN"/>
        </w:rPr>
        <w:t>八、</w:t>
      </w:r>
      <w:r>
        <w:rPr>
          <w:rFonts w:hint="eastAsia"/>
        </w:rPr>
        <w:t>源代码、部署及维护说明</w:t>
      </w:r>
    </w:p>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sz w:val="24"/>
          <w:szCs w:val="24"/>
          <w:lang w:val="en-US" w:eastAsia="zh-CN"/>
        </w:rPr>
        <w:t>源代码位于</w:t>
      </w:r>
      <w:r>
        <w:rPr>
          <w:rFonts w:hint="eastAsia" w:ascii="宋体" w:hAnsi="宋体" w:eastAsia="宋体" w:cs="宋体"/>
          <w:i w:val="0"/>
          <w:iCs w:val="0"/>
          <w:caps w:val="0"/>
          <w:color w:val="292929"/>
          <w:spacing w:val="0"/>
          <w:kern w:val="0"/>
          <w:sz w:val="24"/>
          <w:szCs w:val="24"/>
          <w:shd w:val="clear" w:fill="FFFFFF"/>
          <w:lang w:val="en-US" w:eastAsia="zh-CN" w:bidi="ar"/>
        </w:rPr>
        <w:t>https://atomgit.com/ax-b/000006-edgeknife.git</w:t>
      </w:r>
    </w:p>
    <w:p>
      <w:pPr>
        <w:numPr>
          <w:numId w:val="0"/>
        </w:numPr>
        <w:ind w:left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部署及维护说明详见代码仓库</w:t>
      </w:r>
    </w:p>
    <w:p>
      <w:pPr>
        <w:pStyle w:val="2"/>
        <w:numPr>
          <w:ilvl w:val="0"/>
          <w:numId w:val="16"/>
        </w:numPr>
        <w:bidi w:val="0"/>
        <w:rPr>
          <w:rFonts w:hint="eastAsia"/>
        </w:rPr>
      </w:pPr>
      <w:r>
        <w:rPr>
          <w:rFonts w:hint="eastAsia"/>
        </w:rPr>
        <w:t>测试报告与用户手册</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代码运行操作: </w:t>
      </w:r>
      <w:r>
        <w:rPr>
          <w:rFonts w:hint="eastAsia" w:ascii="宋体" w:hAnsi="宋体" w:eastAsia="宋体" w:cs="宋体"/>
          <w:sz w:val="24"/>
          <w:szCs w:val="24"/>
          <w:lang w:val="en-US" w:eastAsia="zh-CN"/>
        </w:rPr>
        <w:t>./megasolve [矩阵行数] [非零元数] [矩阵文件] [右端项文件] [初始值文件] [输出结果文件]</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本项目以上面的运行方式，分别测试了两个案例：：静水状态下KVLCC2叠模（超大型油轮）湍流绕流计算以及斜航状态下SUBOFF水下潜艇湍流绕流计算。</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KVLCC2算例向量维度为351864（网格数），矩阵非零元数为2426070；SUBOFF算例向量维度为1277000（网格数），矩阵非零元数为8946506。</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设置精度目标误差为1e-6，相应求解时间如下，均能成功收敛</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024"/>
        <w:gridCol w:w="3136"/>
        <w:gridCol w:w="913"/>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算例</w:t>
            </w:r>
          </w:p>
        </w:tc>
        <w:tc>
          <w:tcPr>
            <w:tcW w:w="3136"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数据特征</w:t>
            </w:r>
          </w:p>
        </w:tc>
        <w:tc>
          <w:tcPr>
            <w:tcW w:w="91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精度</w:t>
            </w:r>
          </w:p>
        </w:tc>
        <w:tc>
          <w:tcPr>
            <w:tcW w:w="244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耗时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KVLCC2-u分量</w:t>
            </w:r>
          </w:p>
        </w:tc>
        <w:tc>
          <w:tcPr>
            <w:tcW w:w="3136" w:type="dxa"/>
            <w:vMerge w:val="restart"/>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向量维度 351864，非零元 242670</w:t>
            </w:r>
          </w:p>
        </w:tc>
        <w:tc>
          <w:tcPr>
            <w:tcW w:w="91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1e-6</w:t>
            </w:r>
          </w:p>
        </w:tc>
        <w:tc>
          <w:tcPr>
            <w:tcW w:w="244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KVLCC2-v分量</w:t>
            </w:r>
          </w:p>
        </w:tc>
        <w:tc>
          <w:tcPr>
            <w:tcW w:w="313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p>
        </w:tc>
        <w:tc>
          <w:tcPr>
            <w:tcW w:w="91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1e-6</w:t>
            </w:r>
          </w:p>
        </w:tc>
        <w:tc>
          <w:tcPr>
            <w:tcW w:w="244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40ms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KVLCC2-w分量</w:t>
            </w:r>
          </w:p>
        </w:tc>
        <w:tc>
          <w:tcPr>
            <w:tcW w:w="313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p>
        </w:tc>
        <w:tc>
          <w:tcPr>
            <w:tcW w:w="91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1e-6</w:t>
            </w:r>
          </w:p>
        </w:tc>
        <w:tc>
          <w:tcPr>
            <w:tcW w:w="244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SUBOFF-u分量</w:t>
            </w:r>
          </w:p>
        </w:tc>
        <w:tc>
          <w:tcPr>
            <w:tcW w:w="3136" w:type="dxa"/>
            <w:vMerge w:val="restart"/>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向量维度 1277000，非零元 8946506</w:t>
            </w:r>
          </w:p>
        </w:tc>
        <w:tc>
          <w:tcPr>
            <w:tcW w:w="91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1e-6</w:t>
            </w:r>
          </w:p>
        </w:tc>
        <w:tc>
          <w:tcPr>
            <w:tcW w:w="244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92ms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SUBOFF-v分量</w:t>
            </w:r>
          </w:p>
        </w:tc>
        <w:tc>
          <w:tcPr>
            <w:tcW w:w="313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p>
        </w:tc>
        <w:tc>
          <w:tcPr>
            <w:tcW w:w="91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1e-6</w:t>
            </w:r>
          </w:p>
        </w:tc>
        <w:tc>
          <w:tcPr>
            <w:tcW w:w="244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91ms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24"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SUBOFF-w分量</w:t>
            </w:r>
          </w:p>
        </w:tc>
        <w:tc>
          <w:tcPr>
            <w:tcW w:w="3136" w:type="dxa"/>
            <w:vMerge w:val="continue"/>
            <w:tcBorders/>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p>
        </w:tc>
        <w:tc>
          <w:tcPr>
            <w:tcW w:w="913"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1e-6</w:t>
            </w:r>
          </w:p>
        </w:tc>
        <w:tc>
          <w:tcPr>
            <w:tcW w:w="2448" w:type="dxa"/>
          </w:tcPr>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93ms</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pStyle w:val="2"/>
        <w:bidi w:val="0"/>
        <w:rPr>
          <w:rFonts w:hint="eastAsia"/>
        </w:rPr>
      </w:pPr>
      <w:r>
        <w:rPr>
          <w:rFonts w:hint="eastAsia"/>
        </w:rPr>
        <w:t>十、总结</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i w:val="0"/>
          <w:iCs w:val="0"/>
          <w:caps w:val="0"/>
          <w:color w:val="1F1F1F"/>
          <w:spacing w:val="0"/>
          <w:sz w:val="24"/>
          <w:szCs w:val="24"/>
          <w:bdr w:val="none" w:color="auto" w:sz="0" w:space="0"/>
          <w:shd w:val="clear" w:fill="FFFFFF"/>
        </w:rPr>
      </w:pPr>
      <w:r>
        <w:rPr>
          <w:rFonts w:hint="eastAsia" w:ascii="宋体" w:hAnsi="宋体" w:eastAsia="宋体" w:cs="宋体"/>
          <w:i w:val="0"/>
          <w:iCs w:val="0"/>
          <w:caps w:val="0"/>
          <w:color w:val="1F1F1F"/>
          <w:spacing w:val="0"/>
          <w:sz w:val="24"/>
          <w:szCs w:val="24"/>
          <w:bdr w:val="none" w:color="auto" w:sz="0" w:space="0"/>
          <w:shd w:val="clear" w:fill="FFFFFF"/>
        </w:rPr>
        <w:t>本次项目主要聚焦于开发一个基于预处理稳定双共轭梯度法的稀疏矩阵求解系统。通过三个模块的协同工作，实现了从文件输入/输出、系数矩阵预处理到方程组求解的全流程操作。</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宋体" w:hAnsi="宋体" w:eastAsia="宋体" w:cs="宋体"/>
          <w:i w:val="0"/>
          <w:iCs w:val="0"/>
          <w:caps w:val="0"/>
          <w:color w:val="1F1F1F"/>
          <w:spacing w:val="0"/>
          <w:sz w:val="24"/>
          <w:szCs w:val="24"/>
          <w:bdr w:val="none" w:color="auto" w:sz="0" w:space="0"/>
          <w:shd w:val="clear" w:fill="FFFFFF"/>
        </w:rPr>
      </w:pPr>
      <w:r>
        <w:rPr>
          <w:rFonts w:hint="eastAsia" w:ascii="宋体" w:hAnsi="宋体" w:eastAsia="宋体" w:cs="宋体"/>
          <w:i w:val="0"/>
          <w:iCs w:val="0"/>
          <w:caps w:val="0"/>
          <w:color w:val="1F1F1F"/>
          <w:spacing w:val="0"/>
          <w:sz w:val="24"/>
          <w:szCs w:val="24"/>
          <w:bdr w:val="none" w:color="auto" w:sz="0" w:space="0"/>
          <w:shd w:val="clear" w:fill="FFFFFF"/>
        </w:rPr>
        <w:t>项目成果：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i w:val="0"/>
          <w:iCs w:val="0"/>
          <w:caps w:val="0"/>
          <w:color w:val="1F1F1F"/>
          <w:spacing w:val="0"/>
          <w:sz w:val="24"/>
          <w:szCs w:val="24"/>
          <w:bdr w:val="none" w:color="auto" w:sz="0" w:space="0"/>
          <w:shd w:val="clear" w:fill="FFFFFF"/>
        </w:rPr>
      </w:pPr>
      <w:r>
        <w:rPr>
          <w:rFonts w:hint="eastAsia" w:ascii="宋体" w:hAnsi="宋体" w:eastAsia="宋体" w:cs="宋体"/>
          <w:i w:val="0"/>
          <w:iCs w:val="0"/>
          <w:caps w:val="0"/>
          <w:color w:val="1F1F1F"/>
          <w:spacing w:val="0"/>
          <w:sz w:val="24"/>
          <w:szCs w:val="24"/>
          <w:shd w:val="clear" w:fill="FFFFFF"/>
        </w:rPr>
        <w:t>并行计算：通过并行计算技术，充分利用了现代计算机的多核处理器，大大提高了整体计算速度。</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i w:val="0"/>
          <w:iCs w:val="0"/>
          <w:caps w:val="0"/>
          <w:color w:val="1F1F1F"/>
          <w:spacing w:val="0"/>
          <w:sz w:val="24"/>
          <w:szCs w:val="24"/>
          <w:bdr w:val="none" w:color="auto" w:sz="0" w:space="0"/>
          <w:shd w:val="clear" w:fill="FFFFFF"/>
        </w:rPr>
      </w:pPr>
      <w:r>
        <w:rPr>
          <w:rFonts w:hint="eastAsia" w:ascii="宋体" w:hAnsi="宋体" w:eastAsia="宋体" w:cs="宋体"/>
          <w:i w:val="0"/>
          <w:iCs w:val="0"/>
          <w:caps w:val="0"/>
          <w:color w:val="1F1F1F"/>
          <w:spacing w:val="0"/>
          <w:sz w:val="24"/>
          <w:szCs w:val="24"/>
          <w:bdr w:val="none" w:color="auto" w:sz="0" w:space="0"/>
          <w:shd w:val="clear" w:fill="FFFFFF"/>
        </w:rPr>
        <w:t>稳定性：通过稳定双共轭梯度法，确保了方程组求解的稳定性和准确性，避免了不收敛或发散的问题。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i w:val="0"/>
          <w:iCs w:val="0"/>
          <w:caps w:val="0"/>
          <w:color w:val="1F1F1F"/>
          <w:spacing w:val="0"/>
          <w:sz w:val="24"/>
          <w:szCs w:val="24"/>
          <w:bdr w:val="none" w:color="auto" w:sz="0" w:space="0"/>
          <w:shd w:val="clear" w:fill="FFFFFF"/>
        </w:rPr>
      </w:pPr>
      <w:r>
        <w:rPr>
          <w:rFonts w:hint="eastAsia" w:ascii="宋体" w:hAnsi="宋体" w:eastAsia="宋体" w:cs="宋体"/>
          <w:i w:val="0"/>
          <w:iCs w:val="0"/>
          <w:caps w:val="0"/>
          <w:color w:val="1F1F1F"/>
          <w:spacing w:val="0"/>
          <w:sz w:val="24"/>
          <w:szCs w:val="24"/>
          <w:bdr w:val="none" w:color="auto" w:sz="0" w:space="0"/>
          <w:shd w:val="clear" w:fill="FFFFFF"/>
        </w:rPr>
        <w:t>模块化设计：项目采用了模块化的设计理念，使得每个模块独立工作，提高了系统的可维护性和扩展性。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sz w:val="24"/>
          <w:szCs w:val="24"/>
        </w:rPr>
      </w:pPr>
      <w:r>
        <w:rPr>
          <w:rFonts w:hint="eastAsia" w:ascii="宋体" w:hAnsi="宋体" w:eastAsia="宋体" w:cs="宋体"/>
          <w:i w:val="0"/>
          <w:iCs w:val="0"/>
          <w:caps w:val="0"/>
          <w:color w:val="1F1F1F"/>
          <w:spacing w:val="0"/>
          <w:sz w:val="24"/>
          <w:szCs w:val="24"/>
          <w:bdr w:val="none" w:color="auto" w:sz="0" w:space="0"/>
          <w:shd w:val="clear" w:fill="FFFFFF"/>
        </w:rPr>
        <w:t>综上所述，本项目在多个方面取得了显著的成</w:t>
      </w:r>
      <w:bookmarkStart w:id="0" w:name="_GoBack"/>
      <w:bookmarkEnd w:id="0"/>
      <w:r>
        <w:rPr>
          <w:rFonts w:hint="eastAsia" w:ascii="宋体" w:hAnsi="宋体" w:eastAsia="宋体" w:cs="宋体"/>
          <w:i w:val="0"/>
          <w:iCs w:val="0"/>
          <w:caps w:val="0"/>
          <w:color w:val="1F1F1F"/>
          <w:spacing w:val="0"/>
          <w:sz w:val="24"/>
          <w:szCs w:val="24"/>
          <w:bdr w:val="none" w:color="auto" w:sz="0" w:space="0"/>
          <w:shd w:val="clear" w:fill="FFFFFF"/>
        </w:rPr>
        <w:t>果，为科学计算和工程领域中的大规模矩阵问题提供了高效的解决方案。同时，我们也从中学到了宝贵的经验教训，为未来的项目开发奠定了基础。</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arial">
    <w:panose1 w:val="020B0604020202090204"/>
    <w:charset w:val="00"/>
    <w:family w:val="auto"/>
    <w:pitch w:val="default"/>
    <w:sig w:usb0="E0000AFF" w:usb1="00007843" w:usb2="00000001" w:usb3="00000000" w:csb0="400001BF" w:csb1="DFF70000"/>
  </w:font>
  <w:font w:name="仿宋">
    <w:altName w:val="方正仿宋_GBK"/>
    <w:panose1 w:val="00000000000000000000"/>
    <w:charset w:val="00"/>
    <w:family w:val="auto"/>
    <w:pitch w:val="default"/>
    <w:sig w:usb0="00000000" w:usb1="00000000" w:usb2="00000000" w:usb3="00000000" w:csb0="00000000" w:csb1="00000000"/>
  </w:font>
  <w:font w:name="方正仿宋_GBK">
    <w:panose1 w:val="02000000000000000000"/>
    <w:charset w:val="86"/>
    <w:family w:val="auto"/>
    <w:pitch w:val="default"/>
    <w:sig w:usb0="A00002BF" w:usb1="38CF7CFA" w:usb2="00082016" w:usb3="00000000" w:csb0="00040001" w:csb1="00000000"/>
  </w:font>
  <w:font w:name="Hiragino Sans GB">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黑体">
    <w:altName w:val="汉仪中黑KW"/>
    <w:panose1 w:val="00000000000000000000"/>
    <w:charset w:val="00"/>
    <w:family w:val="auto"/>
    <w:pitch w:val="default"/>
    <w:sig w:usb0="00000000" w:usb1="00000000" w:usb2="00000000" w:usb3="00000000" w:csb0="00000000" w:csb1="00000000"/>
  </w:font>
  <w:font w:name="AlibabaPuHuiTiM">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標楷體">
    <w:panose1 w:val="02010601000101010101"/>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SimSong Regular">
    <w:panose1 w:val="02020300000000000000"/>
    <w:charset w:val="86"/>
    <w:family w:val="auto"/>
    <w:pitch w:val="default"/>
    <w:sig w:usb0="800002BF" w:usb1="38CF7CFA" w:usb2="00000016" w:usb3="00000000" w:csb0="0004000D" w:csb1="00000000"/>
  </w:font>
  <w:font w:name="华文宋体">
    <w:panose1 w:val="02010600040101010101"/>
    <w:charset w:val="86"/>
    <w:family w:val="auto"/>
    <w:pitch w:val="default"/>
    <w:sig w:usb0="80000287" w:usb1="280F3C52" w:usb2="00000016" w:usb3="00000000" w:csb0="0004001F" w:csb1="00000000"/>
  </w:font>
  <w:font w:name="Helvetica">
    <w:panose1 w:val="00000000000000000000"/>
    <w:charset w:val="00"/>
    <w:family w:val="auto"/>
    <w:pitch w:val="default"/>
    <w:sig w:usb0="E00002FF" w:usb1="5000785B" w:usb2="00000000" w:usb3="00000000" w:csb0="2000019F" w:csb1="4F010000"/>
  </w:font>
  <w:font w:name="PingFang-SC-Regular">
    <w:panose1 w:val="020B0400000000000000"/>
    <w:charset w:val="86"/>
    <w:family w:val="auto"/>
    <w:pitch w:val="default"/>
    <w:sig w:usb0="A00002FF" w:usb1="7ACFFDFB" w:usb2="00000017" w:usb3="00000000" w:csb0="00040001" w:csb1="00000000"/>
  </w:font>
  <w:font w:name="Hiragino Sans CNS W3">
    <w:panose1 w:val="020B0300000000000000"/>
    <w:charset w:val="88"/>
    <w:family w:val="auto"/>
    <w:pitch w:val="default"/>
    <w:sig w:usb0="00000001" w:usb1="1A0F1900" w:usb2="00000016" w:usb3="00000000" w:csb0="00120005" w:csb1="00000000"/>
  </w:font>
  <w:font w:name="报隶-简">
    <w:panose1 w:val="02010600040101010101"/>
    <w:charset w:val="86"/>
    <w:family w:val="auto"/>
    <w:pitch w:val="default"/>
    <w:sig w:usb0="80000287" w:usb1="280F3C52" w:usb2="00000016" w:usb3="00000000" w:csb0="0004001F" w:csb1="00000000"/>
  </w:font>
  <w:font w:name="Menlo">
    <w:panose1 w:val="020B0609030804020204"/>
    <w:charset w:val="00"/>
    <w:family w:val="auto"/>
    <w:pitch w:val="default"/>
    <w:sig w:usb0="E60022FF" w:usb1="D200F9FB" w:usb2="02000028" w:usb3="00000000" w:csb0="600001DF" w:csb1="FFDF0000"/>
  </w:font>
  <w:font w:name="Wingdings">
    <w:panose1 w:val="05000000000000000000"/>
    <w:charset w:val="00"/>
    <w:family w:val="auto"/>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Mali Regular">
    <w:panose1 w:val="00000500000000000000"/>
    <w:charset w:val="00"/>
    <w:family w:val="auto"/>
    <w:pitch w:val="default"/>
    <w:sig w:usb0="21000007" w:usb1="00000001" w:usb2="00000000" w:usb3="00000000" w:csb0="20010193" w:csb1="00000000"/>
  </w:font>
  <w:font w:name="Maku Regular">
    <w:panose1 w:val="00000500000000000000"/>
    <w:charset w:val="00"/>
    <w:family w:val="auto"/>
    <w:pitch w:val="default"/>
    <w:sig w:usb0="20008287" w:usb1="02000000" w:usb2="00000000" w:usb3="00000000" w:csb0="2000019F" w:csb1="00000000"/>
  </w:font>
  <w:font w:name="Maku Bold">
    <w:panose1 w:val="00000500000000000000"/>
    <w:charset w:val="00"/>
    <w:family w:val="auto"/>
    <w:pitch w:val="default"/>
    <w:sig w:usb0="20008287" w:usb1="02000000" w:usb2="0000000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仿宋">
    <w:altName w:val="方正仿宋_GBK"/>
    <w:panose1 w:val="02010609060101010101"/>
    <w:charset w:val="86"/>
    <w:family w:val="modern"/>
    <w:pitch w:val="default"/>
    <w:sig w:usb0="00000000" w:usb1="00000000" w:usb2="00000016" w:usb3="00000000" w:csb0="00040001" w:csb1="00000000"/>
  </w:font>
  <w:font w:name="汉仪中等线KW">
    <w:panose1 w:val="01010104010101010101"/>
    <w:charset w:val="86"/>
    <w:family w:val="auto"/>
    <w:pitch w:val="default"/>
    <w:sig w:usb0="800002BF" w:usb1="004F7CFA" w:usb2="00000000" w:usb3="00000000" w:csb0="00040001"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D67BD8"/>
    <w:multiLevelType w:val="singleLevel"/>
    <w:tmpl w:val="9DD67BD8"/>
    <w:lvl w:ilvl="0" w:tentative="0">
      <w:start w:val="1"/>
      <w:numFmt w:val="bullet"/>
      <w:lvlText w:val=""/>
      <w:lvlJc w:val="left"/>
      <w:pPr>
        <w:ind w:left="420" w:hanging="420"/>
      </w:pPr>
      <w:rPr>
        <w:rFonts w:hint="default" w:ascii="Wingdings" w:hAnsi="Wingdings"/>
      </w:rPr>
    </w:lvl>
  </w:abstractNum>
  <w:abstractNum w:abstractNumId="1">
    <w:nsid w:val="9DF62DAB"/>
    <w:multiLevelType w:val="singleLevel"/>
    <w:tmpl w:val="9DF62DAB"/>
    <w:lvl w:ilvl="0" w:tentative="0">
      <w:start w:val="1"/>
      <w:numFmt w:val="bullet"/>
      <w:lvlText w:val=""/>
      <w:lvlJc w:val="left"/>
      <w:pPr>
        <w:ind w:left="420" w:hanging="420"/>
      </w:pPr>
      <w:rPr>
        <w:rFonts w:hint="default" w:ascii="Wingdings" w:hAnsi="Wingdings"/>
      </w:rPr>
    </w:lvl>
  </w:abstractNum>
  <w:abstractNum w:abstractNumId="2">
    <w:nsid w:val="B7E72DF0"/>
    <w:multiLevelType w:val="singleLevel"/>
    <w:tmpl w:val="B7E72DF0"/>
    <w:lvl w:ilvl="0" w:tentative="0">
      <w:start w:val="1"/>
      <w:numFmt w:val="decimal"/>
      <w:lvlText w:val="%1."/>
      <w:lvlJc w:val="left"/>
      <w:pPr>
        <w:ind w:left="425" w:hanging="425"/>
      </w:pPr>
      <w:rPr>
        <w:rFonts w:hint="default"/>
      </w:rPr>
    </w:lvl>
  </w:abstractNum>
  <w:abstractNum w:abstractNumId="3">
    <w:nsid w:val="CFFE96A1"/>
    <w:multiLevelType w:val="singleLevel"/>
    <w:tmpl w:val="CFFE96A1"/>
    <w:lvl w:ilvl="0" w:tentative="0">
      <w:start w:val="1"/>
      <w:numFmt w:val="bullet"/>
      <w:lvlText w:val=""/>
      <w:lvlJc w:val="left"/>
      <w:pPr>
        <w:ind w:left="420" w:hanging="420"/>
      </w:pPr>
      <w:rPr>
        <w:rFonts w:hint="default" w:ascii="Wingdings" w:hAnsi="Wingdings"/>
      </w:rPr>
    </w:lvl>
  </w:abstractNum>
  <w:abstractNum w:abstractNumId="4">
    <w:nsid w:val="DB9E49DC"/>
    <w:multiLevelType w:val="singleLevel"/>
    <w:tmpl w:val="DB9E49DC"/>
    <w:lvl w:ilvl="0" w:tentative="0">
      <w:start w:val="1"/>
      <w:numFmt w:val="bullet"/>
      <w:lvlText w:val=""/>
      <w:lvlJc w:val="left"/>
      <w:pPr>
        <w:ind w:left="420" w:hanging="420"/>
      </w:pPr>
      <w:rPr>
        <w:rFonts w:hint="default" w:ascii="Wingdings" w:hAnsi="Wingdings"/>
      </w:rPr>
    </w:lvl>
  </w:abstractNum>
  <w:abstractNum w:abstractNumId="5">
    <w:nsid w:val="DDE6CFCC"/>
    <w:multiLevelType w:val="singleLevel"/>
    <w:tmpl w:val="DDE6CFCC"/>
    <w:lvl w:ilvl="0" w:tentative="0">
      <w:start w:val="1"/>
      <w:numFmt w:val="decimal"/>
      <w:lvlText w:val="%1)"/>
      <w:lvlJc w:val="left"/>
      <w:pPr>
        <w:tabs>
          <w:tab w:val="left" w:pos="420"/>
        </w:tabs>
        <w:ind w:left="845" w:hanging="425"/>
      </w:pPr>
      <w:rPr>
        <w:rFonts w:hint="default"/>
      </w:rPr>
    </w:lvl>
  </w:abstractNum>
  <w:abstractNum w:abstractNumId="6">
    <w:nsid w:val="DE6EF790"/>
    <w:multiLevelType w:val="singleLevel"/>
    <w:tmpl w:val="DE6EF790"/>
    <w:lvl w:ilvl="0" w:tentative="0">
      <w:start w:val="1"/>
      <w:numFmt w:val="decimal"/>
      <w:lvlText w:val="%1)"/>
      <w:lvlJc w:val="left"/>
      <w:pPr>
        <w:tabs>
          <w:tab w:val="left" w:pos="420"/>
        </w:tabs>
        <w:ind w:left="845" w:hanging="425"/>
      </w:pPr>
      <w:rPr>
        <w:rFonts w:hint="default"/>
      </w:rPr>
    </w:lvl>
  </w:abstractNum>
  <w:abstractNum w:abstractNumId="7">
    <w:nsid w:val="DE7F9731"/>
    <w:multiLevelType w:val="singleLevel"/>
    <w:tmpl w:val="DE7F9731"/>
    <w:lvl w:ilvl="0" w:tentative="0">
      <w:start w:val="1"/>
      <w:numFmt w:val="bullet"/>
      <w:lvlText w:val=""/>
      <w:lvlJc w:val="left"/>
      <w:pPr>
        <w:ind w:left="420" w:hanging="420"/>
      </w:pPr>
      <w:rPr>
        <w:rFonts w:hint="default" w:ascii="Wingdings" w:hAnsi="Wingdings"/>
      </w:rPr>
    </w:lvl>
  </w:abstractNum>
  <w:abstractNum w:abstractNumId="8">
    <w:nsid w:val="EBEFFFC5"/>
    <w:multiLevelType w:val="multilevel"/>
    <w:tmpl w:val="EBEFFFC5"/>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9">
    <w:nsid w:val="F76F8A2D"/>
    <w:multiLevelType w:val="singleLevel"/>
    <w:tmpl w:val="F76F8A2D"/>
    <w:lvl w:ilvl="0" w:tentative="0">
      <w:start w:val="1"/>
      <w:numFmt w:val="lowerLetter"/>
      <w:lvlText w:val="%1."/>
      <w:lvlJc w:val="left"/>
      <w:pPr>
        <w:tabs>
          <w:tab w:val="left" w:pos="420"/>
        </w:tabs>
        <w:ind w:left="845" w:hanging="425"/>
      </w:pPr>
      <w:rPr>
        <w:rFonts w:hint="default"/>
      </w:rPr>
    </w:lvl>
  </w:abstractNum>
  <w:abstractNum w:abstractNumId="10">
    <w:nsid w:val="FBDCCE53"/>
    <w:multiLevelType w:val="singleLevel"/>
    <w:tmpl w:val="FBDCCE53"/>
    <w:lvl w:ilvl="0" w:tentative="0">
      <w:start w:val="1"/>
      <w:numFmt w:val="bullet"/>
      <w:lvlText w:val=""/>
      <w:lvlJc w:val="left"/>
      <w:pPr>
        <w:ind w:left="420" w:hanging="420"/>
      </w:pPr>
      <w:rPr>
        <w:rFonts w:hint="default" w:ascii="Wingdings" w:hAnsi="Wingdings"/>
      </w:rPr>
    </w:lvl>
  </w:abstractNum>
  <w:abstractNum w:abstractNumId="11">
    <w:nsid w:val="FF7D62EE"/>
    <w:multiLevelType w:val="singleLevel"/>
    <w:tmpl w:val="FF7D62EE"/>
    <w:lvl w:ilvl="0" w:tentative="0">
      <w:start w:val="9"/>
      <w:numFmt w:val="chineseCounting"/>
      <w:suff w:val="nothing"/>
      <w:lvlText w:val="%1、"/>
      <w:lvlJc w:val="left"/>
      <w:rPr>
        <w:rFonts w:hint="eastAsia"/>
      </w:rPr>
    </w:lvl>
  </w:abstractNum>
  <w:abstractNum w:abstractNumId="12">
    <w:nsid w:val="327E7D1C"/>
    <w:multiLevelType w:val="singleLevel"/>
    <w:tmpl w:val="327E7D1C"/>
    <w:lvl w:ilvl="0" w:tentative="0">
      <w:start w:val="1"/>
      <w:numFmt w:val="lowerLetter"/>
      <w:lvlText w:val="%1."/>
      <w:lvlJc w:val="left"/>
      <w:pPr>
        <w:tabs>
          <w:tab w:val="left" w:pos="420"/>
        </w:tabs>
        <w:ind w:left="845" w:hanging="425"/>
      </w:pPr>
      <w:rPr>
        <w:rFonts w:hint="default"/>
      </w:rPr>
    </w:lvl>
  </w:abstractNum>
  <w:abstractNum w:abstractNumId="13">
    <w:nsid w:val="55DA8DF3"/>
    <w:multiLevelType w:val="singleLevel"/>
    <w:tmpl w:val="55DA8DF3"/>
    <w:lvl w:ilvl="0" w:tentative="0">
      <w:start w:val="1"/>
      <w:numFmt w:val="lowerLetter"/>
      <w:lvlText w:val="%1."/>
      <w:lvlJc w:val="left"/>
      <w:pPr>
        <w:tabs>
          <w:tab w:val="left" w:pos="420"/>
        </w:tabs>
        <w:ind w:left="845" w:hanging="425"/>
      </w:pPr>
      <w:rPr>
        <w:rFonts w:hint="default"/>
      </w:rPr>
    </w:lvl>
  </w:abstractNum>
  <w:abstractNum w:abstractNumId="14">
    <w:nsid w:val="766E9C09"/>
    <w:multiLevelType w:val="singleLevel"/>
    <w:tmpl w:val="766E9C09"/>
    <w:lvl w:ilvl="0" w:tentative="0">
      <w:start w:val="2"/>
      <w:numFmt w:val="chineseCounting"/>
      <w:suff w:val="nothing"/>
      <w:lvlText w:val="%1、"/>
      <w:lvlJc w:val="left"/>
      <w:rPr>
        <w:rFonts w:hint="eastAsia"/>
      </w:rPr>
    </w:lvl>
  </w:abstractNum>
  <w:abstractNum w:abstractNumId="15">
    <w:nsid w:val="7FD84E67"/>
    <w:multiLevelType w:val="singleLevel"/>
    <w:tmpl w:val="7FD84E67"/>
    <w:lvl w:ilvl="0" w:tentative="0">
      <w:start w:val="1"/>
      <w:numFmt w:val="decimal"/>
      <w:lvlText w:val="%1)"/>
      <w:lvlJc w:val="left"/>
      <w:pPr>
        <w:tabs>
          <w:tab w:val="left" w:pos="420"/>
        </w:tabs>
        <w:ind w:left="845" w:hanging="425"/>
      </w:pPr>
      <w:rPr>
        <w:rFonts w:hint="default"/>
      </w:rPr>
    </w:lvl>
  </w:abstractNum>
  <w:num w:numId="1">
    <w:abstractNumId w:val="8"/>
  </w:num>
  <w:num w:numId="2">
    <w:abstractNumId w:val="14"/>
  </w:num>
  <w:num w:numId="3">
    <w:abstractNumId w:val="2"/>
  </w:num>
  <w:num w:numId="4">
    <w:abstractNumId w:val="0"/>
  </w:num>
  <w:num w:numId="5">
    <w:abstractNumId w:val="9"/>
  </w:num>
  <w:num w:numId="6">
    <w:abstractNumId w:val="4"/>
  </w:num>
  <w:num w:numId="7">
    <w:abstractNumId w:val="12"/>
  </w:num>
  <w:num w:numId="8">
    <w:abstractNumId w:val="7"/>
  </w:num>
  <w:num w:numId="9">
    <w:abstractNumId w:val="13"/>
  </w:num>
  <w:num w:numId="10">
    <w:abstractNumId w:val="10"/>
  </w:num>
  <w:num w:numId="11">
    <w:abstractNumId w:val="15"/>
  </w:num>
  <w:num w:numId="12">
    <w:abstractNumId w:val="3"/>
  </w:num>
  <w:num w:numId="13">
    <w:abstractNumId w:val="6"/>
  </w:num>
  <w:num w:numId="14">
    <w:abstractNumId w:val="1"/>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FF679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rFonts w:ascii="Times New Roman" w:hAnsi="Times New Roman" w:eastAsia="宋体" w:cs="Times New Roman"/>
      <w:sz w:val="18"/>
      <w:szCs w:val="20"/>
      <w:lang/>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宋体" w:cs="Times New Roman"/>
      <w:sz w:val="18"/>
      <w:szCs w:val="20"/>
      <w:lang/>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zhoupeng/Library/Containers/com.kingsoft.wpsoffice.mac/Data/Normal.wpt"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标准型"/>
      <sectRole val="1"/>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Office_6.4.0.8550_F1E327BC-269C-435d-A152-05C5408002CA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2024-01-18T11:40:00Z</dcterms:created>
  <dc:creator>Pengzh1</dc:creator>
  <cp:lastModifiedBy>Pengzh1</cp:lastModifiedBy>
  <dcterms:modified xsi:type="dcterms:W3CDTF">2024-01-19T17:38:22Z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2052-6.4.0.8550</vt:lpwstr>
  </property>
  <property fmtid="{D5CDD505-2E9C-101B-9397-08002B2CF9AE}" pid="3" name="ICV">
    <vt:lpwstr>92785284A8D6AC7EBE9DA865D9905045_41</vt:lpwstr>
  </property>
</Properties>
</file>