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60"/>
        <w:jc w:val="center"/>
      </w:pPr>
      <w:r>
        <w:rPr>
          <w:b/>
          <w:bCs/>
          <w:color w:val="1F3A5F"/>
          <w:sz w:val="56"/>
          <w:szCs w:val="56"/>
        </w:rPr>
        <w:t xml:space="preserve">Personal AI Agent Platform</w:t>
      </w:r>
    </w:p>
    <w:p>
      <w:pPr>
        <w:spacing w:after="240"/>
        <w:jc w:val="center"/>
      </w:pPr>
      <w:r>
        <w:rPr>
          <w:color w:val="2E75B6"/>
          <w:sz w:val="30"/>
          <w:szCs w:val="30"/>
        </w:rPr>
        <w:t xml:space="preserve">Product Requirements &amp; Technical Feasibility Assessment</w:t>
      </w:r>
    </w:p>
    <w:p>
      <w:pPr>
        <w:pBdr>
          <w:top w:val="single" w:color="2E75B6" w:sz="6" w:space="4"/>
          <w:bottom w:val="single" w:color="2E75B6" w:sz="6" w:space="4"/>
        </w:pBdr>
        <w:spacing w:after="60"/>
        <w:jc w:val="center"/>
      </w:pPr>
      <w:r>
        <w:rPr>
          <w:color w:val="5A5A5A"/>
          <w:sz w:val="22"/>
          <w:szCs w:val="22"/>
        </w:rPr>
        <w:t xml:space="preserve">v1 Specification  •  Engineering Review</w:t>
      </w:r>
    </w:p>
    <w:p>
      <w:pPr>
        <w:spacing w:before="200"/>
        <w:jc w:val="center"/>
      </w:pPr>
      <w:r>
        <w:rPr>
          <w:i/>
          <w:iCs/>
          <w:color w:val="5A5A5A"/>
          <w:sz w:val="20"/>
          <w:szCs w:val="20"/>
        </w:rPr>
        <w:t xml:space="preserve">Prepared: June 2026</w:t>
      </w:r>
    </w:p>
    <w:p>
      <w:r>
        <w:br w:type="page"/>
      </w:r>
    </w:p>
    <w:p>
      <w:pPr>
        <w:spacing w:after="160" w:before="0" w:line="276"/>
      </w:pPr>
      <w:r>
        <w:rPr>
          <w:b/>
          <w:bCs/>
          <w:color w:val="1F3A5F"/>
          <w:sz w:val="30"/>
          <w:szCs w:val="30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1 — Initial Requirements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A5A5A"/>
        </w:rPr>
        <w:t xml:space="preserve">This part restates the product requirements as originally specified, preserved as the baseline against which the feasibility assessment in Part 2 is made.</w:t>
      </w:r>
    </w:p>
    <w:p>
      <w:pPr>
        <w:pStyle w:val="Heading2"/>
      </w:pPr>
      <w:r>
        <w:t xml:space="preserve">Vision</w:t>
      </w:r>
    </w:p>
    <w:p>
      <w:pPr>
        <w:spacing w:after="120" w:before="0" w:line="276"/>
      </w:pPr>
      <w:r>
        <w:t xml:space="preserve">Build a next-generation AI personal agent platform that proactively assists users by understanding their goals, context, schedules, communications, and activities. The system combines an Android client, a cloud-based agentic reasoning engine, connected services, and dynamically generated user interfaces to deliver timely, personalized, actionable assistance.</w:t>
      </w:r>
    </w:p>
    <w:p>
      <w:pPr>
        <w:spacing w:after="120" w:before="0" w:line="276"/>
      </w:pPr>
      <w:r>
        <w:t xml:space="preserve">The platform should feel less like a chatbot and more like an intelligent chief of staff that continuously monitors user-authorized information sources and surfaces relevant actions, insights, reminders, and recommendations.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Understand user goals through onboarding.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Continuously maintain user context.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Monitor authorized information sources.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Detect important and time-sensitive events.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Prioritize information on behalf of the user.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Generate actionable recommendations.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Present information through dynamically generated UI components.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Support voice-first interactions when appropriate.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Minimize user effort while maintaining user control.</w:t>
      </w:r>
    </w:p>
    <w:p>
      <w:pPr>
        <w:pStyle w:val="Heading2"/>
      </w:pPr>
      <w:r>
        <w:t xml:space="preserve">Functional Requirements</w:t>
      </w:r>
    </w:p>
    <w:p>
      <w:pPr>
        <w:pStyle w:val="Heading3"/>
      </w:pPr>
      <w:r>
        <w:t xml:space="preserve">1. User Onboarding</w:t>
      </w:r>
    </w:p>
    <w:p>
      <w:pPr>
        <w:spacing w:after="120" w:before="0" w:line="276"/>
      </w:pPr>
      <w:r>
        <w:t xml:space="preserve">Establish an understanding of the user's goals, priorities, workflows, and preferences. Users shall be able to: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Enter goals through text or voice.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Define personal and work-related objectives.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Define preferred communication styles.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Define notification preferences.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Update goals at any time.</w:t>
      </w:r>
    </w:p>
    <w:p>
      <w:pPr>
        <w:spacing w:after="160" w:before="0" w:line="276"/>
      </w:pPr>
      <w:r>
        <w:t xml:space="preserve">Onboarding output includes a personalized user profile, agent operating instructions, an initial workflow model, and a priority framework.</w:t>
      </w:r>
    </w:p>
    <w:p>
      <w:pPr>
        <w:pStyle w:val="Heading3"/>
      </w:pPr>
      <w:r>
        <w:t xml:space="preserve">2. Android Client</w:t>
      </w:r>
    </w:p>
    <w:p>
      <w:pPr>
        <w:spacing w:after="120" w:before="0" w:line="276"/>
      </w:pPr>
      <w:r>
        <w:t xml:space="preserve">The Android application shall provide onboarding, manage authentication and permissions, collect approved local context, render backend-generated UI, support voice and text interactions, execute approved actions, and display alerts and recommendations.</w:t>
      </w:r>
    </w:p>
    <w:p>
      <w:pPr>
        <w:spacing w:after="60" w:before="0" w:line="276"/>
      </w:pPr>
      <w:r>
        <w:t xml:space="preserve">Context sources may include: calendar events, notifications, contacts, device-usage signals, location (if authorized), installed-application metadata, Android App Functions integrations, and future MCP-compatible integrations.</w:t>
      </w:r>
    </w:p>
    <w:p>
      <w:pPr>
        <w:spacing w:after="160" w:before="0" w:line="276"/>
      </w:pPr>
      <w:r>
        <w:t xml:space="preserve">UI surfaces: dynamic dashboard, AI activity surface, action / alert / timeline / workflow cards, voice interaction panel, and settings &amp; permissions management.</w:t>
      </w:r>
    </w:p>
    <w:p>
      <w:pPr>
        <w:pStyle w:val="Heading3"/>
      </w:pPr>
      <w:r>
        <w:t xml:space="preserve">3. Connected Services</w:t>
      </w:r>
    </w:p>
    <w:p>
      <w:pPr>
        <w:spacing w:after="160" w:before="0" w:line="276"/>
      </w:pPr>
      <w:r>
        <w:t xml:space="preserve">Supported connectors: Gmail, Google Calendar, Google Drive, Slack, Teams, Notion, Jira, CRM systems, and future third-party integrations. The platform shall read authorized data, maintain synchronization, extract relevant context, detect important changes, and feed context into agent reasoning.</w:t>
      </w:r>
    </w:p>
    <w:p>
      <w:pPr>
        <w:pStyle w:val="Heading3"/>
      </w:pPr>
      <w:r>
        <w:t xml:space="preserve">4. Agentic Reasoning Engine</w:t>
      </w:r>
    </w:p>
    <w:p>
      <w:pPr>
        <w:spacing w:after="160" w:before="0" w:line="276"/>
      </w:pPr>
      <w:r>
        <w:t xml:space="preserve">Continuously reason over user context to determine what matters: understand goals, analyze incoming context, prioritize events, detect opportunities, identify risks, recommend actions, and generate user-facing experiences. Reasoning tasks include meeting preparation, missed-follow-up detection, important-email identification, scheduling conflicts, travel preparation, deadline monitoring, relationship management, and productivity coaching.</w:t>
      </w:r>
    </w:p>
    <w:p>
      <w:pPr>
        <w:pStyle w:val="Heading3"/>
      </w:pPr>
      <w:r>
        <w:t xml:space="preserve">5. Event Prioritization</w:t>
      </w:r>
    </w:p>
    <w:p>
      <w:pPr>
        <w:spacing w:after="120" w:before="0" w:line="276"/>
      </w:pPr>
      <w:r>
        <w:t xml:space="preserve">Events are scored across four priority levels: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Critical — </w:t>
      </w:r>
      <w:r>
        <w:t xml:space="preserve">immediate attention (meeting in 15 minutes, flight boarding, production outage, urgent escalation).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High — </w:t>
      </w:r>
      <w:r>
        <w:t xml:space="preserve">action needed within hours (overdue follow-up, deadline tomorrow, missing required document).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Medium — </w:t>
      </w:r>
      <w:r>
        <w:t xml:space="preserve">relevant but not urgent (weekly review, suggested planning).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rPr>
          <w:b/>
          <w:bCs/>
        </w:rPr>
        <w:t xml:space="preserve">Low — </w:t>
      </w:r>
      <w:r>
        <w:t xml:space="preserve">informational only (trends, insights, recommendations).</w:t>
      </w:r>
    </w:p>
    <w:p>
      <w:pPr>
        <w:pStyle w:val="Heading3"/>
      </w:pPr>
      <w:r>
        <w:t xml:space="preserve">6. Voice Assistant Integration</w:t>
      </w:r>
    </w:p>
    <w:p>
      <w:pPr>
        <w:spacing w:after="160" w:before="0" w:line="276"/>
      </w:pPr>
      <w:r>
        <w:t xml:space="preserve">The platform shall support text-to-speech alerts, voice onboarding, voice queries, and voice-driven actions (e.g., “You have a customer meeting in 30 minutes”, “Three important emails require your attention”).</w:t>
      </w:r>
    </w:p>
    <w:p>
      <w:pPr>
        <w:pStyle w:val="Heading3"/>
      </w:pPr>
      <w:r>
        <w:t xml:space="preserve">7. Dynamic UI Generation</w:t>
      </w:r>
    </w:p>
    <w:p>
      <w:pPr>
        <w:spacing w:after="120" w:before="0" w:line="276"/>
      </w:pPr>
      <w:r>
        <w:t xml:space="preserve">The backend generates not only recommendations but also the UI structure to display them; the Android client acts primarily as a rendering engine. Component types include priority cards, action cards, timeline cards, insight cards, and workflow cards. The backend returns structured UI instructions (component type, title, priority, actions) plus a voice prompt rather than plain text.</w:t>
      </w:r>
    </w:p>
    <w:p>
      <w:pPr>
        <w:pStyle w:val="Heading2"/>
      </w:pPr>
      <w:r>
        <w:t xml:space="preserve">System Design — Core Components</w:t>
      </w:r>
    </w:p>
    <w:p>
      <w:pPr>
        <w:pStyle w:val="Heading3"/>
      </w:pPr>
      <w:r>
        <w:t xml:space="preserve">High-Level Architecture</w:t>
      </w:r>
    </w:p>
    <w:p>
      <w:pPr>
        <w:spacing w:after="120" w:before="0" w:line="276"/>
      </w:pPr>
      <w:r>
        <w:rPr>
          <w:color w:val="5A5A5A"/>
        </w:rPr>
        <w:t xml:space="preserve">The diagram below maps the end-to-end flow from the Android client through cloud orchestration and back to the device. Each block is color-coded by its feasibility rating (see Part 2): green = build with confidence, amber = feasible with managed risk, red = constrained / redesign. The blue dashed line is the dynamic-UI render loop that returns the structured UI contract to the client.</w:t>
      </w:r>
    </w:p>
    <w:p>
      <w:pPr>
        <w:spacing w:after="80" w:before="60"/>
        <w:jc w:val="center"/>
      </w:pPr>
      <w:r>
        <w:drawing>
          <wp:inline distT="0" distB="0" distL="0" distR="0">
            <wp:extent cx="5715000" cy="6981825"/>
            <wp:effectExtent t="0" r="0" b="0" l="0"/>
            <wp:docPr id="1" name="architecture-diagram" descr="Layered architecture from Android client through API gateway, agent orchestration, core services, UI generation and response builder, with connected services, color-coded by feasibility." title="Personal AI Agent Platform reference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A5A5A"/>
          <w:sz w:val="18"/>
          <w:szCs w:val="18"/>
        </w:rPr>
        <w:t xml:space="preserve">Figure 1. Reference architecture, color-coded by feasibility rating.</w:t>
      </w:r>
    </w:p>
    <w:p>
      <w:pPr>
        <w:pStyle w:val="Heading3"/>
      </w:pPr>
      <w:r>
        <w:t xml:space="preserve">Component Responsibilities</w:t>
      </w:r>
    </w:p>
    <w:p>
      <w:pPr>
        <w:spacing w:after="120" w:before="0" w:line="276"/>
      </w:pPr>
      <w:r>
        <w:t xml:space="preserve">The feasibility assessment in Part 2 is organized around these components from the high-level architecture.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Android Client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Onboarding, auth, permissions, local context collection, UI rendering, voice/text, action execution.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User Profile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Stores goals, preferences, history, priorities, behavioral patterns.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Context Aggregation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Collects device, calendar, communication, workflow, and connector context into a unified model.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Agent Orchestration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Agent execution, task planning, tool invocation, context management, multi-step reasoning.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Connector Service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Authentication, synchronization, data retrieval, connector lifecycle.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Prioritization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Event scoring, urgency detection, attention ranking, notification decisions.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UI Generation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Converts reasoning results into cards, actions, display priorities, voice prompts, visual states.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Response Builder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Assembles structured UI contract returned to the client.</w:t>
            </w:r>
          </w:p>
        </w:tc>
      </w:tr>
    </w:tbl>
    <w:p>
      <w:pPr>
        <w:pStyle w:val="Heading2"/>
      </w:pPr>
      <w:r>
        <w:t xml:space="preserve">Non-Functional &amp; Scope Baseline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Performance: UI updates &lt; 1s; near-real-time context ingestion; high-priority alerts delivered immediately.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Reliability: 99.9% availability; graceful degradation on connector failure.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Scalability: multi-tenant, horizontal scaling, connector isolation.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Extensibility: plugin-based connectors; new UI component types and reasoning agents without architectural changes.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Security: explicit consent, revocable permissions, encryption in transit and at rest, data minimization, account deletion, audit visibility.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Out of scope: modifying Android OS behavior, replacing system services, controlling third-party apps without approved APIs, autonomous high-risk actions, acting without authorization.</w:t>
      </w:r>
    </w:p>
    <w:p>
      <w:r>
        <w:br w:type="page"/>
      </w:r>
    </w:p>
    <w:p>
      <w:pPr>
        <w:pStyle w:val="Heading1"/>
      </w:pPr>
      <w:r>
        <w:t xml:space="preserve">Part 2 — Technical Feasibility Assessment</w:t>
      </w:r>
    </w:p>
    <w:p>
      <w:pPr>
        <w:pBdr>
          <w:bottom w:val="single" w:color="2E75B6" w:sz="6" w:space="1"/>
        </w:pBdr>
        <w:spacing w:after="120"/>
      </w:pPr>
      <w:r>
        <w:t xml:space="preserve"/>
      </w:r>
    </w:p>
    <w:p>
      <w:pPr>
        <w:spacing w:after="120" w:before="0" w:line="276"/>
      </w:pPr>
      <w:r>
        <w:rPr>
          <w:color w:val="5A5A5A"/>
        </w:rPr>
        <w:t xml:space="preserve">Each component below is rated on a single axis: can it be built and shipped as drawn? “Feasibility” is separated from “quality” and “policy” — most components build; the risk concentrates in platform constraints, compliance, and the accuracy of the reasoning layer. The summary table is the at-a-glance view; component detail follows.</w:t>
      </w:r>
    </w:p>
    <w:p>
      <w:pPr>
        <w:pStyle w:val="Heading2"/>
      </w:pPr>
      <w:r>
        <w:t xml:space="preserve">Feasibility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Component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Feasibility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Android Client (shell, render, onboarding, auth, text)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Proven server-driven-UI pattern. No blockers.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Android Context Collection (device monitoring)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1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CONSTRAINED / REDESIGN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Background limits + Play permission policy are the main 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Connector Layer (Gmail, Calendar, Drive, Slack, Teams)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FEASIBLE — MANAGED 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Code is routine; compliance (CASA, admin approval) is the cost.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Agentic Reasoning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FEASIBLE — MANAGED 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Buildable now; prioritization quality + LLM cost are the risks.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Event Prioritization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0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FEASIBLE — MANAGED RISK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Trivial to build, hard to make trustworthy. Quality problem.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Voice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Triggered TTS/STT easy. Always-on/wake-word is constrained.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Dynamic UI Generation Layer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Reliable with a fixed card library. Extensibility claim overstated.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AI Surface (animations, status)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Pure frontend. Low risk.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Backend Services (profile, context, orchestration, gateway)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Standard microservices.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Security &amp; Consent Baseline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E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BUILD WITH CONFIDENCE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Standard; design in from day 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sz w:val="20"/>
                <w:szCs w:val="20"/>
              </w:rPr>
              <w:t xml:space="preserve">App Functions / cross-app orchestration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E1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B23A2E"/>
                <w:sz w:val="20"/>
                <w:szCs w:val="20"/>
              </w:rPr>
              <w:t xml:space="preserve">CONSTRAINED / REDESIGN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sz w:val="20"/>
                <w:szCs w:val="20"/>
              </w:rPr>
              <w:t xml:space="preserve">Caller side is system-only (Gemini/OEM). Needs redesign.</w:t>
            </w:r>
          </w:p>
        </w:tc>
      </w:tr>
    </w:tbl>
    <w:p>
      <w:pPr>
        <w:spacing w:after="80"/>
      </w:pPr>
    </w:p>
    <w:p>
      <w:pPr>
        <w:spacing w:after="200" w:line="276"/>
      </w:pPr>
      <w:r>
        <w:rPr>
          <w:b/>
          <w:bCs/>
          <w:sz w:val="18"/>
          <w:szCs w:val="18"/>
        </w:rPr>
        <w:t xml:space="preserve">Legend:   </w:t>
      </w:r>
      <w:r>
        <w:rPr>
          <w:b/>
          <w:bCs/>
          <w:color w:val="2E7D32"/>
          <w:sz w:val="20"/>
          <w:szCs w:val="20"/>
        </w:rPr>
        <w:t xml:space="preserve">■ Build with confidence</w:t>
      </w:r>
      <w:r>
        <w:rPr>
          <w:sz w:val="18"/>
          <w:szCs w:val="18"/>
        </w:rPr>
        <w:t xml:space="preserve">     </w:t>
      </w:r>
      <w:r>
        <w:rPr>
          <w:b/>
          <w:bCs/>
          <w:color w:val="B7791F"/>
          <w:sz w:val="20"/>
          <w:szCs w:val="20"/>
        </w:rPr>
        <w:t xml:space="preserve">■ Feasible — managed risk</w:t>
      </w:r>
      <w:r>
        <w:rPr>
          <w:sz w:val="18"/>
          <w:szCs w:val="18"/>
        </w:rPr>
        <w:t xml:space="preserve">     </w:t>
      </w:r>
      <w:r>
        <w:rPr>
          <w:b/>
          <w:bCs/>
          <w:color w:val="B23A2E"/>
          <w:sz w:val="20"/>
          <w:szCs w:val="20"/>
        </w:rPr>
        <w:t xml:space="preserve">■ Constrained / redesign</w:t>
      </w:r>
    </w:p>
    <w:p>
      <w:pPr>
        <w:pStyle w:val="Heading2"/>
      </w:pPr>
      <w:r>
        <w:t xml:space="preserve">Component-by-Component Assessment</w:t>
      </w:r>
    </w:p>
    <w:p>
      <w:pPr>
        <w:pStyle w:val="Heading3"/>
      </w:pPr>
      <w:r>
        <w:t xml:space="preserve">Android Client (shell, rendering, onboarding, auth, text)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Onboarding, authentication, permissions UI, text chat, and settings are ordinary app engineering.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Server-driven UI against a fixed card library (priority / action / timeline / insight / workflow) is a proven pattern (Airbnb-style SDUI). A model emitting constrained JSON against a known schema is dependable today.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The constraint that makes SDUI reliable is the fixed schema — see the UI Generation Layer note on extensibility.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Treat the client as a thin renderer + event source. Keep the component schema versioned and validated on both ends.</w:t>
      </w:r>
    </w:p>
    <w:p>
      <w:pPr>
        <w:pStyle w:val="Heading3"/>
      </w:pPr>
      <w:r>
        <w:t xml:space="preserve">Android Context Collection (device monitoring)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B23A2E"/>
          <w:sz w:val="20"/>
          <w:szCs w:val="20"/>
        </w:rPr>
        <w:t xml:space="preserve">CONSTRAINED / REDESIGN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Calendar (Calendar Provider), contacts, and foreground location are standard permissioned reads.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“Continuous monitoring” on-device fights Doze, App Standby, and background-execution limits. The device cannot be an always-on sentinel.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Notification reading via NotificationListenerService is heavily Google Play policy-restricted; approval is difficult, scrutinized, and revocable.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Installed-app metadata (QUERY_ALL_PACKAGES) has been restricted since Android 11 and is frequently rejected in review.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Device-usage signals (UsageStatsManager) require a special-access permission with real UX friction.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Android 17 tightened background-audio restrictions, affecting voice playback while backgrounded.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Invert the architecture: push “continuous” to the cloud via connector webhooks; treat the device as an event source plus renderer. Do not make notification or app-inventory access load-bearing for core prioritization.</w:t>
      </w:r>
    </w:p>
    <w:p>
      <w:pPr>
        <w:pStyle w:val="Heading3"/>
      </w:pPr>
      <w:r>
        <w:t xml:space="preserve">Connector Layer (Gmail, Calendar, Drive, Slack, Teams, Notion, Jira, CRM)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B7791F"/>
          <w:sz w:val="20"/>
          <w:szCs w:val="20"/>
        </w:rPr>
        <w:t xml:space="preserve">FEASIBLE — MANAGED RISK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OAuth + webhook/polling sync to each service is well-understood engineering.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Change detection and context extraction per connector are standard.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Gmail restricted scopes require an annual third-party CASA security assessment — real cost and weeks of lead time.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Slack and Teams require per-workspace admin approval; enterprise rollout is gated by IT.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“CRM systems” is unbounded — each is a separate integration with its own auth and rate limits.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Sequence connectors by compliance lead time, not by code difficulty. Start CASA early. Build a connector SDK so new integrations are plugins, per the extensibility goal.</w:t>
      </w:r>
    </w:p>
    <w:p>
      <w:pPr>
        <w:pStyle w:val="Heading3"/>
      </w:pPr>
      <w:r>
        <w:t xml:space="preserve">Agent Orchestration &amp; Reasoning Engine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B7791F"/>
          <w:sz w:val="20"/>
          <w:szCs w:val="20"/>
        </w:rPr>
        <w:t xml:space="preserve">FEASIBLE — MANAGED RISK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Multi-step reasoning, tool invocation, and task planning over a unified context model are buildable with current LLMs.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Quality of prioritization is the actual product and is an ML/eval problem, not a buildability one — the hardest thing to validate from a spec.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Running an LLM continuously over every user's context is expensive; naive “reason on every signal” will not scale on cost.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Gate the model behind cheap deterministic pre-filters so it only runs on candidate-worthy events. Invest early in an offline eval harness for prioritization accuracy and trust.</w:t>
      </w:r>
    </w:p>
    <w:p>
      <w:pPr>
        <w:pStyle w:val="Heading3"/>
      </w:pPr>
      <w:r>
        <w:t xml:space="preserve">Prioritization Engine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B7791F"/>
          <w:sz w:val="20"/>
          <w:szCs w:val="20"/>
        </w:rPr>
        <w:t xml:space="preserve">FEASIBLE — MANAGED RISK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Scoring, urgency detection, attention ranking, and notification decisions are trivial to implement.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Being trustworthy enough that users stop double-checking is the bar — a quality problem, not a feasibility one.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Mis-ranked alerts erode trust fast; false positives are more costly than misses for a “chief of staff”.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Make the priority threshold tunable per user, log every decision, and use the audit trail to drive eval and personalization.</w:t>
      </w:r>
    </w:p>
    <w:p>
      <w:pPr>
        <w:pStyle w:val="Heading3"/>
      </w:pPr>
      <w:r>
        <w:t xml:space="preserve">Voice Integration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Triggered text-to-speech alerts and speech-to-text queries are easy.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Voice onboarding and voice-driven actions over your own action set are feasible.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Always-on / wake-word listening is constrained on Android and battery-sensitive.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Android 17 background-audio rules affect alert playback when the app is not foregrounded.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Ship triggered/on-demand voice first; defer always-on. Use foreground services or system notification channels for time-critical spoken alerts.</w:t>
      </w:r>
    </w:p>
    <w:p>
      <w:pPr>
        <w:pStyle w:val="Heading3"/>
      </w:pPr>
      <w:r>
        <w:t xml:space="preserve">Dynamic UI Generation Layer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Generating a constrained JSON layout against a fixed component library is reliable and is the platform's genuine differentiator.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“New UI component types without Android updates” is overstated: the client can recompose primitives it already ships, but a genuinely new component type needs a client update — unless you build a generic layout/rendering engine, which is a substantial undertaking.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Keep the fixed-library approach for v1. Treat a generic rendering engine as a later, scoped initiative — not an assumed free property.</w:t>
      </w:r>
    </w:p>
    <w:p>
      <w:pPr>
        <w:pStyle w:val="Heading3"/>
      </w:pPr>
      <w:r>
        <w:t xml:space="preserve">AI Surface (animation, status, indicators)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Activity visualization, thinking-state, priority/alert indicators are pure frontend with no platform risk.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Drive all animation states from the same structured response contract so the surface stays in sync with reasoning output.</w:t>
      </w:r>
    </w:p>
    <w:p>
      <w:pPr>
        <w:pStyle w:val="Heading3"/>
      </w:pPr>
      <w:r>
        <w:t xml:space="preserve">Backend Services (profile, context aggregation, orchestration, gateway, response builder)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Standard multi-tenant microservices: profile store, context aggregation, orchestration, API gateway, response builder.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Horizontal scaling, connector isolation, and graceful degradation are well-trodden.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“Near-real-time ingestion” + 99.9% availability is achievable via webhooks; the latency/cost trade-off is the engineering work, not a wall.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Design the cost and latency budget alongside the reasoning gating so the two are co-tuned.</w:t>
      </w:r>
    </w:p>
    <w:p>
      <w:pPr>
        <w:pStyle w:val="Heading3"/>
      </w:pPr>
      <w:r>
        <w:t xml:space="preserve">Security &amp; Consent Baseline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2E7D32"/>
          <w:sz w:val="20"/>
          <w:szCs w:val="20"/>
        </w:rPr>
        <w:t xml:space="preserve">BUILD WITH CONFIDENCE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Explicit consent, revocable scopes, encryption in transit and at rest, data minimization, account deletion, and audit logging are standard.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Audit visibility for connected services and revocation must be first-class, not retrofitted — it interacts with every connector.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Build consent and audit as a cross-cutting service from day one; it is cheap early and expensive to retrofit.</w:t>
      </w:r>
    </w:p>
    <w:p>
      <w:pPr>
        <w:pStyle w:val="Heading3"/>
      </w:pPr>
      <w:r>
        <w:t xml:space="preserve">App Functions / Cross-App Orchestration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Verdict:  </w:t>
      </w:r>
      <w:r>
        <w:rPr>
          <w:b/>
          <w:bCs/>
          <w:color w:val="B23A2E"/>
          <w:sz w:val="20"/>
          <w:szCs w:val="20"/>
        </w:rPr>
        <w:t xml:space="preserve">CONSTRAINED / REDESIGN</w:t>
      </w:r>
    </w:p>
    <w:p>
      <w:pPr>
        <w:spacing w:after="60" w:before="0" w:line="276"/>
      </w:pPr>
      <w:r>
        <w:rPr>
          <w:b/>
          <w:bCs/>
          <w:color w:val="5A5A5A"/>
          <w:sz w:val="20"/>
          <w:szCs w:val="20"/>
        </w:rPr>
        <w:t xml:space="preserve">What's straightforward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Your app can EXPOSE App Functions to the system (act as an on-device tool provider to Gemini).</w:t>
      </w:r>
    </w:p>
    <w:p>
      <w:pPr>
        <w:spacing w:after="60" w:before="80" w:line="276"/>
      </w:pPr>
      <w:r>
        <w:rPr>
          <w:b/>
          <w:bCs/>
          <w:color w:val="5A5A5A"/>
          <w:sz w:val="20"/>
          <w:szCs w:val="20"/>
        </w:rPr>
        <w:t xml:space="preserve">Challenges &amp; limitations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As of May 2026, App Functions is in private preview / alpha and the caller-side EXECUTE_APP_FUNCTIONS permission is restricted to system-level callers — currently Gemini and OEMs only.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Your app therefore cannot BE the agent that orchestrates the user's other installed apps via App Functions. That privileged seat belongs to Gemini.</w:t>
      </w:r>
    </w:p>
    <w:p>
      <w:pPr>
        <w:pStyle w:val="ListParagraph"/>
        <w:numPr>
          <w:ilvl w:val="0"/>
          <w:numId w:val="2"/>
        </w:numPr>
        <w:spacing w:after="60" w:line="272"/>
      </w:pPr>
      <w:r>
        <w:t xml:space="preserve">Depending on this path puts you in direct competition with Gemini's position rather than building on top of it.</w:t>
      </w:r>
    </w:p>
    <w:p>
      <w:pPr>
        <w:spacing w:after="200" w:line="276"/>
      </w:pPr>
      <w:r>
        <w:rPr>
          <w:b/>
          <w:bCs/>
          <w:color w:val="2E75B6"/>
          <w:sz w:val="20"/>
          <w:szCs w:val="20"/>
        </w:rPr>
        <w:t xml:space="preserve">Recommendation:  </w:t>
      </w:r>
      <w:r>
        <w:rPr>
          <w:sz w:val="20"/>
          <w:szCs w:val="20"/>
        </w:rPr>
        <w:t xml:space="preserve">Redraw cross-service action around your own connector layer (cloud APIs you control), not on-device App Functions invocation. Optionally expose your own App Functions so Gemini can call into your app — but do not rely on calling out.</w:t>
      </w:r>
    </w:p>
    <w:p>
      <w:pPr>
        <w:pStyle w:val="Heading2"/>
      </w:pPr>
      <w:r>
        <w:t xml:space="preserve">The One Reframe</w:t>
      </w:r>
    </w:p>
    <w:p>
      <w:pPr>
        <w:spacing w:after="120" w:before="0" w:line="276"/>
      </w:pPr>
      <w:r>
        <w:t xml:space="preserve">The biggest risks are explicitly not feasibility. Almost everything builds. What can sink this is (1) prioritization quality — the hardest thing to validate from a spec and the easiest to underestimate — and (2) the assumption of continuous on-device monitoring. Invert that assumption — make the cloud and connectors the always-on brain and the device a thin event-source-plus-renderer — and most of the Android platform constraints stop mattering.</w:t>
      </w:r>
    </w:p>
    <w:p>
      <w:pPr>
        <w:spacing w:after="120" w:before="80" w:line="276"/>
      </w:pPr>
      <w:r>
        <w:rPr>
          <w:b/>
          <w:bCs/>
        </w:rPr>
        <w:t xml:space="preserve">Recommended sequencing: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Lock the structured UI response contract and ship the client as a renderer against a fixed card library.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Stand up the cloud-centric context + reasoning pipeline with cheap pre-filters gating the LLM.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Start Gmail CASA and enterprise connector approvals early — they gate the timeline more than code does.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Build the prioritization eval harness before scaling reasoning spend.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t xml:space="preserve">Defer always-on voice and cross-app App Functions invocation; revisit when the platform APIs open up.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5A5A"/>
        <w:sz w:val="16"/>
        <w:szCs w:val="16"/>
      </w:rPr>
      <w:t xml:space="preserve">Page 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5A5A"/>
        <w:sz w:val="16"/>
        <w:szCs w:val="16"/>
      </w:rPr>
      <w:t xml:space="preserve"> of </w:t>
    </w:r>
    <w:r>
      <w:rPr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4"/>
      </w:pBdr>
      <w:jc w:val="right"/>
    </w:pPr>
    <w:r>
      <w:rPr>
        <w:color w:val="5A5A5A"/>
        <w:sz w:val="16"/>
        <w:szCs w:val="16"/>
      </w:rPr>
      <w:t xml:space="preserve">Personal AI Agent Platform — Requirements &amp; Feasibility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97024624be8721aa3f5c79ac7f9e0e1002754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Personal AI Agent Platform — Requirements &amp; Feasibility</dc:title>
  <dc:creator>Engineering Review</dc:creator>
  <cp:lastModifiedBy>Un-named</cp:lastModifiedBy>
  <cp:revision>1</cp:revision>
  <dcterms:created xsi:type="dcterms:W3CDTF">2026-06-10T17:55:39.421Z</dcterms:created>
  <dcterms:modified xsi:type="dcterms:W3CDTF">2026-06-10T17:55:39.421Z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