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4942DB" w:rsidRDefault="00000000" w14:paraId="40CFB5CC" w14:textId="77777777">
      <w:pPr>
        <w:spacing w:after="40"/>
      </w:pPr>
      <w:r>
        <w:rPr>
          <w:color w:val="595959"/>
          <w:sz w:val="20"/>
          <w:szCs w:val="20"/>
        </w:rPr>
        <w:t xml:space="preserve">Startups &amp; VC Bootcamp  |  Day 2: Early-Stage Investments</w:t>
      </w:r>
    </w:p>
    <w:p w:rsidR="004942DB" w:rsidRDefault="00AF2ABB" w14:paraId="7B7E369C" w14:textId="6E7901C7">
      <w:pPr>
        <w:spacing w:after="60"/>
      </w:pPr>
      <w:r>
        <w:rPr>
          <w:b/>
          <w:bCs/>
          <w:sz w:val="36"/>
          <w:szCs w:val="36"/>
        </w:rPr>
        <w:t xml:space="preserve">SAFE Exercise Group Worksheet: Tinsmith AI Pre-Seed Round</w:t>
      </w:r>
    </w:p>
    <w:p w:rsidR="004942DB" w:rsidRDefault="00000000" w14:paraId="34020744" w14:textId="77777777">
      <w:pPr>
        <w:spacing w:after="80"/>
      </w:pPr>
      <w:r>
        <w:rPr>
          <w:color w:val="404040"/>
          <w:sz w:val="19"/>
          <w:szCs w:val="19"/>
        </w:rPr>
        <w:t>Work on one laptop. Type in the boxes (they expand as you type) and add rows if you need them. Before the client meeting starts, one person uploads this file to Canvas.</w:t>
      </w:r>
    </w:p>
    <w:p w:rsidR="004942DB" w:rsidRDefault="00000000" w14:paraId="4CDD9AA3" w14:textId="77777777">
      <w:pPr>
        <w:pStyle w:val="Heading3"/>
        <w:keepNext/>
      </w:pPr>
      <w:r>
        <w:t>Group members</w:t>
      </w:r>
    </w:p>
    <w:tbl>
      <w:tblPr>
        <w:tblW w:w="9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720"/>
      </w:tblGrid>
      <w:tr w:rsidR="004942DB" w14:paraId="5B9FB693" w14:textId="77777777">
        <w:tblPrEx>
          <w:tblCellMar>
            <w:top w:w="0" w:type="dxa"/>
            <w:bottom w:w="0" w:type="dxa"/>
          </w:tblCellMar>
        </w:tblPrEx>
        <w:trPr>
          <w:tblHeader/>
        </w:trPr>
        <w:tc>
          <w:tcPr>
            <w:tcW w:w="972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6C823E5F" w14:textId="77777777">
            <w:r>
              <w:rPr>
                <w:b/>
                <w:bCs/>
                <w:sz w:val="20"/>
                <w:szCs w:val="20"/>
              </w:rPr>
              <w:t>Names</w:t>
            </w:r>
          </w:p>
        </w:tc>
      </w:tr>
      <w:tr w:rsidR="004942DB" w14:paraId="4A026724" w14:textId="77777777">
        <w:tblPrEx>
          <w:tblCellMar>
            <w:top w:w="0" w:type="dxa"/>
            <w:bottom w:w="0" w:type="dxa"/>
          </w:tblCellMar>
        </w:tblPrEx>
        <w:trPr>
          <w:trHeight w:val="500"/>
        </w:trPr>
        <w:tc>
          <w:tcPr>
            <w:tcW w:w="97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[Group member names]</w:t>
            </w:r>
          </w:p>
        </w:tc>
      </w:tr>
    </w:tbl>
    <w:p w:rsidR="004942DB" w:rsidRDefault="004942DB" w14:paraId="593BAA37" w14:textId="77777777">
      <w:pPr>
        <w:spacing w:after="60"/>
      </w:pPr>
    </w:p>
    <w:p w:rsidR="004942DB" w:rsidRDefault="00000000" w14:paraId="60FDED86" w14:textId="77777777">
      <w:pPr>
        <w:pStyle w:val="Heading2"/>
        <w:keepNext/>
      </w:pPr>
      <w:r>
        <w:t>Part 1: Issues list</w:t>
      </w:r>
    </w:p>
    <w:p w:rsidR="004942DB" w:rsidRDefault="00000000" w14:paraId="088E1CF4" w14:textId="77777777">
      <w:pPr>
        <w:spacing w:after="80"/>
      </w:pPr>
      <w:r>
        <w:rPr>
          <w:color w:val="404040"/>
          <w:sz w:val="19"/>
          <w:szCs w:val="19"/>
        </w:rPr>
        <w:t>Every issue you would raise with Alex, one per row, in any order. Put a * in the last column next to the one issue you think other groups are most likely to miss.</w:t>
      </w:r>
    </w:p>
    <w:tbl>
      <w:tblPr>
        <w:tblW w:w="9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00"/>
        <w:gridCol w:w="5420"/>
        <w:gridCol w:w="2900"/>
        <w:gridCol w:w="900"/>
      </w:tblGrid>
      <w:tr w:rsidR="004942DB" w14:paraId="5A035660" w14:textId="77777777">
        <w:tblPrEx>
          <w:tblCellMar>
            <w:top w:w="0" w:type="dxa"/>
            <w:bottom w:w="0" w:type="dxa"/>
          </w:tblCellMar>
        </w:tblPrEx>
        <w:trPr>
          <w:tblHeader/>
        </w:trPr>
        <w:tc>
          <w:tcPr>
            <w:tcW w:w="50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4EF96600" w14:textId="77777777">
            <w:r>
              <w:rPr>
                <w:b/>
                <w:bCs/>
                <w:sz w:val="20"/>
                <w:szCs w:val="20"/>
              </w:rPr>
              <w:t>#</w:t>
            </w:r>
          </w:p>
        </w:tc>
        <w:tc>
          <w:tcPr>
            <w:tcW w:w="542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50CAF207" w14:textId="77777777">
            <w:r>
              <w:rPr>
                <w:b/>
                <w:bCs/>
                <w:sz w:val="20"/>
                <w:szCs w:val="20"/>
              </w:rPr>
              <w:t>Issue</w:t>
            </w:r>
          </w:p>
        </w:tc>
        <w:tc>
          <w:tcPr>
            <w:tcW w:w="290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14B3E331" w14:textId="77777777">
            <w:r>
              <w:rPr>
                <w:b/>
                <w:bCs/>
                <w:sz w:val="20"/>
                <w:szCs w:val="20"/>
              </w:rPr>
              <w:t>Where (document and section)</w:t>
            </w:r>
          </w:p>
        </w:tc>
        <w:tc>
          <w:tcPr>
            <w:tcW w:w="90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541F90D0" w14:textId="77777777">
            <w:r>
              <w:rPr>
                <w:b/>
                <w:bCs/>
                <w:sz w:val="20"/>
                <w:szCs w:val="20"/>
              </w:rPr>
              <w:t>Star (*)</w:t>
            </w:r>
          </w:p>
        </w:tc>
      </w:tr>
      <w:tr w:rsidR="004942DB" w14:paraId="055D0F26"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1</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The SAFE is NOT the standard YC SAFE.</w:t>
            </w:r>
            <w:r>
              <w:rPr>
                <w:sz w:val="20"/>
                <w:szCs w:val="20"/>
              </w:rPr>
              <w:t xml:space="preserve"> Compared line by line with the YC cap-only form, it has three changes (rows 2-4). It also says "neither party has modified the form," which is false. Alex can't skip it.</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SAFE, opening paragraph; Dana's email</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45D59C2A"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2</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2x payout instead of 1x.</w:t>
            </w:r>
            <w:r>
              <w:rPr>
                <w:sz w:val="20"/>
                <w:szCs w:val="20"/>
              </w:rPr>
              <w:t xml:space="preserve"> In a sale or shutdown, Northvane gets $3M (twice its $1.5M) before the founders get anything. Example: in a $10M sale, Alex gets about $800K less and Priya about $600K less.</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SAFE §1(b), §1(c)</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13E3679F"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3</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Hidden one-word change: "Standard" instead of "Safe" Preferred.</w:t>
            </w:r>
            <w:r>
              <w:rPr>
                <w:sz w:val="20"/>
                <w:szCs w:val="20"/>
              </w:rPr>
              <w:t xml:space="preserve"> When the SAFE converts in the Series A, Northvane's preferred stock gets a payout preference based on the Series A price instead of its own lower price. If the Series A is at 2x the cap, Northvane's $1.5M carries a ~$3M preference.</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SAFE §1(a), clause (2)</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w:t>
            </w:r>
          </w:p>
        </w:tc>
      </w:tr>
      <w:tr w:rsidR="004942DB" w14:paraId="5DB48A0C"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4</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$5M minimum round.</w:t>
            </w:r>
            <w:r>
              <w:rPr>
                <w:sz w:val="20"/>
                <w:szCs w:val="20"/>
              </w:rPr>
              <w:t xml:space="preserve"> The YC form converts in any priced round. Here, a round under $5M converts everyone except Northvane, which keeps its 2x payout and vetoes.</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SAFE §2, "Equity Financing"</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116C3967"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5</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Founders lose their vesting.</w:t>
            </w:r>
            <w:r>
              <w:rPr>
                <w:sz w:val="20"/>
                <w:szCs w:val="20"/>
              </w:rPr>
              <w:t xml:space="preserve"> Alex and Priya are about 52% vested. This resets both to 0%, re-vesting over 4 more years (Alex ~2.34M shares, Priya ~1.82M shares put back at risk). Their acceleration on a sale also becomes "double trigger": it only applies if they are also fired. This is Priya's concern.</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Side letter §9(b)</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7A0A8E84"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6</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Founders sign personally.</w:t>
            </w:r>
            <w:r>
              <w:rPr>
                <w:sz w:val="20"/>
                <w:szCs w:val="20"/>
              </w:rPr>
              <w:t xml:space="preserve"> We represent the company, not Alex and Priya. They should get their own advice on §6(b) and §9(b). Consider a protective 83(b) election.</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Side letter signature page; §6(b), §9(b)</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57782B54"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7</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Northvane gets vetoes before the Series A.</w:t>
            </w:r>
            <w:r>
              <w:rPr>
                <w:sz w:val="20"/>
                <w:szCs w:val="20"/>
              </w:rPr>
              <w:t xml:space="preserve"> Without its consent the company can't sell itself, do a small priced round, add authorized shares, or grow the option pool.</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Side letter §8, §9(d)</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3DF64D59"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8</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Northvane controls the other SAFEs.</w:t>
            </w:r>
            <w:r>
              <w:rPr>
                <w:sz w:val="20"/>
                <w:szCs w:val="20"/>
              </w:rPr>
              <w:t xml:space="preserve"> It holds 60% of the $25M-cap SAFEs, so it can approve changes to Bramblewood's and the angels' SAFEs, and the side letter gives it a veto over any change to them.</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SAFE §5(a); Side letter §20(b)</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59FAEB26"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9</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Pro rata rights go far beyond the YC pro rata letter.</w:t>
            </w:r>
            <w:r>
              <w:rPr>
                <w:sz w:val="20"/>
                <w:szCs w:val="20"/>
              </w:rPr>
              <w:t xml:space="preserve"> The YC letter covers only the next priced round, ends there, and uses all shares including the option pool as the base. Northvane's covers every future round forever (including bridge SAFEs) and leaves the option pool out of the base, which makes its share bigger. It also gives a 20-day wait before closing and advance notice of any term sheet.</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Side letter §1; compare YC Pro Rata Side Letter</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76DE0952"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10</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Broad MFN.</w:t>
            </w:r>
            <w:r>
              <w:rPr>
                <w:sz w:val="20"/>
                <w:szCs w:val="20"/>
              </w:rPr>
              <w:t xml:space="preserve"> Northvane can copy any better term given to any later investor, including stacking a discount on top of its cap.</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Side letter §2</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25230C27"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11</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Board observer and a promised board seat.</w:t>
            </w:r>
            <w:r>
              <w:rPr>
                <w:sz w:val="20"/>
                <w:szCs w:val="20"/>
              </w:rPr>
              <w:t xml:space="preserve"> Northvane gets an observer for as long as it holds anything, and a board seat in the Series A. It is also free to invest in competitors and can never be labeled a "Competitor," so it sees board materials while it can back rivals.</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Side letter §6, §7(b), §15</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06E64A0B"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12</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Heavy reporting for a 5-person company.</w:t>
            </w:r>
            <w:r>
              <w:rPr>
                <w:sz w:val="20"/>
                <w:szCs w:val="20"/>
              </w:rPr>
              <w:t xml:space="preserve"> Monthly budgets, customer data, pitch decks, and advance drafts of any sale documents. The basic financials and cap table are fine.</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Side letter §4, §5</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00C944BE"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13</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The side letter overrides everything and never ends.</w:t>
            </w:r>
            <w:r>
              <w:rPr>
                <w:sz w:val="20"/>
                <w:szCs w:val="20"/>
              </w:rPr>
              <w:t xml:space="preserve"> It claims to beat the charter and the future Series A documents, and Northvane can transfer it to anyone. The YC letter ends at the Series A and can't be assigned without consent.</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Side letter §19, §20(a), §20(c)</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14:paraId="2A4D4C47" w14:textId="77777777">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14</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The other investors aren't told.</w:t>
            </w:r>
            <w:r>
              <w:rPr>
                <w:sz w:val="20"/>
                <w:szCs w:val="20"/>
              </w:rPr>
              <w:t xml:space="preserve"> Bramblewood and the angels rank equally with Northvane's hidden 2x payout, and the side letter bars the company from telling them. That creates securities-fraud risk.</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Side letter §18(b), §14(b)</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15</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Smaller items.</w:t>
            </w:r>
            <w:r>
              <w:rPr>
                <w:sz w:val="20"/>
                <w:szCs w:val="20"/>
              </w:rPr>
              <w:t xml:space="preserve"> Strict vesting rules for all employee grants (§9(a)). Broad permits rep (§11). Undefined "customary" anti-dilution (§7(a)). The company pays $10K + $5K of Northvane's legal fees (§17). Board approval is needed before signing (§14(a)).</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Side letter §7(a), §9(a), §11, §14(a), §17</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r w:rsidR="004942DB">
        <w:tblPrEx>
          <w:tblCellMar>
            <w:top w:w="0" w:type="dxa"/>
            <w:bottom w:w="0" w:type="dxa"/>
          </w:tblCellMar>
        </w:tblPrEx>
        <w:trPr>
          <w:trHeight w:val="380"/>
        </w:trPr>
        <w:tc>
          <w:tcPr>
            <w:tcW w:w="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16</w:t>
            </w:r>
          </w:p>
        </w:tc>
        <w:tc>
          <w:tcPr>
            <w:tcW w:w="54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Don't rush for Monday.</w:t>
            </w:r>
            <w:r>
              <w:rPr>
                <w:sz w:val="20"/>
                <w:szCs w:val="20"/>
              </w:rPr>
              <w:t xml:space="preserve"> That date serves Dana's LP meeting. Bramblewood offered the same $25M cap on clean YC terms, which gives Alex leverage.</w:t>
            </w:r>
          </w:p>
        </w:tc>
        <w:tc>
          <w:tcPr>
            <w:tcW w:w="2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Both emails; Background</w:t>
            </w:r>
          </w:p>
        </w:tc>
        <w:tc>
          <w:tcPr>
            <w:tcW w:w="9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tc>
      </w:tr>
    </w:tbl>
    <w:p w:rsidR="004942DB" w:rsidRDefault="004942DB" w14:paraId="72741788" w14:textId="77777777">
      <w:pPr>
        <w:spacing w:after="60"/>
      </w:pPr>
    </w:p>
    <w:p w:rsidR="004942DB" w:rsidRDefault="00000000" w14:paraId="6AB7B124" w14:textId="77777777">
      <w:pPr>
        <w:pStyle w:val="Heading2"/>
        <w:keepNext/>
      </w:pPr>
      <w:r>
        <w:lastRenderedPageBreak/>
        <w:t>Part 2: The call to Dana</w:t>
      </w:r>
    </w:p>
    <w:p w:rsidR="004942DB" w:rsidRDefault="00000000" w14:paraId="2413B222" w14:textId="77777777">
      <w:pPr>
        <w:pStyle w:val="Heading3"/>
        <w:keepNext/>
      </w:pPr>
      <w:r>
        <w:t>Fight: the three terms Alex should push back on hardest, in order</w:t>
      </w:r>
    </w:p>
    <w:tbl>
      <w:tblPr>
        <w:tblW w:w="9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700"/>
        <w:gridCol w:w="2300"/>
        <w:gridCol w:w="3600"/>
        <w:gridCol w:w="3120"/>
      </w:tblGrid>
      <w:tr w:rsidR="004942DB" w14:paraId="1EA85BDA" w14:textId="77777777">
        <w:tblPrEx>
          <w:tblCellMar>
            <w:top w:w="0" w:type="dxa"/>
            <w:bottom w:w="0" w:type="dxa"/>
          </w:tblCellMar>
        </w:tblPrEx>
        <w:trPr>
          <w:tblHeader/>
        </w:trPr>
        <w:tc>
          <w:tcPr>
            <w:tcW w:w="70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22A58617" w14:textId="77777777">
            <w:r>
              <w:rPr>
                <w:b/>
                <w:bCs/>
                <w:sz w:val="20"/>
                <w:szCs w:val="20"/>
              </w:rPr>
              <w:t>Rank</w:t>
            </w:r>
          </w:p>
        </w:tc>
        <w:tc>
          <w:tcPr>
            <w:tcW w:w="230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4315DBA0" w14:textId="77777777">
            <w:r>
              <w:rPr>
                <w:b/>
                <w:bCs/>
                <w:sz w:val="20"/>
                <w:szCs w:val="20"/>
              </w:rPr>
              <w:t>Term and where</w:t>
            </w:r>
          </w:p>
        </w:tc>
        <w:tc>
          <w:tcPr>
            <w:tcW w:w="360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3897569A" w14:textId="77777777">
            <w:r>
              <w:rPr>
                <w:b/>
                <w:bCs/>
                <w:sz w:val="20"/>
                <w:szCs w:val="20"/>
              </w:rPr>
              <w:t>What it does and what it means for Alex (numbers where you can)</w:t>
            </w:r>
          </w:p>
        </w:tc>
        <w:tc>
          <w:tcPr>
            <w:tcW w:w="312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20E224BE" w14:textId="77777777">
            <w:r>
              <w:rPr>
                <w:b/>
                <w:bCs/>
                <w:sz w:val="20"/>
                <w:szCs w:val="20"/>
              </w:rPr>
              <w:t>What we would propose instead</w:t>
            </w:r>
          </w:p>
        </w:tc>
      </w:tr>
      <w:tr w:rsidR="004942DB" w14:paraId="5F4DF039" w14:textId="77777777">
        <w:tblPrEx>
          <w:tblCellMar>
            <w:top w:w="0" w:type="dxa"/>
            <w:bottom w:w="0" w:type="dxa"/>
          </w:tblCellMar>
        </w:tblPrEx>
        <w:trPr>
          <w:trHeight w:val="1100"/>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1</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Fix the SAFE back to the real YC form.</w:t>
            </w:r>
            <w:r>
              <w:rPr>
                <w:sz w:val="20"/>
                <w:szCs w:val="20"/>
              </w:rPr>
              <w:t xml:space="preserve"> SAFE §1(a)(2), §1(b)-(c), §2</w:t>
            </w:r>
          </w:p>
        </w:tc>
        <w:tc>
          <w:tcPr>
            <w:tcW w:w="36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pPr>
              <w:spacing w:after="80"/>
            </w:pPr>
            <w:r>
              <w:rPr>
                <w:sz w:val="20"/>
                <w:szCs w:val="20"/>
              </w:rPr>
              <w:t xml:space="preserve">Northvane gets 2x its money first, a bigger preference in the Series A, and a SAFE that skips small rounds.</w:t>
            </w:r>
          </w:p>
          <w:p w:rsidR="004942DB" w:rsidRDefault="004942DB">
            <w:r>
              <w:rPr>
                <w:b/>
                <w:bCs/>
                <w:sz w:val="20"/>
                <w:szCs w:val="20"/>
              </w:rPr>
              <w:t xml:space="preserve">For Alex:</w:t>
            </w:r>
            <w:r>
              <w:rPr>
                <w:sz w:val="20"/>
                <w:szCs w:val="20"/>
              </w:rPr>
              <w:t xml:space="preserve"> "In any sale under ~$50M, Northvane takes $3M before you see a dollar." In a $10M sale, Alex loses ~$800K and Priya ~$600K.</w:t>
            </w:r>
          </w:p>
        </w:tc>
        <w:tc>
          <w:tcPr>
            <w:tcW w:w="31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Use the unmodified YC SAFE: 1x, "Safe Preferred," no $5M minimum. Dana already says it's the standard form, so we're only asking her to make that true. It also matches Bramblewood's and the angels' terms.</w:t>
            </w:r>
          </w:p>
        </w:tc>
      </w:tr>
      <w:tr w:rsidR="004942DB" w14:paraId="5029E6BB" w14:textId="77777777">
        <w:tblPrEx>
          <w:tblCellMar>
            <w:top w:w="0" w:type="dxa"/>
            <w:bottom w:w="0" w:type="dxa"/>
          </w:tblCellMar>
        </w:tblPrEx>
        <w:trPr>
          <w:trHeight w:val="1100"/>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2</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Founder re-vesting.</w:t>
            </w:r>
            <w:r>
              <w:rPr>
                <w:sz w:val="20"/>
                <w:szCs w:val="20"/>
              </w:rPr>
              <w:t xml:space="preserve"> Side letter §9(b)</w:t>
            </w:r>
          </w:p>
        </w:tc>
        <w:tc>
          <w:tcPr>
            <w:tcW w:w="36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pPr>
              <w:spacing w:after="80"/>
            </w:pPr>
            <w:r>
              <w:rPr>
                <w:sz w:val="20"/>
                <w:szCs w:val="20"/>
              </w:rPr>
              <w:t xml:space="preserve">Resets both founders to 0% vested for 4 more years and weakens their acceleration on a sale.</w:t>
            </w:r>
          </w:p>
          <w:p w:rsidR="004942DB" w:rsidRDefault="004942DB">
            <w:r>
              <w:rPr>
                <w:b/>
                <w:bCs/>
                <w:sz w:val="20"/>
                <w:szCs w:val="20"/>
              </w:rPr>
              <w:t xml:space="preserve">For Alex:</w:t>
            </w:r>
            <w:r>
              <w:rPr>
                <w:sz w:val="20"/>
                <w:szCs w:val="20"/>
              </w:rPr>
              <w:t xml:space="preserve"> About 4.16M already-earned shares go back at risk. If Priya left in a year, she'd keep ~875K shares instead of ~2.7M.</w:t>
            </w:r>
          </w:p>
        </w:tc>
        <w:tc>
          <w:tcPr>
            <w:tcW w:w="31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Delete it. The founders still have ~48% unvested, which already keeps them in place. Fallback: credit time already served, and revisit at the Series A.</w:t>
            </w:r>
          </w:p>
        </w:tc>
      </w:tr>
      <w:tr w:rsidR="004942DB" w14:paraId="7148D19D" w14:textId="77777777">
        <w:tblPrEx>
          <w:tblCellMar>
            <w:top w:w="0" w:type="dxa"/>
            <w:bottom w:w="0" w:type="dxa"/>
          </w:tblCellMar>
        </w:tblPrEx>
        <w:trPr>
          <w:trHeight w:val="1100"/>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3</w:t>
            </w:r>
          </w:p>
        </w:tc>
        <w:tc>
          <w:tcPr>
            <w:tcW w:w="23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Vetoes and the "override everything" clause.</w:t>
            </w:r>
            <w:r>
              <w:rPr>
                <w:sz w:val="20"/>
                <w:szCs w:val="20"/>
              </w:rPr>
              <w:t xml:space="preserve"> Side letter §8, §9(d), §20(a)-(b)</w:t>
            </w:r>
          </w:p>
        </w:tc>
        <w:tc>
          <w:tcPr>
            <w:tcW w:w="36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pPr>
              <w:spacing w:after="80"/>
            </w:pPr>
            <w:r>
              <w:rPr>
                <w:sz w:val="20"/>
                <w:szCs w:val="20"/>
              </w:rPr>
              <w:t xml:space="preserve">Lets one SAFE investor block a sale, a small round, or a bigger option pool, and beats even the charter.</w:t>
            </w:r>
          </w:p>
          <w:p w:rsidR="004942DB" w:rsidRDefault="004942DB">
            <w:r>
              <w:rPr>
                <w:b/>
                <w:bCs/>
                <w:sz w:val="20"/>
                <w:szCs w:val="20"/>
              </w:rPr>
              <w:t xml:space="preserve">For Alex:</w:t>
            </w:r>
            <w:r>
              <w:rPr>
                <w:sz w:val="20"/>
                <w:szCs w:val="20"/>
              </w:rPr>
              <w:t xml:space="preserve"> "Dana could block a $20M acquisition offer that you, Priya and Bramblewood all want."</w:t>
            </w:r>
          </w:p>
        </w:tc>
        <w:tc>
          <w:tcPr>
            <w:tcW w:w="31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Delete them. Bramblewood didn't ask for any of this. Fallback: consent only for changes that specifically hurt Northvane's SAFE, with the side letter ending at the Series A (like the YC letter).</w:t>
            </w:r>
          </w:p>
        </w:tc>
      </w:tr>
    </w:tbl>
    <w:p w:rsidR="004942DB" w:rsidRDefault="004942DB" w14:paraId="119E5B4A" w14:textId="77777777">
      <w:pPr>
        <w:spacing w:after="60"/>
      </w:pPr>
    </w:p>
    <w:p w:rsidR="004942DB" w:rsidRDefault="00000000" w14:paraId="0320E4E7" w14:textId="77777777">
      <w:pPr>
        <w:pStyle w:val="Heading3"/>
        <w:keepNext/>
      </w:pPr>
      <w:r>
        <w:t>Give: two terms Alex should simply accept</w:t>
      </w:r>
    </w:p>
    <w:tbl>
      <w:tblPr>
        <w:tblW w:w="9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700"/>
        <w:gridCol w:w="3500"/>
        <w:gridCol w:w="5520"/>
      </w:tblGrid>
      <w:tr w:rsidR="004942DB" w14:paraId="5F4DCDEE" w14:textId="77777777">
        <w:tblPrEx>
          <w:tblCellMar>
            <w:top w:w="0" w:type="dxa"/>
            <w:bottom w:w="0" w:type="dxa"/>
          </w:tblCellMar>
        </w:tblPrEx>
        <w:trPr>
          <w:tblHeader/>
        </w:trPr>
        <w:tc>
          <w:tcPr>
            <w:tcW w:w="70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1FFA1C2E" w14:textId="77777777">
            <w:r>
              <w:rPr>
                <w:b/>
                <w:bCs/>
                <w:sz w:val="20"/>
                <w:szCs w:val="20"/>
              </w:rPr>
              <w:t>#</w:t>
            </w:r>
          </w:p>
        </w:tc>
        <w:tc>
          <w:tcPr>
            <w:tcW w:w="350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5917D545" w14:textId="77777777">
            <w:r>
              <w:rPr>
                <w:b/>
                <w:bCs/>
                <w:sz w:val="20"/>
                <w:szCs w:val="20"/>
              </w:rPr>
              <w:t>Term and where</w:t>
            </w:r>
          </w:p>
        </w:tc>
        <w:tc>
          <w:tcPr>
            <w:tcW w:w="552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025DB0A1" w14:textId="77777777">
            <w:r>
              <w:rPr>
                <w:b/>
                <w:bCs/>
                <w:sz w:val="20"/>
                <w:szCs w:val="20"/>
              </w:rPr>
              <w:t>Why Alex should accept it</w:t>
            </w:r>
          </w:p>
        </w:tc>
      </w:tr>
      <w:tr w:rsidR="004942DB" w14:paraId="0B0A8CDD" w14:textId="77777777">
        <w:tblPrEx>
          <w:tblCellMar>
            <w:top w:w="0" w:type="dxa"/>
            <w:bottom w:w="0" w:type="dxa"/>
          </w:tblCellMar>
        </w:tblPrEx>
        <w:trPr>
          <w:trHeight w:val="600"/>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1</w:t>
            </w:r>
          </w:p>
        </w:tc>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$1 put option.</w:t>
            </w:r>
            <w:r>
              <w:rPr>
                <w:sz w:val="20"/>
                <w:szCs w:val="20"/>
              </w:rPr>
              <w:t xml:space="preserve"> Side letter §12</w:t>
            </w:r>
          </w:p>
        </w:tc>
        <w:tc>
          <w:tcPr>
            <w:tcW w:w="55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It looks scary, but it only lets Northvane hand its stake back to the company for $1. The company loses nothing and gets the shares back. Funds use this to book a tax loss.</w:t>
            </w:r>
          </w:p>
        </w:tc>
      </w:tr>
      <w:tr w:rsidR="004942DB" w14:paraId="47503D4B" w14:textId="77777777">
        <w:tblPrEx>
          <w:tblCellMar>
            <w:top w:w="0" w:type="dxa"/>
            <w:bottom w:w="0" w:type="dxa"/>
          </w:tblCellMar>
        </w:tblPrEx>
        <w:trPr>
          <w:trHeight w:val="600"/>
        </w:trPr>
        <w:tc>
          <w:tcPr>
            <w:tcW w:w="7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000000">
            <w:r>
              <w:rPr>
                <w:sz w:val="20"/>
                <w:szCs w:val="20"/>
              </w:rPr>
              <w:t xml:space="preserve">2</w:t>
            </w:r>
          </w:p>
        </w:tc>
        <w:tc>
          <w:tcPr>
            <w:tcW w:w="350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b/>
                <w:bCs/>
                <w:sz w:val="20"/>
                <w:szCs w:val="20"/>
              </w:rPr>
              <w:t xml:space="preserve">QSBS tax reps.</w:t>
            </w:r>
            <w:r>
              <w:rPr>
                <w:sz w:val="20"/>
                <w:szCs w:val="20"/>
              </w:rPr>
              <w:t xml:space="preserve"> Side letter §10</w:t>
            </w:r>
          </w:p>
        </w:tc>
        <w:tc>
          <w:tcPr>
            <w:tcW w:w="55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They help the founders too (tax-free gains on a sale). They should be true for Tinsmith, and the promise is only "reasonable efforts."</w:t>
            </w:r>
          </w:p>
        </w:tc>
      </w:tr>
    </w:tbl>
    <w:p w:rsidR="004942DB" w:rsidRDefault="004942DB" w14:paraId="6C4C46E7" w14:textId="77777777">
      <w:pPr>
        <w:spacing w:after="60"/>
      </w:pPr>
    </w:p>
    <w:p w:rsidR="004942DB" w:rsidRDefault="00000000" w14:paraId="4548F1E5" w14:textId="77777777">
      <w:pPr>
        <w:pStyle w:val="Heading3"/>
        <w:keepNext/>
      </w:pPr>
      <w:r>
        <w:t>Ask: one question you need Alex to answer before you finalize your advice</w:t>
      </w:r>
    </w:p>
    <w:tbl>
      <w:tblPr>
        <w:tblW w:w="9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720"/>
      </w:tblGrid>
      <w:tr w:rsidR="004942DB" w14:paraId="0C010E5B" w14:textId="77777777">
        <w:tblPrEx>
          <w:tblCellMar>
            <w:top w:w="0" w:type="dxa"/>
            <w:bottom w:w="0" w:type="dxa"/>
          </w:tblCellMar>
        </w:tblPrEx>
        <w:trPr>
          <w:tblHeader/>
        </w:trPr>
        <w:tc>
          <w:tcPr>
            <w:tcW w:w="9720" w:type="dxa"/>
            <w:tcBorders>
              <w:top w:val="single" w:color="A6A6A6" w:sz="4" w:space="0"/>
              <w:left w:val="single" w:color="A6A6A6" w:sz="4" w:space="0"/>
              <w:bottom w:val="single" w:color="A6A6A6" w:sz="4" w:space="0"/>
              <w:right w:val="single" w:color="A6A6A6" w:sz="4" w:space="0"/>
            </w:tcBorders>
            <w:shd w:val="clear" w:color="auto" w:fill="E7E6E6"/>
            <w:tcMar>
              <w:top w:w="60" w:type="dxa"/>
              <w:left w:w="100" w:type="dxa"/>
              <w:bottom w:w="60" w:type="dxa"/>
              <w:right w:w="100" w:type="dxa"/>
            </w:tcMar>
          </w:tcPr>
          <w:p w:rsidR="004942DB" w:rsidRDefault="00000000" w14:paraId="1A74C046" w14:textId="77777777">
            <w:r>
              <w:rPr>
                <w:b/>
                <w:bCs/>
                <w:sz w:val="20"/>
                <w:szCs w:val="20"/>
              </w:rPr>
              <w:t>Question</w:t>
            </w:r>
          </w:p>
        </w:tc>
      </w:tr>
      <w:tr w:rsidR="004942DB" w14:paraId="039D8A11" w14:textId="77777777">
        <w:tblPrEx>
          <w:tblCellMar>
            <w:top w:w="0" w:type="dxa"/>
            <w:bottom w:w="0" w:type="dxa"/>
          </w:tblCellMar>
        </w:tblPrEx>
        <w:trPr>
          <w:trHeight w:val="600"/>
        </w:trPr>
        <w:tc>
          <w:tcPr>
            <w:tcW w:w="9720" w:type="dxa"/>
            <w:tcBorders>
              <w:top w:val="single" w:color="A6A6A6" w:sz="4" w:space="0"/>
              <w:left w:val="single" w:color="A6A6A6" w:sz="4" w:space="0"/>
              <w:bottom w:val="single" w:color="A6A6A6" w:sz="4" w:space="0"/>
              <w:right w:val="single" w:color="A6A6A6" w:sz="4" w:space="0"/>
            </w:tcBorders>
            <w:tcMar>
              <w:top w:w="60" w:type="dxa"/>
              <w:left w:w="100" w:type="dxa"/>
              <w:bottom w:w="60" w:type="dxa"/>
              <w:right w:w="100" w:type="dxa"/>
            </w:tcMar>
          </w:tcPr>
          <w:p w:rsidR="004942DB" w:rsidRDefault="004942DB">
            <w:r>
              <w:rPr>
                <w:sz w:val="20"/>
                <w:szCs w:val="20"/>
              </w:rPr>
              <w:t xml:space="preserve">If Dana won't drop the SAFE changes and the founder re-vesting, would Bramblewood lead or put in more so you can close without Northvane? (Tells us how hard we can push.)</w:t>
            </w:r>
          </w:p>
        </w:tc>
      </w:tr>
    </w:tbl>
    <w:p w:rsidR="004942DB" w:rsidRDefault="004942DB" w14:paraId="4BF0F41E" w14:textId="7D7D08ED">
      <w:pPr>
        <w:spacing w:after="120" w:line="276" w:lineRule="auto"/>
      </w:pPr>
    </w:p>
    <w:sectPr w:rsidR="004942DB">
      <w:footerReference w:type="default" r:id="rId7"/>
      <w:pgSz w:w="12240" w:h="15840"/>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2F7F9D" w:rsidRDefault="002F7F9D" w14:paraId="0AAEF937" w14:textId="77777777">
      <w:r>
        <w:separator/>
      </w:r>
    </w:p>
  </w:endnote>
  <w:endnote w:type="continuationSeparator" w:id="0">
    <w:p w:rsidR="002F7F9D" w:rsidRDefault="002F7F9D" w14:paraId="64BC536D"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4942DB" w:rsidRDefault="00D84DB1" w14:paraId="2A6CCBFB" w14:textId="0993930D">
    <w:pPr>
      <w:pStyle w:val="Footer"/>
      <w:jc w:val="center"/>
    </w:pPr>
    <w:r>
      <w:t xml:space="preserve">SAFE Exercise </w:t>
    </w:r>
    <w:r w:rsidR="00000000">
      <w:t xml:space="preserve">Group Worksheet: Tinsmith </w:t>
    </w:r>
    <w:proofErr w:type="gramStart"/>
    <w:r w:rsidR="00000000">
      <w:t>AI  |</w:t>
    </w:r>
    <w:proofErr w:type="gramEnd"/>
    <w:r w:rsidR="00000000">
      <w:t xml:space="preserve">  Page </w:t>
    </w:r>
    <w:r w:rsidR="00000000">
      <w:fldChar w:fldCharType="begin"/>
    </w:r>
    <w:r w:rsidR="00000000">
      <w:instrText>PAGE</w:instrText>
    </w:r>
    <w:r w:rsidR="00000000">
      <w:fldChar w:fldCharType="separate"/>
    </w:r>
    <w:r>
      <w:rPr>
        <w:noProof/>
      </w:rPr>
      <w:t>1</w:t>
    </w:r>
    <w:r w:rsidR="0000000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2F7F9D" w:rsidRDefault="002F7F9D" w14:paraId="73DEC7AD" w14:textId="77777777">
      <w:r>
        <w:separator/>
      </w:r>
    </w:p>
  </w:footnote>
  <w:footnote w:type="continuationSeparator" w:id="0">
    <w:p w:rsidR="002F7F9D" w:rsidRDefault="002F7F9D" w14:paraId="2C4A100E"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B507DF"/>
    <w:multiLevelType w:val="hybridMultilevel"/>
    <w:tmpl w:val="70084B0A"/>
    <w:lvl w:ilvl="0" w:tplc="17662300">
      <w:start w:val="1"/>
      <w:numFmt w:val="bullet"/>
      <w:lvlText w:val="●"/>
      <w:lvlJc w:val="left"/>
      <w:pPr>
        <w:ind w:left="720" w:hanging="360"/>
      </w:pPr>
    </w:lvl>
    <w:lvl w:ilvl="1" w:tplc="1BBE9B86">
      <w:start w:val="1"/>
      <w:numFmt w:val="bullet"/>
      <w:lvlText w:val="○"/>
      <w:lvlJc w:val="left"/>
      <w:pPr>
        <w:ind w:left="1440" w:hanging="360"/>
      </w:pPr>
    </w:lvl>
    <w:lvl w:ilvl="2" w:tplc="03FE6174">
      <w:start w:val="1"/>
      <w:numFmt w:val="bullet"/>
      <w:lvlText w:val="■"/>
      <w:lvlJc w:val="left"/>
      <w:pPr>
        <w:ind w:left="2160" w:hanging="360"/>
      </w:pPr>
    </w:lvl>
    <w:lvl w:ilvl="3" w:tplc="212CEC78">
      <w:start w:val="1"/>
      <w:numFmt w:val="bullet"/>
      <w:lvlText w:val="●"/>
      <w:lvlJc w:val="left"/>
      <w:pPr>
        <w:ind w:left="2880" w:hanging="360"/>
      </w:pPr>
    </w:lvl>
    <w:lvl w:ilvl="4" w:tplc="44409D2E">
      <w:start w:val="1"/>
      <w:numFmt w:val="bullet"/>
      <w:lvlText w:val="○"/>
      <w:lvlJc w:val="left"/>
      <w:pPr>
        <w:ind w:left="3600" w:hanging="360"/>
      </w:pPr>
    </w:lvl>
    <w:lvl w:ilvl="5" w:tplc="585C3F48">
      <w:start w:val="1"/>
      <w:numFmt w:val="bullet"/>
      <w:lvlText w:val="■"/>
      <w:lvlJc w:val="left"/>
      <w:pPr>
        <w:ind w:left="4320" w:hanging="360"/>
      </w:pPr>
    </w:lvl>
    <w:lvl w:ilvl="6" w:tplc="360A8C04">
      <w:start w:val="1"/>
      <w:numFmt w:val="bullet"/>
      <w:lvlText w:val="●"/>
      <w:lvlJc w:val="left"/>
      <w:pPr>
        <w:ind w:left="5040" w:hanging="360"/>
      </w:pPr>
    </w:lvl>
    <w:lvl w:ilvl="7" w:tplc="D7B027EE">
      <w:start w:val="1"/>
      <w:numFmt w:val="bullet"/>
      <w:lvlText w:val="●"/>
      <w:lvlJc w:val="left"/>
      <w:pPr>
        <w:ind w:left="5760" w:hanging="360"/>
      </w:pPr>
    </w:lvl>
    <w:lvl w:ilvl="8" w:tplc="2B76A666">
      <w:start w:val="1"/>
      <w:numFmt w:val="bullet"/>
      <w:lvlText w:val="●"/>
      <w:lvlJc w:val="left"/>
      <w:pPr>
        <w:ind w:left="6480" w:hanging="360"/>
      </w:pPr>
    </w:lvl>
  </w:abstractNum>
  <w:abstractNum w:abstractNumId="1" w15:restartNumberingAfterBreak="0">
    <w:nsid w:val="11EC33AE"/>
    <w:multiLevelType w:val="hybridMultilevel"/>
    <w:tmpl w:val="8EB2E6C0"/>
    <w:lvl w:ilvl="0" w:tplc="F5A8CDA8">
      <w:start w:val="1"/>
      <w:numFmt w:val="decimal"/>
      <w:lvlText w:val="%1."/>
      <w:lvlJc w:val="left"/>
      <w:pPr>
        <w:ind w:left="540" w:hanging="300"/>
      </w:pPr>
    </w:lvl>
    <w:lvl w:ilvl="1" w:tplc="573AE7D6">
      <w:numFmt w:val="decimal"/>
      <w:lvlText w:val=""/>
      <w:lvlJc w:val="left"/>
    </w:lvl>
    <w:lvl w:ilvl="2" w:tplc="A942DAE6">
      <w:numFmt w:val="decimal"/>
      <w:lvlText w:val=""/>
      <w:lvlJc w:val="left"/>
    </w:lvl>
    <w:lvl w:ilvl="3" w:tplc="4A063F44">
      <w:numFmt w:val="decimal"/>
      <w:lvlText w:val=""/>
      <w:lvlJc w:val="left"/>
    </w:lvl>
    <w:lvl w:ilvl="4" w:tplc="77D0D61A">
      <w:numFmt w:val="decimal"/>
      <w:lvlText w:val=""/>
      <w:lvlJc w:val="left"/>
    </w:lvl>
    <w:lvl w:ilvl="5" w:tplc="512A46EC">
      <w:numFmt w:val="decimal"/>
      <w:lvlText w:val=""/>
      <w:lvlJc w:val="left"/>
    </w:lvl>
    <w:lvl w:ilvl="6" w:tplc="176AACB8">
      <w:numFmt w:val="decimal"/>
      <w:lvlText w:val=""/>
      <w:lvlJc w:val="left"/>
    </w:lvl>
    <w:lvl w:ilvl="7" w:tplc="A5260C88">
      <w:numFmt w:val="decimal"/>
      <w:lvlText w:val=""/>
      <w:lvlJc w:val="left"/>
    </w:lvl>
    <w:lvl w:ilvl="8" w:tplc="13BEBD4C">
      <w:numFmt w:val="decimal"/>
      <w:lvlText w:val=""/>
      <w:lvlJc w:val="left"/>
    </w:lvl>
  </w:abstractNum>
  <w:abstractNum w:abstractNumId="2" w15:restartNumberingAfterBreak="0">
    <w:nsid w:val="3B5E5706"/>
    <w:multiLevelType w:val="hybridMultilevel"/>
    <w:tmpl w:val="9B64EE36"/>
    <w:lvl w:ilvl="0" w:tplc="2E20E4A0">
      <w:start w:val="1"/>
      <w:numFmt w:val="bullet"/>
      <w:lvlText w:val="•"/>
      <w:lvlJc w:val="left"/>
      <w:pPr>
        <w:ind w:left="540" w:hanging="270"/>
      </w:pPr>
    </w:lvl>
    <w:lvl w:ilvl="1" w:tplc="8E12C8D0">
      <w:start w:val="1"/>
      <w:numFmt w:val="bullet"/>
      <w:lvlText w:val="–"/>
      <w:lvlJc w:val="left"/>
      <w:pPr>
        <w:ind w:left="1000" w:hanging="270"/>
      </w:pPr>
    </w:lvl>
    <w:lvl w:ilvl="2" w:tplc="4B7A0CA8">
      <w:numFmt w:val="decimal"/>
      <w:lvlText w:val=""/>
      <w:lvlJc w:val="left"/>
    </w:lvl>
    <w:lvl w:ilvl="3" w:tplc="CC3CC4C6">
      <w:numFmt w:val="decimal"/>
      <w:lvlText w:val=""/>
      <w:lvlJc w:val="left"/>
    </w:lvl>
    <w:lvl w:ilvl="4" w:tplc="7EB45E74">
      <w:numFmt w:val="decimal"/>
      <w:lvlText w:val=""/>
      <w:lvlJc w:val="left"/>
    </w:lvl>
    <w:lvl w:ilvl="5" w:tplc="0A4C8120">
      <w:numFmt w:val="decimal"/>
      <w:lvlText w:val=""/>
      <w:lvlJc w:val="left"/>
    </w:lvl>
    <w:lvl w:ilvl="6" w:tplc="20DA8D56">
      <w:numFmt w:val="decimal"/>
      <w:lvlText w:val=""/>
      <w:lvlJc w:val="left"/>
    </w:lvl>
    <w:lvl w:ilvl="7" w:tplc="83A4AD04">
      <w:numFmt w:val="decimal"/>
      <w:lvlText w:val=""/>
      <w:lvlJc w:val="left"/>
    </w:lvl>
    <w:lvl w:ilvl="8" w:tplc="E1540714">
      <w:numFmt w:val="decimal"/>
      <w:lvlText w:val=""/>
      <w:lvlJc w:val="left"/>
    </w:lvl>
  </w:abstractNum>
  <w:abstractNum w:abstractNumId="3" w15:restartNumberingAfterBreak="0">
    <w:nsid w:val="56AA7388"/>
    <w:multiLevelType w:val="hybridMultilevel"/>
    <w:tmpl w:val="083638E6"/>
    <w:lvl w:ilvl="0" w:tplc="4E0E0566">
      <w:start w:val="1"/>
      <w:numFmt w:val="decimal"/>
      <w:lvlText w:val="%1."/>
      <w:lvlJc w:val="left"/>
      <w:pPr>
        <w:ind w:left="540" w:hanging="300"/>
      </w:pPr>
    </w:lvl>
    <w:lvl w:ilvl="1" w:tplc="5212D432">
      <w:numFmt w:val="decimal"/>
      <w:lvlText w:val=""/>
      <w:lvlJc w:val="left"/>
    </w:lvl>
    <w:lvl w:ilvl="2" w:tplc="0DBC5EEA">
      <w:numFmt w:val="decimal"/>
      <w:lvlText w:val=""/>
      <w:lvlJc w:val="left"/>
    </w:lvl>
    <w:lvl w:ilvl="3" w:tplc="C9904AA8">
      <w:numFmt w:val="decimal"/>
      <w:lvlText w:val=""/>
      <w:lvlJc w:val="left"/>
    </w:lvl>
    <w:lvl w:ilvl="4" w:tplc="77E8706A">
      <w:numFmt w:val="decimal"/>
      <w:lvlText w:val=""/>
      <w:lvlJc w:val="left"/>
    </w:lvl>
    <w:lvl w:ilvl="5" w:tplc="187E0ECC">
      <w:numFmt w:val="decimal"/>
      <w:lvlText w:val=""/>
      <w:lvlJc w:val="left"/>
    </w:lvl>
    <w:lvl w:ilvl="6" w:tplc="0FB62588">
      <w:numFmt w:val="decimal"/>
      <w:lvlText w:val=""/>
      <w:lvlJc w:val="left"/>
    </w:lvl>
    <w:lvl w:ilvl="7" w:tplc="540CCCF6">
      <w:numFmt w:val="decimal"/>
      <w:lvlText w:val=""/>
      <w:lvlJc w:val="left"/>
    </w:lvl>
    <w:lvl w:ilvl="8" w:tplc="AC5E2BB4">
      <w:numFmt w:val="decimal"/>
      <w:lvlText w:val=""/>
      <w:lvlJc w:val="left"/>
    </w:lvl>
  </w:abstractNum>
  <w:abstractNum w:abstractNumId="4" w15:restartNumberingAfterBreak="0">
    <w:nsid w:val="6B450ADD"/>
    <w:multiLevelType w:val="hybridMultilevel"/>
    <w:tmpl w:val="FB0E12B6"/>
    <w:lvl w:ilvl="0" w:tplc="23BC3A26">
      <w:start w:val="1"/>
      <w:numFmt w:val="decimal"/>
      <w:lvlText w:val="%1."/>
      <w:lvlJc w:val="left"/>
      <w:pPr>
        <w:ind w:left="540" w:hanging="300"/>
      </w:pPr>
    </w:lvl>
    <w:lvl w:ilvl="1" w:tplc="2550C200">
      <w:numFmt w:val="decimal"/>
      <w:lvlText w:val=""/>
      <w:lvlJc w:val="left"/>
    </w:lvl>
    <w:lvl w:ilvl="2" w:tplc="27E83600">
      <w:numFmt w:val="decimal"/>
      <w:lvlText w:val=""/>
      <w:lvlJc w:val="left"/>
    </w:lvl>
    <w:lvl w:ilvl="3" w:tplc="288C10E4">
      <w:numFmt w:val="decimal"/>
      <w:lvlText w:val=""/>
      <w:lvlJc w:val="left"/>
    </w:lvl>
    <w:lvl w:ilvl="4" w:tplc="38B60CA4">
      <w:numFmt w:val="decimal"/>
      <w:lvlText w:val=""/>
      <w:lvlJc w:val="left"/>
    </w:lvl>
    <w:lvl w:ilvl="5" w:tplc="5F62CC8C">
      <w:numFmt w:val="decimal"/>
      <w:lvlText w:val=""/>
      <w:lvlJc w:val="left"/>
    </w:lvl>
    <w:lvl w:ilvl="6" w:tplc="B98A5888">
      <w:numFmt w:val="decimal"/>
      <w:lvlText w:val=""/>
      <w:lvlJc w:val="left"/>
    </w:lvl>
    <w:lvl w:ilvl="7" w:tplc="F3B2742E">
      <w:numFmt w:val="decimal"/>
      <w:lvlText w:val=""/>
      <w:lvlJc w:val="left"/>
    </w:lvl>
    <w:lvl w:ilvl="8" w:tplc="6714EB48">
      <w:numFmt w:val="decimal"/>
      <w:lvlText w:val=""/>
      <w:lvlJc w:val="left"/>
    </w:lvl>
  </w:abstractNum>
  <w:abstractNum w:abstractNumId="5" w15:restartNumberingAfterBreak="0">
    <w:nsid w:val="733B71D4"/>
    <w:multiLevelType w:val="hybridMultilevel"/>
    <w:tmpl w:val="2F5657AA"/>
    <w:lvl w:ilvl="0" w:tplc="7F4E5924">
      <w:start w:val="1"/>
      <w:numFmt w:val="decimal"/>
      <w:lvlText w:val="%1."/>
      <w:lvlJc w:val="left"/>
      <w:pPr>
        <w:ind w:left="540" w:hanging="300"/>
      </w:pPr>
    </w:lvl>
    <w:lvl w:ilvl="1" w:tplc="43AA5D96">
      <w:numFmt w:val="decimal"/>
      <w:lvlText w:val=""/>
      <w:lvlJc w:val="left"/>
    </w:lvl>
    <w:lvl w:ilvl="2" w:tplc="DD62BC28">
      <w:numFmt w:val="decimal"/>
      <w:lvlText w:val=""/>
      <w:lvlJc w:val="left"/>
    </w:lvl>
    <w:lvl w:ilvl="3" w:tplc="0090E656">
      <w:numFmt w:val="decimal"/>
      <w:lvlText w:val=""/>
      <w:lvlJc w:val="left"/>
    </w:lvl>
    <w:lvl w:ilvl="4" w:tplc="324E2F7A">
      <w:numFmt w:val="decimal"/>
      <w:lvlText w:val=""/>
      <w:lvlJc w:val="left"/>
    </w:lvl>
    <w:lvl w:ilvl="5" w:tplc="B35084A8">
      <w:numFmt w:val="decimal"/>
      <w:lvlText w:val=""/>
      <w:lvlJc w:val="left"/>
    </w:lvl>
    <w:lvl w:ilvl="6" w:tplc="8C66BED2">
      <w:numFmt w:val="decimal"/>
      <w:lvlText w:val=""/>
      <w:lvlJc w:val="left"/>
    </w:lvl>
    <w:lvl w:ilvl="7" w:tplc="208AB6B0">
      <w:numFmt w:val="decimal"/>
      <w:lvlText w:val=""/>
      <w:lvlJc w:val="left"/>
    </w:lvl>
    <w:lvl w:ilvl="8" w:tplc="0C3CD504">
      <w:numFmt w:val="decimal"/>
      <w:lvlText w:val=""/>
      <w:lvlJc w:val="left"/>
    </w:lvl>
  </w:abstractNum>
  <w:abstractNum w:abstractNumId="6" w15:restartNumberingAfterBreak="0">
    <w:nsid w:val="73420EAD"/>
    <w:multiLevelType w:val="hybridMultilevel"/>
    <w:tmpl w:val="713A223A"/>
    <w:lvl w:ilvl="0" w:tplc="53F42CE0">
      <w:start w:val="1"/>
      <w:numFmt w:val="decimal"/>
      <w:lvlText w:val="%1."/>
      <w:lvlJc w:val="left"/>
      <w:pPr>
        <w:ind w:left="540" w:hanging="300"/>
      </w:pPr>
    </w:lvl>
    <w:lvl w:ilvl="1" w:tplc="E2266414">
      <w:numFmt w:val="decimal"/>
      <w:lvlText w:val=""/>
      <w:lvlJc w:val="left"/>
    </w:lvl>
    <w:lvl w:ilvl="2" w:tplc="A7CE0882">
      <w:numFmt w:val="decimal"/>
      <w:lvlText w:val=""/>
      <w:lvlJc w:val="left"/>
    </w:lvl>
    <w:lvl w:ilvl="3" w:tplc="BFE0A53A">
      <w:numFmt w:val="decimal"/>
      <w:lvlText w:val=""/>
      <w:lvlJc w:val="left"/>
    </w:lvl>
    <w:lvl w:ilvl="4" w:tplc="4E5C7B2A">
      <w:numFmt w:val="decimal"/>
      <w:lvlText w:val=""/>
      <w:lvlJc w:val="left"/>
    </w:lvl>
    <w:lvl w:ilvl="5" w:tplc="9C701AE0">
      <w:numFmt w:val="decimal"/>
      <w:lvlText w:val=""/>
      <w:lvlJc w:val="left"/>
    </w:lvl>
    <w:lvl w:ilvl="6" w:tplc="80386A5A">
      <w:numFmt w:val="decimal"/>
      <w:lvlText w:val=""/>
      <w:lvlJc w:val="left"/>
    </w:lvl>
    <w:lvl w:ilvl="7" w:tplc="7BF61B38">
      <w:numFmt w:val="decimal"/>
      <w:lvlText w:val=""/>
      <w:lvlJc w:val="left"/>
    </w:lvl>
    <w:lvl w:ilvl="8" w:tplc="7E8A06CA">
      <w:numFmt w:val="decimal"/>
      <w:lvlText w:val=""/>
      <w:lvlJc w:val="left"/>
    </w:lvl>
  </w:abstractNum>
  <w:abstractNum w:abstractNumId="7" w15:restartNumberingAfterBreak="0">
    <w:nsid w:val="795057A7"/>
    <w:multiLevelType w:val="hybridMultilevel"/>
    <w:tmpl w:val="CB7CD2FC"/>
    <w:lvl w:ilvl="0" w:tplc="A906E166">
      <w:start w:val="1"/>
      <w:numFmt w:val="decimal"/>
      <w:lvlText w:val="%1."/>
      <w:lvlJc w:val="left"/>
      <w:pPr>
        <w:ind w:left="540" w:hanging="300"/>
      </w:pPr>
    </w:lvl>
    <w:lvl w:ilvl="1" w:tplc="AA448FA2">
      <w:numFmt w:val="decimal"/>
      <w:lvlText w:val=""/>
      <w:lvlJc w:val="left"/>
    </w:lvl>
    <w:lvl w:ilvl="2" w:tplc="D932F81C">
      <w:numFmt w:val="decimal"/>
      <w:lvlText w:val=""/>
      <w:lvlJc w:val="left"/>
    </w:lvl>
    <w:lvl w:ilvl="3" w:tplc="FBE2D5CA">
      <w:numFmt w:val="decimal"/>
      <w:lvlText w:val=""/>
      <w:lvlJc w:val="left"/>
    </w:lvl>
    <w:lvl w:ilvl="4" w:tplc="5896CCBE">
      <w:numFmt w:val="decimal"/>
      <w:lvlText w:val=""/>
      <w:lvlJc w:val="left"/>
    </w:lvl>
    <w:lvl w:ilvl="5" w:tplc="33CA2ED4">
      <w:numFmt w:val="decimal"/>
      <w:lvlText w:val=""/>
      <w:lvlJc w:val="left"/>
    </w:lvl>
    <w:lvl w:ilvl="6" w:tplc="DDB03440">
      <w:numFmt w:val="decimal"/>
      <w:lvlText w:val=""/>
      <w:lvlJc w:val="left"/>
    </w:lvl>
    <w:lvl w:ilvl="7" w:tplc="EC3C7E66">
      <w:numFmt w:val="decimal"/>
      <w:lvlText w:val=""/>
      <w:lvlJc w:val="left"/>
    </w:lvl>
    <w:lvl w:ilvl="8" w:tplc="980C7196">
      <w:numFmt w:val="decimal"/>
      <w:lvlText w:val=""/>
      <w:lvlJc w:val="left"/>
    </w:lvl>
  </w:abstractNum>
  <w:num w:numId="1" w16cid:durableId="100212543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42DB"/>
    <w:rsid w:val="002F7F9D"/>
    <w:rsid w:val="004942DB"/>
    <w:rsid w:val="004E137F"/>
    <w:rsid w:val="00AF2ABB"/>
    <w:rsid w:val="00D84D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CEF7EBF"/>
  <w15:docId w15:val="{67506BF0-C377-8D46-9D64-5E2DEB753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hAnsi="Calibri" w:eastAsia="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240" w:after="120"/>
      <w:outlineLvl w:val="0"/>
    </w:pPr>
    <w:rPr>
      <w:b/>
      <w:bCs/>
      <w:color w:val="000000"/>
      <w:sz w:val="30"/>
      <w:szCs w:val="30"/>
    </w:rPr>
  </w:style>
  <w:style w:type="paragraph" w:styleId="Heading2">
    <w:name w:val="heading 2"/>
    <w:uiPriority w:val="9"/>
    <w:unhideWhenUsed/>
    <w:qFormat/>
    <w:pPr>
      <w:spacing w:before="200" w:after="80"/>
      <w:outlineLvl w:val="1"/>
    </w:pPr>
    <w:rPr>
      <w:b/>
      <w:bCs/>
      <w:color w:val="000000"/>
      <w:sz w:val="24"/>
      <w:szCs w:val="24"/>
    </w:rPr>
  </w:style>
  <w:style w:type="paragraph" w:styleId="Heading3">
    <w:name w:val="heading 3"/>
    <w:uiPriority w:val="9"/>
    <w:unhideWhenUsed/>
    <w:qFormat/>
    <w:pPr>
      <w:spacing w:before="140" w:after="60"/>
      <w:outlineLvl w:val="2"/>
    </w:pPr>
    <w:rPr>
      <w:b/>
      <w:bCs/>
      <w:color w:val="000000"/>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Footer">
    <w:name w:val="footer"/>
    <w:rPr>
      <w:color w:val="595959"/>
      <w:sz w:val="16"/>
      <w:szCs w:val="16"/>
    </w:rPr>
  </w:style>
  <w:style w:type="paragraph" w:styleId="Header">
    <w:name w:val="header"/>
    <w:basedOn w:val="Normal"/>
    <w:link w:val="HeaderChar"/>
    <w:uiPriority w:val="99"/>
    <w:unhideWhenUsed/>
    <w:rsid w:val="00D84DB1"/>
    <w:pPr>
      <w:tabs>
        <w:tab w:val="center" w:pos="4680"/>
        <w:tab w:val="right" w:pos="9360"/>
      </w:tabs>
    </w:pPr>
  </w:style>
  <w:style w:type="character" w:styleId="HeaderChar" w:customStyle="1">
    <w:name w:val="Header Char"/>
    <w:basedOn w:val="DefaultParagraphFont"/>
    <w:link w:val="Header"/>
    <w:uiPriority w:val="99"/>
    <w:rsid w:val="00D84D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vt="http://schemas.openxmlformats.org/officeDocument/2006/docPropsVTypes" xmlns:ap="http://schemas.openxmlformats.org/officeDocument/2006/extended-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1900-01-01T08:00:00.0000000Z</dcterms:created>
  <dcterms:modified xsi:type="dcterms:W3CDTF">1900-01-01T08:00:00.0000000Z</dcterms:modified>
</coreProperties>
</file>