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942DB" w:rsidRDefault="00000000" w14:paraId="40CFB5CC" w14:textId="77777777">
      <w:pPr>
        <w:spacing w:after="40"/>
      </w:pPr>
      <w:r>
        <w:rPr>
          <w:color w:val="595959"/>
          <w:sz w:val="20"/>
          <w:szCs w:val="20"/>
        </w:rPr>
        <w:t xml:space="preserve">Startups &amp; VC Bootcamp  |  Day 2: Early-Stage Investments</w:t>
      </w:r>
    </w:p>
    <w:p w:rsidR="004942DB" w:rsidRDefault="00AF2ABB" w14:paraId="7B7E369C" w14:textId="6E7901C7">
      <w:pPr>
        <w:spacing w:after="60"/>
      </w:pPr>
      <w:r>
        <w:rPr>
          <w:b/>
          <w:bCs/>
          <w:sz w:val="36"/>
          <w:szCs w:val="36"/>
        </w:rPr>
        <w:t xml:space="preserve">SAFE Exercise Group Worksheet: Tinsmith AI Pre-Seed Round</w:t>
      </w:r>
    </w:p>
    <w:p w:rsidR="004942DB" w:rsidRDefault="00000000" w14:paraId="34020744" w14:textId="77777777">
      <w:pPr>
        <w:spacing w:after="80"/>
      </w:pPr>
      <w:r>
        <w:rPr>
          <w:color w:val="404040"/>
          <w:sz w:val="19"/>
          <w:szCs w:val="19"/>
        </w:rPr>
        <w:t>Work on one laptop. Type in the boxes (they expand as you type) and add rows if you need them. Before the client meeting starts, one person uploads this file to Canvas.</w:t>
      </w:r>
    </w:p>
    <w:p w:rsidR="004942DB" w:rsidRDefault="00000000" w14:paraId="4CDD9AA3" w14:textId="77777777">
      <w:pPr>
        <w:pStyle w:val="Heading3"/>
        <w:keepNext/>
      </w:pPr>
      <w:r>
        <w:t>Group members</w:t>
      </w:r>
    </w:p>
    <w:tbl>
      <w:tblPr>
        <w:tblW w:w="9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20"/>
      </w:tblGrid>
      <w:tr w:rsidR="004942DB" w14:paraId="5B9FB693" w14:textId="77777777">
        <w:tblPrEx>
          <w:tblCellMar>
            <w:top w:w="0" w:type="dxa"/>
            <w:bottom w:w="0" w:type="dxa"/>
          </w:tblCellMar>
        </w:tblPrEx>
        <w:trPr>
          <w:tblHeader/>
        </w:trPr>
        <w:tc>
          <w:tcPr>
            <w:tcW w:w="972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6C823E5F" w14:textId="77777777">
            <w:r>
              <w:rPr>
                <w:b/>
                <w:bCs/>
                <w:sz w:val="20"/>
                <w:szCs w:val="20"/>
              </w:rPr>
              <w:t>Names</w:t>
            </w:r>
          </w:p>
        </w:tc>
      </w:tr>
      <w:tr w:rsidR="004942DB" w14:paraId="4A026724" w14:textId="77777777">
        <w:tblPrEx>
          <w:tblCellMar>
            <w:top w:w="0" w:type="dxa"/>
            <w:bottom w:w="0" w:type="dxa"/>
          </w:tblCellMar>
        </w:tblPrEx>
        <w:trPr>
          <w:trHeight w:val="500"/>
        </w:trPr>
        <w:tc>
          <w:tcPr>
            <w:tcW w:w="97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[Group member names]</w:t>
            </w:r>
          </w:p>
        </w:tc>
      </w:tr>
    </w:tbl>
    <w:p w:rsidR="004942DB" w:rsidRDefault="004942DB" w14:paraId="593BAA37" w14:textId="77777777">
      <w:pPr>
        <w:spacing w:after="60"/>
      </w:pPr>
    </w:p>
    <w:p w:rsidR="004942DB" w:rsidRDefault="00000000" w14:paraId="60FDED86" w14:textId="77777777">
      <w:pPr>
        <w:pStyle w:val="Heading2"/>
        <w:keepNext/>
      </w:pPr>
      <w:r>
        <w:t>Part 1: Issues list</w:t>
      </w:r>
    </w:p>
    <w:p w:rsidR="004942DB" w:rsidRDefault="00000000" w14:paraId="088E1CF4" w14:textId="77777777">
      <w:pPr>
        <w:spacing w:after="80"/>
      </w:pPr>
      <w:r>
        <w:rPr>
          <w:color w:val="404040"/>
          <w:sz w:val="19"/>
          <w:szCs w:val="19"/>
        </w:rPr>
        <w:t>Every issue you would raise with Alex, one per row, in any order. Put a * in the last column next to the one issue you think other groups are most likely to miss.</w:t>
      </w:r>
    </w:p>
    <w:tbl>
      <w:tblPr>
        <w:tblW w:w="9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5420"/>
        <w:gridCol w:w="2900"/>
        <w:gridCol w:w="900"/>
      </w:tblGrid>
      <w:tr w:rsidR="004942DB" w14:paraId="5A035660" w14:textId="77777777">
        <w:tblPrEx>
          <w:tblCellMar>
            <w:top w:w="0" w:type="dxa"/>
            <w:bottom w:w="0" w:type="dxa"/>
          </w:tblCellMar>
        </w:tblPrEx>
        <w:trPr>
          <w:tblHeader/>
        </w:trPr>
        <w:tc>
          <w:tcPr>
            <w:tcW w:w="5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4EF96600" w14:textId="77777777">
            <w:r>
              <w:rPr>
                <w:b/>
                <w:bCs/>
                <w:sz w:val="20"/>
                <w:szCs w:val="20"/>
              </w:rPr>
              <w:t>#</w:t>
            </w:r>
          </w:p>
        </w:tc>
        <w:tc>
          <w:tcPr>
            <w:tcW w:w="542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50CAF207" w14:textId="77777777">
            <w:r>
              <w:rPr>
                <w:b/>
                <w:bCs/>
                <w:sz w:val="20"/>
                <w:szCs w:val="20"/>
              </w:rPr>
              <w:t>Issue</w:t>
            </w:r>
          </w:p>
        </w:tc>
        <w:tc>
          <w:tcPr>
            <w:tcW w:w="29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14B3E331" w14:textId="77777777">
            <w:r>
              <w:rPr>
                <w:b/>
                <w:bCs/>
                <w:sz w:val="20"/>
                <w:szCs w:val="20"/>
              </w:rPr>
              <w:t>Where (document and section)</w:t>
            </w:r>
          </w:p>
        </w:tc>
        <w:tc>
          <w:tcPr>
            <w:tcW w:w="9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541F90D0" w14:textId="77777777">
            <w:r>
              <w:rPr>
                <w:b/>
                <w:bCs/>
                <w:sz w:val="20"/>
                <w:szCs w:val="20"/>
              </w:rPr>
              <w:t>Star (*)</w:t>
            </w:r>
          </w:p>
        </w:tc>
      </w:tr>
      <w:tr w:rsidR="004942DB" w14:paraId="055D0F26"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The SAFE is not the standard YC SAFE.</w:t>
            </w:r>
            <w:r>
              <w:rPr>
                <w:sz w:val="20"/>
                <w:szCs w:val="20"/>
              </w:rPr>
              <w:t xml:space="preserve"> Dana's email calls it "plain vanilla," and the SAFE itself says neither party has modified the YC form. That statement is false (see rows 2-5), so Alex cannot skip the SAFE. The false "unmodified" statement also gives us leverage: we are asking Northvane to make the document match what it says it is.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SAFE, preamble (2nd paragraph); Dana's email</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45D59C2A"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2</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2x Cash-Out Amount.</w:t>
            </w:r>
            <w:r>
              <w:rPr>
                <w:sz w:val="20"/>
                <w:szCs w:val="20"/>
              </w:rPr>
              <w:t xml:space="preserve"> The YC form pays 1x. Here Northvane takes $3M (2x its $1.5M) before common in any sale, IPO or wind-down, so it converts only above a ~$50M exit (YC form: $25M). In a $10M sale, money paid to SAFE holders before common goes from ~$2.9M to ~$4.4M, and common drops from ~$7.1M to ~$5.6M. That costs Alex ~$800K and Priya ~$600K. It also conflicts with §1(d), which says the SAFE works like "standard non-participating Preferred Stock." And because it ranks equally with the other SAFEs, it shrinks what Bramblewood, the angels and the 2025 SAFE holders get in a fire sale.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SAFE §1(b) (Liquidity Event), §1(c) (Dissolution Event), §1(d)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13E3679F"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3</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A one-word change: at the cap, Northvane converts into Standard Preferred Stock instead of Safe Preferred Stock.</w:t>
            </w:r>
            <w:r>
              <w:rPr>
                <w:sz w:val="20"/>
                <w:szCs w:val="20"/>
              </w:rPr>
              <w:t xml:space="preserve"> Standard Preferred's per-share liquidation preference, conversion price and dividend are set at the Series A price, not the lower Safe Price. If the Series A is priced at 2x the Safe Price (roughly a $50M post-money), Northvane's $1.5M gets a ~$3M preference. At 3x it gets ~$4.5M. The better the Series A goes, the bigger Northvane's hidden preference.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SAFE §1(a), clause (2); compare definition of "Safe Preferred Stock" (§2)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w:t>
            </w:r>
          </w:p>
        </w:tc>
      </w:tr>
      <w:tr w:rsidR="004942DB" w14:paraId="5DB48A0C"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4</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$5M minimum for an "Equity Financing."</w:t>
            </w:r>
            <w:r>
              <w:rPr>
                <w:sz w:val="20"/>
                <w:szCs w:val="20"/>
              </w:rPr>
              <w:t xml:space="preserve"> The YC form has no minimum. If the next priced round is a $3-4M seed, Bramblewood's, the angels' and the 2025 SAFEs convert but Northvane's does not. Its 2x preference, MFN and pre-financing vetoes (§8, §9(d)) stay alive, which lets Northvane hold up the round. The side letter's pro rata, Major Investor and conversion rights all use this definition.</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SAFE §2, definition of "Equity Financing"; Side letter §§1, 3, 8</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116C3967"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5</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The YC carve-out letting the Company assign the SAFE when it reincorporates has been deleted.</w:t>
            </w:r>
            <w:r>
              <w:rPr>
                <w:sz w:val="20"/>
                <w:szCs w:val="20"/>
              </w:rPr>
              <w:t xml:space="preserve"> Minor, but it is another undisclosed change from the form.</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SAFE §5(d)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7A0A8E84"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6</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Northvane controls amendments to the whole $25M-cap SAFE group.</w:t>
            </w:r>
            <w:r>
              <w:rPr>
                <w:sz w:val="20"/>
                <w:szCs w:val="20"/>
              </w:rPr>
              <w:t xml:space="preserve"> It holds $1.5M of $2.5M (60%), so under the SAFE's majority-in-interest clause Northvane plus the Company can amend Bramblewood's and the angels' SAFEs. Side letter §20(b) also gives Northvane a veto over amendments to any other SAFE, overriding those SAFEs' own terms.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SAFE §5(a); Side letter §20(b)</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57782B54"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7</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Founder re-vesting and double trigger.</w:t>
            </w:r>
            <w:r>
              <w:rPr>
                <w:sz w:val="20"/>
                <w:szCs w:val="20"/>
              </w:rPr>
              <w:t xml:space="preserve"> All of each founder's ~52%-vested shares become unvested again and re-vest monthly over four years starting October 2026. Alex (~2.34M vested shares) and Priya (~1.82M) put those shares back at risk of repurchase. Full vesting moves from Sept. 2028 to Oct. 2030. Single-trigger acceleration is replaced with double trigger. The founders must sign the amendment within 30 days. This answers Priya's question.</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§9(b); founder signature block ("solely for purposes of Section 6(b) and Section 9(b)")</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3DF64D59"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8</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Who we represent / founders sign personally.</w:t>
            </w:r>
            <w:r>
              <w:rPr>
                <w:sz w:val="20"/>
                <w:szCs w:val="20"/>
              </w:rPr>
              <w:t xml:space="preserve"> We represent the Company, not Alex and Priya. §6(b) (voting for a Northvane board designee) and §9(b) (re-vesting) bind them as individuals, so they should get independent advice or a conflict waiver. Re-vesting also raises an 83(b) question. Consider a protective 83(b) election within 30 days of the amendment.</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§6(b), §9(b), signature page</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59FAEB26"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9</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Vetoes before the Series A.</w:t>
            </w:r>
            <w:r>
              <w:rPr>
                <w:sz w:val="20"/>
                <w:szCs w:val="20"/>
              </w:rPr>
              <w:t xml:space="preserve"> Without Northvane's consent the Company cannot create a new class of stock (so no priced preferred round under $5M), increase authorized shares, or sell material assets "whether by merger" (a veto over any M&amp;A). It also cannot amend the equity plan or any award, which blocks increasing the option pool. Northvane gets these vetoes as a SAFE holder that owns no stock. Bramblewood asked for none of them.</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§8, §9(d)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76DE0952"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10</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Limits on employee equity and IP agreements.</w:t>
            </w:r>
            <w:r>
              <w:rPr>
                <w:sz w:val="20"/>
                <w:szCs w:val="20"/>
              </w:rPr>
              <w:t xml:space="preserve"> Every grant must have 4-year vesting with a 1-year cliff and a company ROFR. That leaves no flexibility for advisors (usually 2 years), hires who negotiate acceleration, or consultants. The rep that every founder, employee and consultant has signed an IP assignment "in a form acceptable to Investor" may be untrue today and needs diligence.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§9(a), §9(c)</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25230C27"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11</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Pro rata rights that never expire and cover everything.</w:t>
            </w:r>
            <w:r>
              <w:rPr>
                <w:sz w:val="20"/>
                <w:szCs w:val="20"/>
              </w:rPr>
              <w:t xml:space="preserve"> They cover every future financing, including bridge SAFEs and notes, at the lowest price. The 20-day exercise period slows any closing when we have 4 months of runway. Term-sheet notice tips Northvane off to competing offers. The rights survive the Series A unless Northvane alone can waive the replacement right. The exclusion covers only securities outstanding at signing, which arguably gives Northvane a pro rata right in Bramblewood's and the angels' concurrent SAFEs.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§1(a)-(e) (esp. §1(d) "New Securities" exclusion (ii), §1(e) survival)</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06E64A0B"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12</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Broad MFN.</w:t>
            </w:r>
            <w:r>
              <w:rPr>
                <w:sz w:val="20"/>
                <w:szCs w:val="20"/>
              </w:rPr>
              <w:t xml:space="preserve"> It covers any later convertible security (arguably including convertible preferred stock) and any side letter. Northvane can pick whichever terms are "preferable or additional," for example adding a bridge discount on top of its cap. The MFN lasts until conversion, and with the $5M floor that may be a long time.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§2(a)-(c)</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00C944BE"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13</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Major Investor status regardless of thresholds, plus rights equal to the best granted to any Series A investor.</w:t>
            </w:r>
            <w:r>
              <w:rPr>
                <w:sz w:val="20"/>
                <w:szCs w:val="20"/>
              </w:rPr>
              <w:t xml:space="preserve"> This is an MFN built into the Series A, and the Series A lead will push back.</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§3, §3(a)</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14:paraId="2A4D4C47" w14:textId="77777777">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14</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Board observer and board seat.</w:t>
            </w:r>
            <w:r>
              <w:rPr>
                <w:sz w:val="20"/>
                <w:szCs w:val="20"/>
              </w:rPr>
              <w:t xml:space="preserve"> The observer right lasts as long as Northvane holds anything, and the exclusions are narrow (nothing for competitively sensitive information or conflicts). Combined with §15 (Northvane is free to fund competitors) and §7(b) (Northvane can never be treated as a "Competitor"), that is a real confidentiality risk in Dana's own sector. §6(b) also locks in a Northvane director (1 of 3 on today's two-founder board) in the Series A before a lead is even at the table.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§6(a)-(c), §7(b), §15</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15</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Information rights are heavy for a five-person company.</w:t>
            </w:r>
            <w:r>
              <w:rPr>
                <w:sz w:val="20"/>
                <w:szCs w:val="20"/>
              </w:rPr>
              <w:t xml:space="preserve"> They include monthly budgets, cohort data, customer pitch decks, cap-table platform access, and drafts of any M&amp;A documents "reasonably in advance," which together with the §8(iv) veto gives Northvane leverage in a sale. They also overlap with §5(b)-(c). The basic annual and quarterly financials and cap table (§4(a)-(c), (g)) are fine.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§4(d)-(i), §5(b)-(c)</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16</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The side letter overrides everything and lasts indefinitely.</w:t>
            </w:r>
            <w:r>
              <w:rPr>
                <w:sz w:val="20"/>
                <w:szCs w:val="20"/>
              </w:rPr>
              <w:t xml:space="preserve"> It claims to override the charter, the bylaws and future Series A documents, and it is never superseded. A contract cannot override a Delaware charter, and Series A investors will insist this be cleaned up. It survives until Northvane holds nothing (the YC pro rata letter ends at the Equity Financing). Northvane can assign it freely without consent, unlike the SAFE.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§19, §20(a)-(c), §20(h)</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17</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Disclosure to the other investors.</w:t>
            </w:r>
            <w:r>
              <w:rPr>
                <w:sz w:val="20"/>
                <w:szCs w:val="20"/>
              </w:rPr>
              <w:t xml:space="preserve"> Bramblewood, the angels and the 2025 SAFE holders are being sold SAFEs that rank equally with a 2x preference they don't know about. §18(b) bars the Company from disclosing the side letter, which creates anti-fraud (Rule 10b-5) risk on the concurrent sales. The §14(b) cap-table rep also requires disclosure of Bramblewood's side letter and any promised options.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§18(b), §14(b); SAFE §1(d)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18</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Company reps and approvals.</w:t>
            </w:r>
            <w:r>
              <w:rPr>
                <w:sz w:val="20"/>
                <w:szCs w:val="20"/>
              </w:rPr>
              <w:t xml:space="preserve"> The §11 permits rep is unqualified, covers "prospects," and is also an ongoing covenant. That matters for an AI agent that records calls and quotes jobs (call-recording consent and TCPA rules). §14(a) states that all board and stockholder action has been taken, so we need board consents before Monday.</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§11, §14(a)</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19</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"Customary" anti-dilution is undefined.</w:t>
            </w:r>
            <w:r>
              <w:rPr>
                <w:sz w:val="20"/>
                <w:szCs w:val="20"/>
              </w:rPr>
              <w:t xml:space="preserve"> Specify broad-based weighted average and confirm it applies only through the Series A documents.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§7(a)</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20</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Costs and publicity.</w:t>
            </w:r>
            <w:r>
              <w:rPr>
                <w:sz w:val="20"/>
                <w:szCs w:val="20"/>
              </w:rPr>
              <w:t xml:space="preserve"> Tinsmith pays up to $10K, plus $5K at conversion, for Northvane's counsel, who drafted these papers. Northvane can announce at its LP meeting, but the Company cannot mention Northvane without written approval. Make the publicity terms mutual.</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§17, §18(b)</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21</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Put Option at $1: looks alarming, but it is harmless.</w:t>
            </w:r>
            <w:r>
              <w:rPr>
                <w:sz w:val="20"/>
                <w:szCs w:val="20"/>
              </w:rPr>
              <w:t xml:space="preserve"> Northvane can hand its SAFE or shares back to the Company for $1 total. That costs the Company nothing and returns the equity to the cap table (see Give).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Side letter §12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r w:rsidR="004942DB">
        <w:tblPrEx>
          <w:tblCellMar>
            <w:top w:w="0" w:type="dxa"/>
            <w:bottom w:w="0" w:type="dxa"/>
          </w:tblCellMar>
        </w:tblPrEx>
        <w:trPr>
          <w:trHeight w:val="380"/>
        </w:trPr>
        <w:tc>
          <w:tcPr>
            <w:tcW w:w="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22</w:t>
            </w:r>
          </w:p>
        </w:tc>
        <w:tc>
          <w:tcPr>
            <w:tcW w:w="54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Timing and leverage.</w:t>
            </w:r>
            <w:r>
              <w:rPr>
                <w:sz w:val="20"/>
                <w:szCs w:val="20"/>
              </w:rPr>
              <w:t xml:space="preserve"> Monday works for Dana's LP meeting, not for Tinsmith. A short markup cycle won't sink the deal with four months of runway. Bramblewood offered the same $25M cap on clean YC paper, so Dana matched that offer to lead, which gives us room to push.</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Email 1 and Email 2; Background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tc>
      </w:tr>
    </w:tbl>
    <w:p w:rsidR="004942DB" w:rsidRDefault="004942DB" w14:paraId="72741788" w14:textId="77777777">
      <w:pPr>
        <w:spacing w:after="60"/>
      </w:pPr>
    </w:p>
    <w:p w:rsidR="004942DB" w:rsidRDefault="00000000" w14:paraId="6AB7B124" w14:textId="77777777">
      <w:pPr>
        <w:pStyle w:val="Heading2"/>
        <w:keepNext/>
      </w:pPr>
      <w:r>
        <w:lastRenderedPageBreak/>
        <w:t>Part 2: The call to Dana</w:t>
      </w:r>
    </w:p>
    <w:p w:rsidR="004942DB" w:rsidRDefault="00000000" w14:paraId="2413B222" w14:textId="77777777">
      <w:pPr>
        <w:pStyle w:val="Heading3"/>
        <w:keepNext/>
      </w:pPr>
      <w:r>
        <w:t>Fight: the three terms Alex should push back on hardest, in order</w:t>
      </w:r>
    </w:p>
    <w:tbl>
      <w:tblPr>
        <w:tblW w:w="9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300"/>
        <w:gridCol w:w="3600"/>
        <w:gridCol w:w="3120"/>
      </w:tblGrid>
      <w:tr w:rsidR="004942DB" w14:paraId="1EA85BDA" w14:textId="77777777">
        <w:tblPrEx>
          <w:tblCellMar>
            <w:top w:w="0" w:type="dxa"/>
            <w:bottom w:w="0" w:type="dxa"/>
          </w:tblCellMar>
        </w:tblPrEx>
        <w:trPr>
          <w:tblHeader/>
        </w:trPr>
        <w:tc>
          <w:tcPr>
            <w:tcW w:w="7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22A58617" w14:textId="77777777">
            <w:r>
              <w:rPr>
                <w:b/>
                <w:bCs/>
                <w:sz w:val="20"/>
                <w:szCs w:val="20"/>
              </w:rPr>
              <w:t>Rank</w:t>
            </w:r>
          </w:p>
        </w:tc>
        <w:tc>
          <w:tcPr>
            <w:tcW w:w="23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4315DBA0" w14:textId="77777777">
            <w:r>
              <w:rPr>
                <w:b/>
                <w:bCs/>
                <w:sz w:val="20"/>
                <w:szCs w:val="20"/>
              </w:rPr>
              <w:t>Term and where</w:t>
            </w:r>
          </w:p>
        </w:tc>
        <w:tc>
          <w:tcPr>
            <w:tcW w:w="36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3897569A" w14:textId="77777777">
            <w:r>
              <w:rPr>
                <w:b/>
                <w:bCs/>
                <w:sz w:val="20"/>
                <w:szCs w:val="20"/>
              </w:rPr>
              <w:t>What it does and what it means for Alex (numbers where you can)</w:t>
            </w:r>
          </w:p>
        </w:tc>
        <w:tc>
          <w:tcPr>
            <w:tcW w:w="312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20E224BE" w14:textId="77777777">
            <w:r>
              <w:rPr>
                <w:b/>
                <w:bCs/>
                <w:sz w:val="20"/>
                <w:szCs w:val="20"/>
              </w:rPr>
              <w:t>What we would propose instead</w:t>
            </w:r>
          </w:p>
        </w:tc>
      </w:tr>
      <w:tr w:rsidR="004942DB" w14:paraId="5F4DF039" w14:textId="77777777">
        <w:tblPrEx>
          <w:tblCellMar>
            <w:top w:w="0" w:type="dxa"/>
            <w:bottom w:w="0" w:type="dxa"/>
          </w:tblCellMar>
        </w:tblPrEx>
        <w:trPr>
          <w:trHeight w:val="1100"/>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Make the SAFE the actual YC SAFE:</w:t>
            </w:r>
            <w:r>
              <w:rPr>
                <w:sz w:val="20"/>
                <w:szCs w:val="20"/>
              </w:rPr>
              <w:t xml:space="preserve"> 2x Cash-Out (§1(b)-(c)), Standard Preferred instead of Safe Preferred on conversion (§1(a)(2)) and the $5M Equity Financing floor (§2). Northvane SAFE.</w:t>
            </w:r>
          </w:p>
        </w:tc>
        <w:tc>
          <w:tcPr>
            <w:tcW w:w="3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b/>
                <w:bCs/>
                <w:sz w:val="20"/>
                <w:szCs w:val="20"/>
              </w:rPr>
              <w:t xml:space="preserve">Does:</w:t>
            </w:r>
            <w:r>
              <w:rPr>
                <w:sz w:val="20"/>
                <w:szCs w:val="20"/>
              </w:rPr>
              <w:t xml:space="preserve"> Doubles Northvane's payout to $3M in any sale or wind-down, inflates its preference at the Series A, and lets its SAFE stay outstanding through any priced round under $5M.</w:t>
            </w:r>
          </w:p>
          <w:p w:rsidR="004942DB" w:rsidRDefault="004942DB">
            <w:r>
              <w:rPr>
                <w:b/>
                <w:bCs/>
                <w:sz w:val="20"/>
                <w:szCs w:val="20"/>
              </w:rPr>
              <w:t xml:space="preserve">For Alex:</w:t>
            </w:r>
            <w:r>
              <w:rPr>
                <w:sz w:val="20"/>
                <w:szCs w:val="20"/>
              </w:rPr>
              <w:t xml:space="preserve"> "In any sale below about $50M, Northvane gets twice its money back before you and Priya see a dollar." In a $10M sale, common gets ~$5.6M instead of ~$7.1M, about $800K less for Alex and $600K less for Priya. If the Series A is at ~$50M post-money, Northvane's $1.5M carries a ~$3M preference ahead of everyone. A $3-4M seed would convert everyone except Northvane, leaving it with its 2x, MFN and vetoes.</w:t>
            </w:r>
          </w:p>
        </w:tc>
        <w:tc>
          <w:tcPr>
            <w:tcW w:w="31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sz w:val="20"/>
                <w:szCs w:val="20"/>
              </w:rPr>
              <w:t xml:space="preserve">Use the unmodified YC post-money valuation-cap SAFE: 1x Cash-Out, Safe Preferred Stock, no minimum. That is what Dana's email and the SAFE itself say it already is, and it matches Bramblewood's and the angels' paper.</w:t>
            </w:r>
          </w:p>
          <w:p w:rsidR="004942DB" w:rsidRDefault="004942DB">
            <w:r>
              <w:rPr>
                <w:sz w:val="20"/>
                <w:szCs w:val="20"/>
              </w:rPr>
              <w:t xml:space="preserve">Present it as fixing the document to match the deal Dana described, not as a renegotiation.</w:t>
            </w:r>
          </w:p>
        </w:tc>
      </w:tr>
      <w:tr w:rsidR="004942DB" w14:paraId="5029E6BB" w14:textId="77777777">
        <w:tblPrEx>
          <w:tblCellMar>
            <w:top w:w="0" w:type="dxa"/>
            <w:bottom w:w="0" w:type="dxa"/>
          </w:tblCellMar>
        </w:tblPrEx>
        <w:trPr>
          <w:trHeight w:val="1100"/>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2</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Founder re-vesting and double trigger:</w:t>
            </w:r>
            <w:r>
              <w:rPr>
                <w:sz w:val="20"/>
                <w:szCs w:val="20"/>
              </w:rPr>
              <w:t xml:space="preserve"> Side letter §9(b) (signed by Alex and Priya personally).</w:t>
            </w:r>
          </w:p>
        </w:tc>
        <w:tc>
          <w:tcPr>
            <w:tcW w:w="3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b/>
                <w:bCs/>
                <w:sz w:val="20"/>
                <w:szCs w:val="20"/>
              </w:rPr>
              <w:t xml:space="preserve">Does:</w:t>
            </w:r>
            <w:r>
              <w:rPr>
                <w:sz w:val="20"/>
                <w:szCs w:val="20"/>
              </w:rPr>
              <w:t xml:space="preserve"> Resets both founders to 0% vested, re-vests monthly over 4 years from Oct. 2026, and replaces single-trigger with double-trigger acceleration.</w:t>
            </w:r>
          </w:p>
          <w:p w:rsidR="004942DB" w:rsidRDefault="004942DB">
            <w:r>
              <w:rPr>
                <w:b/>
                <w:bCs/>
                <w:sz w:val="20"/>
                <w:szCs w:val="20"/>
              </w:rPr>
              <w:t xml:space="preserve">For Alex:</w:t>
            </w:r>
            <w:r>
              <w:rPr>
                <w:sz w:val="20"/>
                <w:szCs w:val="20"/>
              </w:rPr>
              <w:t xml:space="preserve"> About 4.16M vested founder shares (Alex ~2.34M, Priya ~1.82M) go back at risk of repurchase at cost. Full vesting slips from Sept. 2028 to Oct. 2030. If Priya left a year from now she would keep ~875K shares instead of ~2.7M. A sale would no longer vest them unless they are also terminated. A Series A lead may ask for re-vesting again, so they could be re-vested twice. It is a personal decision, so they need their own advice and should consider a protective 83(b).</w:t>
            </w:r>
          </w:p>
        </w:tc>
        <w:tc>
          <w:tcPr>
            <w:tcW w:w="31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sz w:val="20"/>
                <w:szCs w:val="20"/>
              </w:rPr>
              <w:t xml:space="preserve">Strike §9(b). Northvane is investing at a $25M cap in a company whose founders still have ~48% unvested, so the retention incentive already exists.</w:t>
            </w:r>
          </w:p>
          <w:p w:rsidR="004942DB" w:rsidRDefault="004942DB">
            <w:r>
              <w:rPr>
                <w:sz w:val="20"/>
                <w:szCs w:val="20"/>
              </w:rPr>
              <w:t xml:space="preserve">Fallback: leave vesting to the Series A, or at most add 12 months to the remaining schedule with full credit for time served. Keep single trigger, or use double trigger with partial (e.g., 50%) single-trigger acceleration. No re-vesting of shares already vested.</w:t>
            </w:r>
          </w:p>
        </w:tc>
      </w:tr>
      <w:tr w:rsidR="004942DB" w14:paraId="7148D19D" w14:textId="77777777">
        <w:tblPrEx>
          <w:tblCellMar>
            <w:top w:w="0" w:type="dxa"/>
            <w:bottom w:w="0" w:type="dxa"/>
          </w:tblCellMar>
        </w:tblPrEx>
        <w:trPr>
          <w:trHeight w:val="1100"/>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3</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Northvane vetoes and a side letter that overrides everything:</w:t>
            </w:r>
            <w:r>
              <w:rPr>
                <w:sz w:val="20"/>
                <w:szCs w:val="20"/>
              </w:rPr>
              <w:t xml:space="preserve"> Side letter §8 (protective provisions) and §9(d) (equity-plan freeze), plus §20(a)-(b) and §19.</w:t>
            </w:r>
          </w:p>
        </w:tc>
        <w:tc>
          <w:tcPr>
            <w:tcW w:w="3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b/>
                <w:bCs/>
                <w:sz w:val="20"/>
                <w:szCs w:val="20"/>
              </w:rPr>
              <w:t xml:space="preserve">Does:</w:t>
            </w:r>
            <w:r>
              <w:rPr>
                <w:sz w:val="20"/>
                <w:szCs w:val="20"/>
              </w:rPr>
              <w:t xml:space="preserve"> Until a $5M+ round, Northvane can block a sale of the company, any priced round under $5M, any increase in authorized shares or the option pool, and any amendment to another SAFE. The letter also claims to override the charter and the Series A documents and never ends.</w:t>
            </w:r>
          </w:p>
          <w:p w:rsidR="004942DB" w:rsidRDefault="004942DB">
            <w:r>
              <w:rPr>
                <w:b/>
                <w:bCs/>
                <w:sz w:val="20"/>
                <w:szCs w:val="20"/>
              </w:rPr>
              <w:t xml:space="preserve">For Alex:</w:t>
            </w:r>
            <w:r>
              <w:rPr>
                <w:sz w:val="20"/>
                <w:szCs w:val="20"/>
              </w:rPr>
              <w:t xml:space="preserve"> "Northvane can block things the board, founders and Bramblewood all want," for example a $20M acquisition offer in 2027, even though Northvane would be paid its $3M. It also means a fight with the Series A lead later.</w:t>
            </w:r>
          </w:p>
        </w:tc>
        <w:tc>
          <w:tcPr>
            <w:tcW w:w="31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sz w:val="20"/>
                <w:szCs w:val="20"/>
              </w:rPr>
              <w:t xml:space="preserve">Delete §8, §9(d) and §20(a)-(b). A SAFE holder is not a stockholder, and Bramblewood asked for none of this.</w:t>
            </w:r>
          </w:p>
          <w:p w:rsidR="004942DB" w:rsidRDefault="004942DB">
            <w:r>
              <w:rPr>
                <w:sz w:val="20"/>
                <w:szCs w:val="20"/>
              </w:rPr>
              <w:t xml:space="preserve">Fallback: require consent only for actions that adversely and disproportionately affect the Northvane SAFE, carving out any Liquidity Event in which the SAFE is paid on its terms. End the side letter at the Equity Financing, with the Series A documents replacing it (as in the YC pro rata letter). Only §5 management rights and confidentiality would survive.</w:t>
            </w:r>
          </w:p>
        </w:tc>
      </w:tr>
    </w:tbl>
    <w:p w:rsidR="004942DB" w:rsidRDefault="004942DB" w14:paraId="119E5B4A" w14:textId="77777777">
      <w:pPr>
        <w:spacing w:after="60"/>
      </w:pPr>
    </w:p>
    <w:p w:rsidR="004942DB" w:rsidRDefault="00000000" w14:paraId="0320E4E7" w14:textId="77777777">
      <w:pPr>
        <w:pStyle w:val="Heading3"/>
        <w:keepNext/>
      </w:pPr>
      <w:r>
        <w:t>Give: two terms Alex should simply accept</w:t>
      </w:r>
    </w:p>
    <w:tbl>
      <w:tblPr>
        <w:tblW w:w="9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500"/>
        <w:gridCol w:w="5520"/>
      </w:tblGrid>
      <w:tr w:rsidR="004942DB" w14:paraId="5F4DCDEE" w14:textId="77777777">
        <w:tblPrEx>
          <w:tblCellMar>
            <w:top w:w="0" w:type="dxa"/>
            <w:bottom w:w="0" w:type="dxa"/>
          </w:tblCellMar>
        </w:tblPrEx>
        <w:trPr>
          <w:tblHeader/>
        </w:trPr>
        <w:tc>
          <w:tcPr>
            <w:tcW w:w="7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1FFA1C2E" w14:textId="77777777">
            <w:r>
              <w:rPr>
                <w:b/>
                <w:bCs/>
                <w:sz w:val="20"/>
                <w:szCs w:val="20"/>
              </w:rPr>
              <w:t>#</w:t>
            </w:r>
          </w:p>
        </w:tc>
        <w:tc>
          <w:tcPr>
            <w:tcW w:w="350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5917D545" w14:textId="77777777">
            <w:r>
              <w:rPr>
                <w:b/>
                <w:bCs/>
                <w:sz w:val="20"/>
                <w:szCs w:val="20"/>
              </w:rPr>
              <w:t>Term and where</w:t>
            </w:r>
          </w:p>
        </w:tc>
        <w:tc>
          <w:tcPr>
            <w:tcW w:w="552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025DB0A1" w14:textId="77777777">
            <w:r>
              <w:rPr>
                <w:b/>
                <w:bCs/>
                <w:sz w:val="20"/>
                <w:szCs w:val="20"/>
              </w:rPr>
              <w:t>Why Alex should accept it</w:t>
            </w:r>
          </w:p>
        </w:tc>
      </w:tr>
      <w:tr w:rsidR="004942DB" w14:paraId="0B0A8CDD" w14:textId="77777777">
        <w:tblPrEx>
          <w:tblCellMar>
            <w:top w:w="0" w:type="dxa"/>
            <w:bottom w:w="0" w:type="dxa"/>
          </w:tblCellMar>
        </w:tblPrEx>
        <w:trPr>
          <w:trHeight w:val="600"/>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1</w:t>
            </w:r>
          </w:p>
        </w:tc>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Put Option:</w:t>
            </w:r>
            <w:r>
              <w:rPr>
                <w:sz w:val="20"/>
                <w:szCs w:val="20"/>
              </w:rPr>
              <w:t xml:space="preserve"> Side letter §12</w:t>
            </w:r>
          </w:p>
        </w:tc>
        <w:tc>
          <w:tcPr>
            <w:tcW w:w="55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It looks alarming, but it only lets Northvane hand its SAFE or shares back to the Company for $1 total. It costs Tinsmith $1, returns that ownership to the cap table, and ends Northvane's side-letter rights (§19(a)). Funds use this to book a tax loss or clean up at fund wind-down, which likely matters to a first-time fund. A $1 repurchase falls within the QSBS de minimis rules for redemptions. Accepting it costs nothing and earns goodwill.</w:t>
            </w:r>
          </w:p>
        </w:tc>
      </w:tr>
      <w:tr w:rsidR="004942DB" w14:paraId="47503D4B" w14:textId="77777777">
        <w:tblPrEx>
          <w:tblCellMar>
            <w:top w:w="0" w:type="dxa"/>
            <w:bottom w:w="0" w:type="dxa"/>
          </w:tblCellMar>
        </w:tblPrEx>
        <w:trPr>
          <w:trHeight w:val="600"/>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000000">
            <w:r>
              <w:rPr>
                <w:sz w:val="20"/>
                <w:szCs w:val="20"/>
              </w:rPr>
              <w:t xml:space="preserve">2</w:t>
            </w:r>
          </w:p>
        </w:tc>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b/>
                <w:bCs/>
                <w:sz w:val="20"/>
                <w:szCs w:val="20"/>
              </w:rPr>
              <w:t xml:space="preserve">QSBS reps and covenant:</w:t>
            </w:r>
            <w:r>
              <w:rPr>
                <w:sz w:val="20"/>
                <w:szCs w:val="20"/>
              </w:rPr>
              <w:t xml:space="preserve"> Side letter §10</w:t>
            </w:r>
          </w:p>
        </w:tc>
        <w:tc>
          <w:tcPr>
            <w:tcW w:w="55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r>
              <w:rPr>
                <w:sz w:val="20"/>
                <w:szCs w:val="20"/>
              </w:rPr>
              <w:t xml:space="preserve">It helps everyone, including the founders, by protecting §1202 treatment. The reps should be true for a 2024 Delaware C-corp selling software with well under $75M in gross assets, as long as there have been no stock repurchases in the last year (confirm). The covenant is only "commercially reasonable efforts," with a board fiduciary out. (§5 management rights, the standard VCOC letter, is an equally good give.)</w:t>
            </w:r>
          </w:p>
        </w:tc>
      </w:tr>
    </w:tbl>
    <w:p w:rsidR="004942DB" w:rsidRDefault="004942DB" w14:paraId="6C4C46E7" w14:textId="77777777">
      <w:pPr>
        <w:spacing w:after="60"/>
      </w:pPr>
    </w:p>
    <w:p w:rsidR="004942DB" w:rsidRDefault="00000000" w14:paraId="4548F1E5" w14:textId="77777777">
      <w:pPr>
        <w:pStyle w:val="Heading3"/>
        <w:keepNext/>
      </w:pPr>
      <w:r>
        <w:t>Ask: one question you need Alex to answer before you finalize your advice</w:t>
      </w:r>
    </w:p>
    <w:tbl>
      <w:tblPr>
        <w:tblW w:w="9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20"/>
      </w:tblGrid>
      <w:tr w:rsidR="004942DB" w14:paraId="0C010E5B" w14:textId="77777777">
        <w:tblPrEx>
          <w:tblCellMar>
            <w:top w:w="0" w:type="dxa"/>
            <w:bottom w:w="0" w:type="dxa"/>
          </w:tblCellMar>
        </w:tblPrEx>
        <w:trPr>
          <w:tblHeader/>
        </w:trPr>
        <w:tc>
          <w:tcPr>
            <w:tcW w:w="9720" w:type="dxa"/>
            <w:tcBorders>
              <w:top w:val="single" w:color="A6A6A6" w:sz="4" w:space="0"/>
              <w:left w:val="single" w:color="A6A6A6" w:sz="4" w:space="0"/>
              <w:bottom w:val="single" w:color="A6A6A6" w:sz="4" w:space="0"/>
              <w:right w:val="single" w:color="A6A6A6" w:sz="4" w:space="0"/>
            </w:tcBorders>
            <w:shd w:val="clear" w:color="auto" w:fill="E7E6E6"/>
            <w:tcMar>
              <w:top w:w="60" w:type="dxa"/>
              <w:left w:w="100" w:type="dxa"/>
              <w:bottom w:w="60" w:type="dxa"/>
              <w:right w:w="100" w:type="dxa"/>
            </w:tcMar>
          </w:tcPr>
          <w:p w:rsidR="004942DB" w:rsidRDefault="00000000" w14:paraId="1A74C046" w14:textId="77777777">
            <w:r>
              <w:rPr>
                <w:b/>
                <w:bCs/>
                <w:sz w:val="20"/>
                <w:szCs w:val="20"/>
              </w:rPr>
              <w:t>Question</w:t>
            </w:r>
          </w:p>
        </w:tc>
      </w:tr>
      <w:tr w:rsidR="004942DB" w14:paraId="039D8A11" w14:textId="77777777">
        <w:tblPrEx>
          <w:tblCellMar>
            <w:top w:w="0" w:type="dxa"/>
            <w:bottom w:w="0" w:type="dxa"/>
          </w:tblCellMar>
        </w:tblPrEx>
        <w:trPr>
          <w:trHeight w:val="600"/>
        </w:trPr>
        <w:tc>
          <w:tcPr>
            <w:tcW w:w="972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rsidR="004942DB" w:rsidRDefault="004942DB">
            <w:pPr>
              <w:spacing w:after="80"/>
            </w:pPr>
            <w:r>
              <w:rPr>
                <w:sz w:val="20"/>
                <w:szCs w:val="20"/>
              </w:rPr>
              <w:t xml:space="preserve">If Dana won't move on the SAFE changes and founder re-vesting, would Bramblewood (which offered the same $25M cap on plain YC paper) lead or increase its check so you can close without Northvane?</w:t>
            </w:r>
          </w:p>
          <w:p w:rsidR="004942DB" w:rsidRDefault="004942DB">
            <w:r>
              <w:rPr>
                <w:sz w:val="20"/>
                <w:szCs w:val="20"/>
              </w:rPr>
              <w:t xml:space="preserve">Why it matters: Alex's real alternative to Northvane decides how hard we push on the three Fight items, and whether "walk away" is a credible answer if Dana says these are her standard terms.</w:t>
            </w:r>
          </w:p>
        </w:tc>
      </w:tr>
    </w:tbl>
    <w:p w:rsidR="004942DB" w:rsidRDefault="004942DB" w14:paraId="4BF0F41E" w14:textId="7D7D08ED">
      <w:pPr>
        <w:spacing w:after="120" w:line="276" w:lineRule="auto"/>
      </w:pPr>
    </w:p>
    <w:sectPr w:rsidR="004942DB">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2F7F9D" w:rsidRDefault="002F7F9D" w14:paraId="0AAEF937" w14:textId="77777777">
      <w:r>
        <w:separator/>
      </w:r>
    </w:p>
  </w:endnote>
  <w:endnote w:type="continuationSeparator" w:id="0">
    <w:p w:rsidR="002F7F9D" w:rsidRDefault="002F7F9D" w14:paraId="64BC53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942DB" w:rsidRDefault="00D84DB1" w14:paraId="2A6CCBFB" w14:textId="0993930D">
    <w:pPr>
      <w:pStyle w:val="Footer"/>
      <w:jc w:val="center"/>
    </w:pPr>
    <w:r>
      <w:t xml:space="preserve">SAFE Exercise </w:t>
    </w:r>
    <w:r w:rsidR="00000000">
      <w:t xml:space="preserve">Group Worksheet: Tinsmith </w:t>
    </w:r>
    <w:proofErr w:type="gramStart"/>
    <w:r w:rsidR="00000000">
      <w:t>AI  |</w:t>
    </w:r>
    <w:proofErr w:type="gramEnd"/>
    <w:r w:rsidR="00000000">
      <w:t xml:space="preserve">  Page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2F7F9D" w:rsidRDefault="002F7F9D" w14:paraId="73DEC7AD" w14:textId="77777777">
      <w:r>
        <w:separator/>
      </w:r>
    </w:p>
  </w:footnote>
  <w:footnote w:type="continuationSeparator" w:id="0">
    <w:p w:rsidR="002F7F9D" w:rsidRDefault="002F7F9D" w14:paraId="2C4A100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507DF"/>
    <w:multiLevelType w:val="hybridMultilevel"/>
    <w:tmpl w:val="70084B0A"/>
    <w:lvl w:ilvl="0" w:tplc="17662300">
      <w:start w:val="1"/>
      <w:numFmt w:val="bullet"/>
      <w:lvlText w:val="●"/>
      <w:lvlJc w:val="left"/>
      <w:pPr>
        <w:ind w:left="720" w:hanging="360"/>
      </w:pPr>
    </w:lvl>
    <w:lvl w:ilvl="1" w:tplc="1BBE9B86">
      <w:start w:val="1"/>
      <w:numFmt w:val="bullet"/>
      <w:lvlText w:val="○"/>
      <w:lvlJc w:val="left"/>
      <w:pPr>
        <w:ind w:left="1440" w:hanging="360"/>
      </w:pPr>
    </w:lvl>
    <w:lvl w:ilvl="2" w:tplc="03FE6174">
      <w:start w:val="1"/>
      <w:numFmt w:val="bullet"/>
      <w:lvlText w:val="■"/>
      <w:lvlJc w:val="left"/>
      <w:pPr>
        <w:ind w:left="2160" w:hanging="360"/>
      </w:pPr>
    </w:lvl>
    <w:lvl w:ilvl="3" w:tplc="212CEC78">
      <w:start w:val="1"/>
      <w:numFmt w:val="bullet"/>
      <w:lvlText w:val="●"/>
      <w:lvlJc w:val="left"/>
      <w:pPr>
        <w:ind w:left="2880" w:hanging="360"/>
      </w:pPr>
    </w:lvl>
    <w:lvl w:ilvl="4" w:tplc="44409D2E">
      <w:start w:val="1"/>
      <w:numFmt w:val="bullet"/>
      <w:lvlText w:val="○"/>
      <w:lvlJc w:val="left"/>
      <w:pPr>
        <w:ind w:left="3600" w:hanging="360"/>
      </w:pPr>
    </w:lvl>
    <w:lvl w:ilvl="5" w:tplc="585C3F48">
      <w:start w:val="1"/>
      <w:numFmt w:val="bullet"/>
      <w:lvlText w:val="■"/>
      <w:lvlJc w:val="left"/>
      <w:pPr>
        <w:ind w:left="4320" w:hanging="360"/>
      </w:pPr>
    </w:lvl>
    <w:lvl w:ilvl="6" w:tplc="360A8C04">
      <w:start w:val="1"/>
      <w:numFmt w:val="bullet"/>
      <w:lvlText w:val="●"/>
      <w:lvlJc w:val="left"/>
      <w:pPr>
        <w:ind w:left="5040" w:hanging="360"/>
      </w:pPr>
    </w:lvl>
    <w:lvl w:ilvl="7" w:tplc="D7B027EE">
      <w:start w:val="1"/>
      <w:numFmt w:val="bullet"/>
      <w:lvlText w:val="●"/>
      <w:lvlJc w:val="left"/>
      <w:pPr>
        <w:ind w:left="5760" w:hanging="360"/>
      </w:pPr>
    </w:lvl>
    <w:lvl w:ilvl="8" w:tplc="2B76A666">
      <w:start w:val="1"/>
      <w:numFmt w:val="bullet"/>
      <w:lvlText w:val="●"/>
      <w:lvlJc w:val="left"/>
      <w:pPr>
        <w:ind w:left="6480" w:hanging="360"/>
      </w:pPr>
    </w:lvl>
  </w:abstractNum>
  <w:abstractNum w:abstractNumId="1" w15:restartNumberingAfterBreak="0">
    <w:nsid w:val="11EC33AE"/>
    <w:multiLevelType w:val="hybridMultilevel"/>
    <w:tmpl w:val="8EB2E6C0"/>
    <w:lvl w:ilvl="0" w:tplc="F5A8CDA8">
      <w:start w:val="1"/>
      <w:numFmt w:val="decimal"/>
      <w:lvlText w:val="%1."/>
      <w:lvlJc w:val="left"/>
      <w:pPr>
        <w:ind w:left="540" w:hanging="300"/>
      </w:pPr>
    </w:lvl>
    <w:lvl w:ilvl="1" w:tplc="573AE7D6">
      <w:numFmt w:val="decimal"/>
      <w:lvlText w:val=""/>
      <w:lvlJc w:val="left"/>
    </w:lvl>
    <w:lvl w:ilvl="2" w:tplc="A942DAE6">
      <w:numFmt w:val="decimal"/>
      <w:lvlText w:val=""/>
      <w:lvlJc w:val="left"/>
    </w:lvl>
    <w:lvl w:ilvl="3" w:tplc="4A063F44">
      <w:numFmt w:val="decimal"/>
      <w:lvlText w:val=""/>
      <w:lvlJc w:val="left"/>
    </w:lvl>
    <w:lvl w:ilvl="4" w:tplc="77D0D61A">
      <w:numFmt w:val="decimal"/>
      <w:lvlText w:val=""/>
      <w:lvlJc w:val="left"/>
    </w:lvl>
    <w:lvl w:ilvl="5" w:tplc="512A46EC">
      <w:numFmt w:val="decimal"/>
      <w:lvlText w:val=""/>
      <w:lvlJc w:val="left"/>
    </w:lvl>
    <w:lvl w:ilvl="6" w:tplc="176AACB8">
      <w:numFmt w:val="decimal"/>
      <w:lvlText w:val=""/>
      <w:lvlJc w:val="left"/>
    </w:lvl>
    <w:lvl w:ilvl="7" w:tplc="A5260C88">
      <w:numFmt w:val="decimal"/>
      <w:lvlText w:val=""/>
      <w:lvlJc w:val="left"/>
    </w:lvl>
    <w:lvl w:ilvl="8" w:tplc="13BEBD4C">
      <w:numFmt w:val="decimal"/>
      <w:lvlText w:val=""/>
      <w:lvlJc w:val="left"/>
    </w:lvl>
  </w:abstractNum>
  <w:abstractNum w:abstractNumId="2" w15:restartNumberingAfterBreak="0">
    <w:nsid w:val="3B5E5706"/>
    <w:multiLevelType w:val="hybridMultilevel"/>
    <w:tmpl w:val="9B64EE36"/>
    <w:lvl w:ilvl="0" w:tplc="2E20E4A0">
      <w:start w:val="1"/>
      <w:numFmt w:val="bullet"/>
      <w:lvlText w:val="•"/>
      <w:lvlJc w:val="left"/>
      <w:pPr>
        <w:ind w:left="540" w:hanging="270"/>
      </w:pPr>
    </w:lvl>
    <w:lvl w:ilvl="1" w:tplc="8E12C8D0">
      <w:start w:val="1"/>
      <w:numFmt w:val="bullet"/>
      <w:lvlText w:val="–"/>
      <w:lvlJc w:val="left"/>
      <w:pPr>
        <w:ind w:left="1000" w:hanging="270"/>
      </w:pPr>
    </w:lvl>
    <w:lvl w:ilvl="2" w:tplc="4B7A0CA8">
      <w:numFmt w:val="decimal"/>
      <w:lvlText w:val=""/>
      <w:lvlJc w:val="left"/>
    </w:lvl>
    <w:lvl w:ilvl="3" w:tplc="CC3CC4C6">
      <w:numFmt w:val="decimal"/>
      <w:lvlText w:val=""/>
      <w:lvlJc w:val="left"/>
    </w:lvl>
    <w:lvl w:ilvl="4" w:tplc="7EB45E74">
      <w:numFmt w:val="decimal"/>
      <w:lvlText w:val=""/>
      <w:lvlJc w:val="left"/>
    </w:lvl>
    <w:lvl w:ilvl="5" w:tplc="0A4C8120">
      <w:numFmt w:val="decimal"/>
      <w:lvlText w:val=""/>
      <w:lvlJc w:val="left"/>
    </w:lvl>
    <w:lvl w:ilvl="6" w:tplc="20DA8D56">
      <w:numFmt w:val="decimal"/>
      <w:lvlText w:val=""/>
      <w:lvlJc w:val="left"/>
    </w:lvl>
    <w:lvl w:ilvl="7" w:tplc="83A4AD04">
      <w:numFmt w:val="decimal"/>
      <w:lvlText w:val=""/>
      <w:lvlJc w:val="left"/>
    </w:lvl>
    <w:lvl w:ilvl="8" w:tplc="E1540714">
      <w:numFmt w:val="decimal"/>
      <w:lvlText w:val=""/>
      <w:lvlJc w:val="left"/>
    </w:lvl>
  </w:abstractNum>
  <w:abstractNum w:abstractNumId="3" w15:restartNumberingAfterBreak="0">
    <w:nsid w:val="56AA7388"/>
    <w:multiLevelType w:val="hybridMultilevel"/>
    <w:tmpl w:val="083638E6"/>
    <w:lvl w:ilvl="0" w:tplc="4E0E0566">
      <w:start w:val="1"/>
      <w:numFmt w:val="decimal"/>
      <w:lvlText w:val="%1."/>
      <w:lvlJc w:val="left"/>
      <w:pPr>
        <w:ind w:left="540" w:hanging="300"/>
      </w:pPr>
    </w:lvl>
    <w:lvl w:ilvl="1" w:tplc="5212D432">
      <w:numFmt w:val="decimal"/>
      <w:lvlText w:val=""/>
      <w:lvlJc w:val="left"/>
    </w:lvl>
    <w:lvl w:ilvl="2" w:tplc="0DBC5EEA">
      <w:numFmt w:val="decimal"/>
      <w:lvlText w:val=""/>
      <w:lvlJc w:val="left"/>
    </w:lvl>
    <w:lvl w:ilvl="3" w:tplc="C9904AA8">
      <w:numFmt w:val="decimal"/>
      <w:lvlText w:val=""/>
      <w:lvlJc w:val="left"/>
    </w:lvl>
    <w:lvl w:ilvl="4" w:tplc="77E8706A">
      <w:numFmt w:val="decimal"/>
      <w:lvlText w:val=""/>
      <w:lvlJc w:val="left"/>
    </w:lvl>
    <w:lvl w:ilvl="5" w:tplc="187E0ECC">
      <w:numFmt w:val="decimal"/>
      <w:lvlText w:val=""/>
      <w:lvlJc w:val="left"/>
    </w:lvl>
    <w:lvl w:ilvl="6" w:tplc="0FB62588">
      <w:numFmt w:val="decimal"/>
      <w:lvlText w:val=""/>
      <w:lvlJc w:val="left"/>
    </w:lvl>
    <w:lvl w:ilvl="7" w:tplc="540CCCF6">
      <w:numFmt w:val="decimal"/>
      <w:lvlText w:val=""/>
      <w:lvlJc w:val="left"/>
    </w:lvl>
    <w:lvl w:ilvl="8" w:tplc="AC5E2BB4">
      <w:numFmt w:val="decimal"/>
      <w:lvlText w:val=""/>
      <w:lvlJc w:val="left"/>
    </w:lvl>
  </w:abstractNum>
  <w:abstractNum w:abstractNumId="4" w15:restartNumberingAfterBreak="0">
    <w:nsid w:val="6B450ADD"/>
    <w:multiLevelType w:val="hybridMultilevel"/>
    <w:tmpl w:val="FB0E12B6"/>
    <w:lvl w:ilvl="0" w:tplc="23BC3A26">
      <w:start w:val="1"/>
      <w:numFmt w:val="decimal"/>
      <w:lvlText w:val="%1."/>
      <w:lvlJc w:val="left"/>
      <w:pPr>
        <w:ind w:left="540" w:hanging="300"/>
      </w:pPr>
    </w:lvl>
    <w:lvl w:ilvl="1" w:tplc="2550C200">
      <w:numFmt w:val="decimal"/>
      <w:lvlText w:val=""/>
      <w:lvlJc w:val="left"/>
    </w:lvl>
    <w:lvl w:ilvl="2" w:tplc="27E83600">
      <w:numFmt w:val="decimal"/>
      <w:lvlText w:val=""/>
      <w:lvlJc w:val="left"/>
    </w:lvl>
    <w:lvl w:ilvl="3" w:tplc="288C10E4">
      <w:numFmt w:val="decimal"/>
      <w:lvlText w:val=""/>
      <w:lvlJc w:val="left"/>
    </w:lvl>
    <w:lvl w:ilvl="4" w:tplc="38B60CA4">
      <w:numFmt w:val="decimal"/>
      <w:lvlText w:val=""/>
      <w:lvlJc w:val="left"/>
    </w:lvl>
    <w:lvl w:ilvl="5" w:tplc="5F62CC8C">
      <w:numFmt w:val="decimal"/>
      <w:lvlText w:val=""/>
      <w:lvlJc w:val="left"/>
    </w:lvl>
    <w:lvl w:ilvl="6" w:tplc="B98A5888">
      <w:numFmt w:val="decimal"/>
      <w:lvlText w:val=""/>
      <w:lvlJc w:val="left"/>
    </w:lvl>
    <w:lvl w:ilvl="7" w:tplc="F3B2742E">
      <w:numFmt w:val="decimal"/>
      <w:lvlText w:val=""/>
      <w:lvlJc w:val="left"/>
    </w:lvl>
    <w:lvl w:ilvl="8" w:tplc="6714EB48">
      <w:numFmt w:val="decimal"/>
      <w:lvlText w:val=""/>
      <w:lvlJc w:val="left"/>
    </w:lvl>
  </w:abstractNum>
  <w:abstractNum w:abstractNumId="5" w15:restartNumberingAfterBreak="0">
    <w:nsid w:val="733B71D4"/>
    <w:multiLevelType w:val="hybridMultilevel"/>
    <w:tmpl w:val="2F5657AA"/>
    <w:lvl w:ilvl="0" w:tplc="7F4E5924">
      <w:start w:val="1"/>
      <w:numFmt w:val="decimal"/>
      <w:lvlText w:val="%1."/>
      <w:lvlJc w:val="left"/>
      <w:pPr>
        <w:ind w:left="540" w:hanging="300"/>
      </w:pPr>
    </w:lvl>
    <w:lvl w:ilvl="1" w:tplc="43AA5D96">
      <w:numFmt w:val="decimal"/>
      <w:lvlText w:val=""/>
      <w:lvlJc w:val="left"/>
    </w:lvl>
    <w:lvl w:ilvl="2" w:tplc="DD62BC28">
      <w:numFmt w:val="decimal"/>
      <w:lvlText w:val=""/>
      <w:lvlJc w:val="left"/>
    </w:lvl>
    <w:lvl w:ilvl="3" w:tplc="0090E656">
      <w:numFmt w:val="decimal"/>
      <w:lvlText w:val=""/>
      <w:lvlJc w:val="left"/>
    </w:lvl>
    <w:lvl w:ilvl="4" w:tplc="324E2F7A">
      <w:numFmt w:val="decimal"/>
      <w:lvlText w:val=""/>
      <w:lvlJc w:val="left"/>
    </w:lvl>
    <w:lvl w:ilvl="5" w:tplc="B35084A8">
      <w:numFmt w:val="decimal"/>
      <w:lvlText w:val=""/>
      <w:lvlJc w:val="left"/>
    </w:lvl>
    <w:lvl w:ilvl="6" w:tplc="8C66BED2">
      <w:numFmt w:val="decimal"/>
      <w:lvlText w:val=""/>
      <w:lvlJc w:val="left"/>
    </w:lvl>
    <w:lvl w:ilvl="7" w:tplc="208AB6B0">
      <w:numFmt w:val="decimal"/>
      <w:lvlText w:val=""/>
      <w:lvlJc w:val="left"/>
    </w:lvl>
    <w:lvl w:ilvl="8" w:tplc="0C3CD504">
      <w:numFmt w:val="decimal"/>
      <w:lvlText w:val=""/>
      <w:lvlJc w:val="left"/>
    </w:lvl>
  </w:abstractNum>
  <w:abstractNum w:abstractNumId="6" w15:restartNumberingAfterBreak="0">
    <w:nsid w:val="73420EAD"/>
    <w:multiLevelType w:val="hybridMultilevel"/>
    <w:tmpl w:val="713A223A"/>
    <w:lvl w:ilvl="0" w:tplc="53F42CE0">
      <w:start w:val="1"/>
      <w:numFmt w:val="decimal"/>
      <w:lvlText w:val="%1."/>
      <w:lvlJc w:val="left"/>
      <w:pPr>
        <w:ind w:left="540" w:hanging="300"/>
      </w:pPr>
    </w:lvl>
    <w:lvl w:ilvl="1" w:tplc="E2266414">
      <w:numFmt w:val="decimal"/>
      <w:lvlText w:val=""/>
      <w:lvlJc w:val="left"/>
    </w:lvl>
    <w:lvl w:ilvl="2" w:tplc="A7CE0882">
      <w:numFmt w:val="decimal"/>
      <w:lvlText w:val=""/>
      <w:lvlJc w:val="left"/>
    </w:lvl>
    <w:lvl w:ilvl="3" w:tplc="BFE0A53A">
      <w:numFmt w:val="decimal"/>
      <w:lvlText w:val=""/>
      <w:lvlJc w:val="left"/>
    </w:lvl>
    <w:lvl w:ilvl="4" w:tplc="4E5C7B2A">
      <w:numFmt w:val="decimal"/>
      <w:lvlText w:val=""/>
      <w:lvlJc w:val="left"/>
    </w:lvl>
    <w:lvl w:ilvl="5" w:tplc="9C701AE0">
      <w:numFmt w:val="decimal"/>
      <w:lvlText w:val=""/>
      <w:lvlJc w:val="left"/>
    </w:lvl>
    <w:lvl w:ilvl="6" w:tplc="80386A5A">
      <w:numFmt w:val="decimal"/>
      <w:lvlText w:val=""/>
      <w:lvlJc w:val="left"/>
    </w:lvl>
    <w:lvl w:ilvl="7" w:tplc="7BF61B38">
      <w:numFmt w:val="decimal"/>
      <w:lvlText w:val=""/>
      <w:lvlJc w:val="left"/>
    </w:lvl>
    <w:lvl w:ilvl="8" w:tplc="7E8A06CA">
      <w:numFmt w:val="decimal"/>
      <w:lvlText w:val=""/>
      <w:lvlJc w:val="left"/>
    </w:lvl>
  </w:abstractNum>
  <w:abstractNum w:abstractNumId="7" w15:restartNumberingAfterBreak="0">
    <w:nsid w:val="795057A7"/>
    <w:multiLevelType w:val="hybridMultilevel"/>
    <w:tmpl w:val="CB7CD2FC"/>
    <w:lvl w:ilvl="0" w:tplc="A906E166">
      <w:start w:val="1"/>
      <w:numFmt w:val="decimal"/>
      <w:lvlText w:val="%1."/>
      <w:lvlJc w:val="left"/>
      <w:pPr>
        <w:ind w:left="540" w:hanging="300"/>
      </w:pPr>
    </w:lvl>
    <w:lvl w:ilvl="1" w:tplc="AA448FA2">
      <w:numFmt w:val="decimal"/>
      <w:lvlText w:val=""/>
      <w:lvlJc w:val="left"/>
    </w:lvl>
    <w:lvl w:ilvl="2" w:tplc="D932F81C">
      <w:numFmt w:val="decimal"/>
      <w:lvlText w:val=""/>
      <w:lvlJc w:val="left"/>
    </w:lvl>
    <w:lvl w:ilvl="3" w:tplc="FBE2D5CA">
      <w:numFmt w:val="decimal"/>
      <w:lvlText w:val=""/>
      <w:lvlJc w:val="left"/>
    </w:lvl>
    <w:lvl w:ilvl="4" w:tplc="5896CCBE">
      <w:numFmt w:val="decimal"/>
      <w:lvlText w:val=""/>
      <w:lvlJc w:val="left"/>
    </w:lvl>
    <w:lvl w:ilvl="5" w:tplc="33CA2ED4">
      <w:numFmt w:val="decimal"/>
      <w:lvlText w:val=""/>
      <w:lvlJc w:val="left"/>
    </w:lvl>
    <w:lvl w:ilvl="6" w:tplc="DDB03440">
      <w:numFmt w:val="decimal"/>
      <w:lvlText w:val=""/>
      <w:lvlJc w:val="left"/>
    </w:lvl>
    <w:lvl w:ilvl="7" w:tplc="EC3C7E66">
      <w:numFmt w:val="decimal"/>
      <w:lvlText w:val=""/>
      <w:lvlJc w:val="left"/>
    </w:lvl>
    <w:lvl w:ilvl="8" w:tplc="980C7196">
      <w:numFmt w:val="decimal"/>
      <w:lvlText w:val=""/>
      <w:lvlJc w:val="left"/>
    </w:lvl>
  </w:abstractNum>
  <w:num w:numId="1" w16cid:durableId="10021254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2DB"/>
    <w:rsid w:val="002F7F9D"/>
    <w:rsid w:val="004942DB"/>
    <w:rsid w:val="004E137F"/>
    <w:rsid w:val="00AF2ABB"/>
    <w:rsid w:val="00D8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EF7EBF"/>
  <w15:docId w15:val="{67506BF0-C377-8D46-9D64-5E2DEB75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000000"/>
      <w:sz w:val="30"/>
      <w:szCs w:val="30"/>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unhideWhenUsed/>
    <w:qFormat/>
    <w:pPr>
      <w:spacing w:before="140" w:after="6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Footer">
    <w:name w:val="footer"/>
    <w:rPr>
      <w:color w:val="595959"/>
      <w:sz w:val="16"/>
      <w:szCs w:val="16"/>
    </w:rPr>
  </w:style>
  <w:style w:type="paragraph" w:styleId="Header">
    <w:name w:val="header"/>
    <w:basedOn w:val="Normal"/>
    <w:link w:val="HeaderChar"/>
    <w:uiPriority w:val="99"/>
    <w:unhideWhenUsed/>
    <w:rsid w:val="00D84DB1"/>
    <w:pPr>
      <w:tabs>
        <w:tab w:val="center" w:pos="4680"/>
        <w:tab w:val="right" w:pos="9360"/>
      </w:tabs>
    </w:pPr>
  </w:style>
  <w:style w:type="character" w:styleId="HeaderChar" w:customStyle="1">
    <w:name w:val="Header Char"/>
    <w:basedOn w:val="DefaultParagraphFont"/>
    <w:link w:val="Header"/>
    <w:uiPriority w:val="99"/>
    <w:rsid w:val="00D84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1900-01-01T08:00:00.0000000Z</dcterms:created>
  <dcterms:modified xsi:type="dcterms:W3CDTF">1900-01-01T08:00:00.0000000Z</dcterms:modified>
</coreProperties>
</file>