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Hospital Website Development Plan: Integrating Google Cloud Ecosystems and Multilingual Accessibility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Context and Architectural Imperatives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digitization of healthcare infrastructure has precipitated a profound shift in how medical institutions interface with patient populations. A hospital website is no longer a static informational brochure; it is a critical ingress point for clinical care, serving as a dynamic, interactive, and highly secure digital health platform. In regions characterized by substantial cross-border patient mobility, complex linguistic diversity, and stringent regulatory environments—specifically Central and Eastern Europe—the architectural demands placed on a hospital web portal increase exponentially. Developing an ecosystem that can effectively manage patient intake, facilitate telemedicine, and ensure compliance across varying international jurisdictions requires a sophisticated, enterprise-grade technological foundation.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outlines a comprehensive, expert-level architectural development plan for a modern hospital website, anchored robustly in the Google Cloud Platform (GCP) and Google Workspace ecosystems. The framework is specifically engineered to ensure seamless multilingual accessibility across six targeted demographic languages: Slovak, Ukrainian, English, Hungarian, Polish, and Czech. By synthesizing advanced machine learning translation models, Fast Healthcare Interoperability Resources (FHIR) data standards, and globally distributed edge delivery networks, this architecture guarantees that the institution provides equitable, secure, and legally compliant access to care across profound linguistic and geographical barriers.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specific Google tools serves to automate the entire patient journey—from the initial organic search query and intuitive digital wayfinding to the automated processing of clinical intake forms and the provisioning of high-definition virtual consultations. In executing this plan, healthcare administrators and technical architects can mitigate the inherent risks of data fragmentation, eliminate language-based health disparities, and optimize operational throughput within the clinical environment.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Architecture and Patient-Centric Interface Design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 digital health platform is fundamentally dictated by its user experience (UX) and interface architecture. Patients accessing a healthcare portal are frequently operating under conditions of physical distress, cognitive overload, or acute anxiety. Consequently, any friction encountered between the user's initial search for medical intervention and the actual delivery of that care can severely degrade patient satisfaction and lead to potentially dangerous delays in treatment. A robust frontend architecture must balance rigorous functional requirements with visual clarity and cognitive ease.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for Cognitive Ease and Clinical Accessibility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hospital web architecture must prioritize an intuitive, predictable navigation schema. Complex, heavily nested menu structures are detrimental to user retention. Instead, predictable menu systems must categorize information into distinct, instinctively understandable silos. Grouping essential functions—such as "Find a Doctor," "Clinical Services," "Patient Portals," and "Emergency Contact"—in high-visibility areas ensures that patients can locate critical information without unnecessary cognitive strain.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Breadcrumb trails and highly optimized search functionalities are indispensable mechanisms for reducing navigation friction. Advanced healthcare search architecture must transcend basic string matching. It must be engineered with semantic understanding, capable of processing complex medical synonyms, common typographical errors, and the colloquial terminology frequently utilized by patients seeking specialized care. Furthermore, adherence to the Web Content Accessibility Guidelines (WCAG) 2.1 Level AA standards is non-negotiable. This compliance ensures that the interface remains inclusive and fully operable for individuals with visual, auditory, cognitive, or motor impairments, utilizing high-contrast typography, screen-reader compatibility, and keyboard-navigable interface elements.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optimization constitutes another foundational pillar of the frontend design. A fully responsive architecture ensures that the interface adapts seamlessly across a diverse matrix of device screen sizes and resolutions. Because a significant proportion of patients search for urgent care while in transit, the mobile iteration must feature prominent, clickable contact numbers, contextual geolocation mapping, and lightweight graphical assets that load rapidly even on constrained cellular networks.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Functional Modules for Digital Healthcare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transition from a rudimentary informational site to a comprehensive digital health platform, the architecture must natively embed several core functional modules that drive patient engagement and streamline internal administrative operations.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real-time online appointment scheduling tools serves as a primary driver of operational efficiency. Digital scheduling drastically reduces the administrative burden placed on triage and reception staff, minimizes telephone hold times, and empowers patients to assume control over their healthcare timelines. This must be coupled with secure, authenticated patient portal access, enabling individuals to review electronic health records (EHR), access laboratory diagnostic results, and track treatment protocols securely.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intelligence-driven conversational agents (chatbots) represent a critical layer of automated triage and patient support. Deployed effectively, these AI agents can handle routine administrative queries, guide patients to appropriate clinical departments based on self-reported symptoms, and personalize the visitor experience, thereby reserving human administrative resources for complex, high-value interactions.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a secure, Payment Card Industry (PCI)-compliant financial portal is mandatory. This infrastructure permits the secure, encrypted processing of medical billing, insurance co-payments, and telehealth consultation fees directly through the hospital's web interface, accelerating revenue cycle management.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Digital-to-Physical Wayfinding and Spatial Orientation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correlation between an institution's digital presence and its physical architectural layout represents a critical, yet frequently overlooked, component of hospital website development. The digital platform must accurately reflect the complex hub-and-spoke models characteristic of modern hospital physical design.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website should feature interactive, downloadable facility maps that clearly delineate public access zones from secure clinical environments. Providing highly specific parking directions, departmental locations, and campus navigation tools serves as a preliminary visitor management strategy. By allowing patients to map their physical route prior to arrival, the digital platform directly reduces physical bottlenecks at central reception hubs, ensuring that patients reach specialized internal departments swiftly and safely.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Infrastructure and Algorithmic Translation Ecosystems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shifts, cross-border employment trends, and regional displacement within Central and Eastern Europe have necessitated the creation of hospital websites that are natively fluent across multiple linguistic demographics. Providing vital health information exclusively in a single regional language erects dangerous barriers to care, which historically correlates with increased emergency department utilization, elevated hospital readmission rates, and compromised patient safety protocols. The integration of Slovak, Ukrainian, English, Hungarian, Polish, and Czech requires an exceptionally sophisticated translation architecture that transcends static, manual localization.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 Standardization and Scope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programmatically manage multilingual content across disparate content management systems (CMS), databases, and translation application programming interfaces (APIs), the architecture must strictly adhere to ISO 639-1 language standardization codes.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Language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 639-1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Demographic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Slovak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national language; domestic patient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Czech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medical tourism; high mutual intelligibility with Slovak.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Northern cross-border traffic; expansive regional demographic.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Hungarian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Southern regional populations; critical for linguistic minorities.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Ukrainian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Displaced populations and refugees requiring immediate, accessible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Lingua franca for international patients, expatriates, and foreign medical staff.</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these standard codes ensures seamless programmatic compatibility across HTTP request headers, HTML document language declarations (e.g., &lt;html lang="uk"&gt;), and backend database query routing, preventing fragmentation in the localization pipeline.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 Translation API: NMT vs. Adaptive LLM Translation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requisite scale and semantic accuracy across the six targeted languages, the architectural framework utilizes the Google Cloud Translation API, specifically deploying the Advanced (v3) edition and its cutting-edge Adaptive Translation capabilities.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standard Neural Machine Translation (NMT) models have excelled at translating general consumer web content. However, they frequently struggle with the highly nuanced syntax, precise register, and specific vocabulary demanded by medical and clinical contexts. A subtly mistranslated postoperative discharge instruction or an ambiguously rendered informed consent document can precipitate severe clinical errors and corresponding legal liabilities.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mitigate these risks, the deployment will utilize Google's </w:t>
      </w:r>
      <w:r w:rsidDel="00000000" w:rsidR="00000000" w:rsidRPr="00000000">
        <w:rPr>
          <w:rFonts w:ascii="Google Sans" w:cs="Google Sans" w:eastAsia="Google Sans" w:hAnsi="Google Sans"/>
          <w:b w:val="1"/>
          <w:bCs w:val="1"/>
          <w:color w:val="1f1f1f"/>
          <w:rtl w:val="0"/>
        </w:rPr>
        <w:t xml:space="preserve">Adaptive Translation</w:t>
      </w:r>
      <w:r w:rsidDel="00000000" w:rsidR="00000000" w:rsidRPr="00000000">
        <w:rPr>
          <w:rFonts w:ascii="Google Sans" w:cs="Google Sans" w:eastAsia="Google Sans" w:hAnsi="Google Sans"/>
          <w:color w:val="1f1f1f"/>
          <w:rtl w:val="0"/>
        </w:rPr>
        <w:t xml:space="preserve">. This paradigm leverages highly advanced Large Language Models (LLMs)—including iterations of the Gemini architecture—combined with localized, domain-specific datasets to generate sophisticated translations that capture the unique style, tone, and clinical voice of the institution.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Adaptive Translation require the provision of example translations. By supplying as few as five reference sentence pairs (via an uploaded TSV/TMX dataset or embedded directly within the API request payload), the LLM algorithmically contextualizes the hospital's specific grammatical quirks and terminology. This process bypasses the exorbitant computational overhead associated with training bespoke, standalone machine learning models from scratch, delivering outputs that rival human medical translators. Crucially, the Cloud Translation LLM infrastructure has recently been updated to explicitly support all required languages for this project, including Polish, Czech, and Ukrainian.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Medical Glossary Orchestration for Absolute Precision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Large Language Models provide unparalleled contextual fluency, certain elements of medical communication—such as pharmacological compounds, proprietary hospital department names, or rigid epidemiological terminology mandated by regional health ministries—must never be subjected to algorithmic interpretation or creative rendering.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Cloud Translation API Advanced tier resolves this through the implementation of Custom Glossaries. A glossary functions as a definitive, immutable override dictionary during the execution of the translation pipeline. If the hospital utilizes a highly specific branded term for its oncology wing, the glossary ensures that the LLM forces the exact predetermined string into the translated output.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glossary management requires strict governance. Best practices dictate that glossary entries remain highly focused on technical jargon, explicitly mapping brand names to themselves to prevent accidental translation, and avoiding the inclusion of common vocabulary that might disrupt the LLM's natural syntax generation. Furthermore, recent updates to the Google Cloud Translation architecture allow the configuration flag contextual_translation_enabled to be set to True, which allows the LLM to seamlessly weave these rigid glossary terms into the surrounding text without creating grammatically awkward sentence structures. This mechanism guarantees that highly sensitive clinical terminology maintains absolute accuracy across the Slovak, Polish, Hungarian, Czech, and Ukrainian digital interfaces.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Cost Management and Caching Economics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sophisticated LLM-based translation at an enterprise scale necessitates rigorous financial optimization. High-traffic hospital domains can rapidly accumulate excessive API billing if translation requests are not managed intelligently.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Translation Model /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per Million Characters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Tier Allowance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Advanced v3 (Standard NMT)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 chars/month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web copy, navigation elements, footer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Translation LLM (Text)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(Input) + $10.00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Patient portal communication, dynamic health articles.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Adaptive Translation (LLM)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(Input) + $25.00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clinical documents, consent forms, discharge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Translation (PDF/DOCX)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 per page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uploaded physical patient records.</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$50-per-million-character round-trip cost associated with Adaptive Translation, the website architecture must enforce aggressive, multi-layered caching strategies.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Application-Layer In-Memory Caching:</w:t>
      </w:r>
      <w:r w:rsidDel="00000000" w:rsidR="00000000" w:rsidRPr="00000000">
        <w:rPr>
          <w:rFonts w:ascii="Google Sans" w:cs="Google Sans" w:eastAsia="Google Sans" w:hAnsi="Google Sans"/>
          <w:color w:val="1f1f1f"/>
          <w:rtl w:val="0"/>
        </w:rPr>
        <w:t xml:space="preserve"> The architecture will deploy an out-of-process memory cache service, such as Google Cloud Memorystore (for Redis or Memcached). When a string of text is translated, the raw HTML-stripped output is stored in Redis. Subsequent requests for that exact string query the memory cache rather than invoking the Translation API, drastically reducing costs for static content.</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Proxy Caching:</w:t>
      </w:r>
      <w:r w:rsidDel="00000000" w:rsidR="00000000" w:rsidRPr="00000000">
        <w:rPr>
          <w:rFonts w:ascii="Google Sans" w:cs="Google Sans" w:eastAsia="Google Sans" w:hAnsi="Google Sans"/>
          <w:color w:val="1f1f1f"/>
          <w:rtl w:val="0"/>
        </w:rPr>
        <w:t xml:space="preserve"> Utilizing Content Delivery Networks (CDNs) and proxy servers (e.g., NGINX), fully rendered, translated HTML pages are cached at globally distributed edge nodes. This not only eliminates redundant API costs but ensures that content is served to the patient with ultra-low latency.</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SEO and Hreflang Orchestration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sophisticated multilingual hospital website is clinically useless if patients cannot discover it via organic search engines in their native language. Multilingual Search Engine Optimization (SEO) represents a critical pathway to care, ensuring that a user searching for "kardiológia" in Slovakia receives the Slovak iteration of the site, while a patient searching for the exact same specialty in Poland is instantly served the Polish content.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linchpin of international search visibility is the precise implementation of the hreflang attribute. These tags act as a definitive routing signal—a multilingual GPS—for search engine crawlers like Googlebot, explicitly clarifying the geographic and linguistic relationship between alternate versions of the same content.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Google's Webmaster guidelines strongly advocate for utilizing distinct, separate URLs for varying language versions (e.g., hospital.eu/sk/ versus hospital.eu/uk/) rather than relying on browser cookies or dynamic IP-based redirection to swap content. Dynamic redirection is fundamentally flawed for SEO because the Googlebot crawler typically originates from IP addresses within the United States and executes HTTP requests without setting an Accept-Language header; consequently, it may entirely fail to discover or index the Ukrainian or Hungarian variations of the site if they are dynamically hidden.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protocol mandates the injection of reciprocal &lt;link rel="alternate" hreflang="x" href="..."/&gt; tags within the &lt;head&gt; element of every HTML document across the domain.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Demographic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Hreflang Syntax Example for Indexing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Slovak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hreflang="sk" href="https://hospital.eu/sk/cardiology" /&gt;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Ukrainian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hreflang="uk" href="https://hospital.eu/uk/cardiology" /&gt;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hreflang="en" href="https://hospital.eu/en/cardiology" /&gt;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Hungarian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hreflang="hu" href="https://hospital.eu/hu/cardiology" /&gt;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Polish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hreflang="pl" href="https://hospital.eu/pl/cardiology" /&gt;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Czech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hreflang="cs" href="https://hospital.eu/cs/cardiology" /&gt;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Fallback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rel="alternate" hreflang="x-default" href="https://hospital.eu/en/cardiology" /&gt;</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inclusion of the x-default tag is an essential safety mechanism. It provides a fallback directive, instructing search engines to route users whose browser language settings do not match any of the specifically localized versions (e.g., a visiting French tourist requiring emergency care) to a designated default global page, which in this architectural model will be the English iteration.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fortify this setup and ensure rapid indexing of all newly translated medical resources, dedicated XML sitemaps must be generated for each individual language variant. These sitemaps, embedded with their respective hreflang annotations, are then submitted directly to Google Search Console (GSC). This rigorous structure prevents common search console errors, such as "Duplicate, Google chose different canonical than user," which frequently plague improperly configured multi-regional websites.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Management System (CMS) and Multimedia Architecture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dynamic, fully accessible digital presence, the hospital requires a robust backend Content Management System (CMS) that empowers administrative and marketing teams to independently add, edit, and delete web pages without requiring constant developer intervention. Furthermore, the platform must seamlessly host rich multimedia—including explanatory medical videos, physician profiles, and facility imagery—to build patient trust and enhance health literacy.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Headless CMS Deployment on Google Cloud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will utilize a headless CMS (such as Strapi, Sanity, or an enterprise-grade WordPress deployment) hosted securely on Google Cloud infrastructure. By deploying an open-source headless CMS like Strapi on Google Cloud, the hospital can enforce strict, granular role-based access controls (RBAC) ensuring that only authorized clinical or marketing staff can publish sensitive information. This environment supports the creation of custom, GDPR and HIPAA-compliant data schemas, providing secure separation between marketing materials and patient portal entry points.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backend must be as accessible as the frontend. The integration of accessibility-focused plugins, such as the Strapi All-in-One Accessibility tool, ensures that the administrative portal itself adheres to WCAG 2.1 Level AA standards, accommodating content creators and hospital staff who utilize assistive technologies to manage the website.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Multimedia Integration for Marketing and Patient Education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storytelling and high-quality multimedia are essential for modern healthcare marketing; they transform complex medical procedures into accessible information, reducing patient anxiety and building institutional credibility.</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Delivery:</w:t>
      </w:r>
      <w:r w:rsidDel="00000000" w:rsidR="00000000" w:rsidRPr="00000000">
        <w:rPr>
          <w:rFonts w:ascii="Google Sans" w:cs="Google Sans" w:eastAsia="Google Sans" w:hAnsi="Google Sans"/>
          <w:color w:val="1f1f1f"/>
          <w:rtl w:val="0"/>
        </w:rPr>
        <w:t xml:space="preserve"> High-resolution photography of the hospital's facilities, specialized equipment, and staff portraits will be securely hosted in Google Cloud Storage buckets.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static assets will be globally distributed via Google Cloud CDN, ensuring instantaneous load times across all target regions and maintaining high-performance SEO scores.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Video Integration via YouTube Data API:</w:t>
      </w:r>
      <w:r w:rsidDel="00000000" w:rsidR="00000000" w:rsidRPr="00000000">
        <w:rPr>
          <w:rFonts w:ascii="Google Sans" w:cs="Google Sans" w:eastAsia="Google Sans" w:hAnsi="Google Sans"/>
          <w:color w:val="1f1f1f"/>
          <w:rtl w:val="0"/>
        </w:rPr>
        <w:t xml:space="preserve"> For heavy video assets—such as facility walkthroughs, patient testimonials, and physician Q&amp;A sessions—the platform will leverage the YouTube Data API. Embedding educational videos via YouTube simplifies complex medical science for varying levels of health literacy, increasing patient engagement and information retention. Additionally, because 77% of patients utilize search engines to begin their health research, integrating YouTube-hosted content natively within the hospital's CMS drastically improves the institution's organic digital visibility and marketing reach.</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Telehealth Integration and Clinical Automation via Google Workspace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value proposition of a modern hospital web platform extends far beyond informational dissemination; it relies on deep, secure backend integrations. By embedding the Google Workspace suite natively within the website's architecture, the institution can orchestrate secure, automated, and highly scalable interactions between disparate patient populations and clinical personnel.</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Telemedicine Enablement via Google Meet API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clinical consultations have permanently transitioned from a supplementary patient convenience to a core modality of healthcare delivery. Rather than forcing patients to navigate away from the hospital's trusted domain to download complex third-party software, the architecture natively embeds telehealth infrastructure directly into the web portal utilizing the </w:t>
      </w:r>
      <w:r w:rsidDel="00000000" w:rsidR="00000000" w:rsidRPr="00000000">
        <w:rPr>
          <w:rFonts w:ascii="Google Sans" w:cs="Google Sans" w:eastAsia="Google Sans" w:hAnsi="Google Sans"/>
          <w:b w:val="1"/>
          <w:bCs w:val="1"/>
          <w:color w:val="1f1f1f"/>
          <w:rtl w:val="0"/>
        </w:rPr>
        <w:t xml:space="preserve">Google Meet REST API</w:t>
      </w:r>
      <w:r w:rsidDel="00000000" w:rsidR="00000000" w:rsidRPr="00000000">
        <w:rPr>
          <w:rFonts w:ascii="Google Sans" w:cs="Google Sans" w:eastAsia="Google Sans" w:hAnsi="Google Sans"/>
          <w:color w:val="1f1f1f"/>
          <w:rtl w:val="0"/>
        </w:rPr>
        <w:t xml:space="preserve"> and associated SDKs.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compared to alternatives such as Zoom, Google Meet offers significant architectural and financial advantages for healthcare providers. While securing a HIPAA-compliant version of Zoom requires the procurement of specialized enterprise tiers and additional recurring licensing costs, Google Meet inherently supports HIPAA compliance under existing Google Workspace Business or Enterprise plans at no supplemental cost, significantly lowering operational friction for the healthcare system.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Google Meet REST API empowers the hospital's backend servers to programmatically instantiate encrypted meeting spaces, dynamically manage invitee access, and pre-configure granular session settings (such as automatically muting participants upon entry to preserve clinical decorum). Through the deployment of the Meet add-ons SDK or secure WebRTC iframe embeds, the high-definition audio and video interface is hosted entirely within the patient's authenticated web portal.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deep integration facilitates several advanced clinical workflows: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Virtual Triage and Waiting Rooms:</w:t>
      </w:r>
      <w:r w:rsidDel="00000000" w:rsidR="00000000" w:rsidRPr="00000000">
        <w:rPr>
          <w:rFonts w:ascii="Google Sans" w:cs="Google Sans" w:eastAsia="Google Sans" w:hAnsi="Google Sans"/>
          <w:color w:val="1f1f1f"/>
          <w:rtl w:val="0"/>
        </w:rPr>
        <w:t xml:space="preserve"> Patients authenticate into a secure, hospital-branded digital staging area on the website before the attending physician admits them to the encrypted communication channel, accurately replicating the physical clinical workflow.</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Real-Time Linguistic Access:</w:t>
      </w:r>
      <w:r w:rsidDel="00000000" w:rsidR="00000000" w:rsidRPr="00000000">
        <w:rPr>
          <w:rFonts w:ascii="Google Sans" w:cs="Google Sans" w:eastAsia="Google Sans" w:hAnsi="Google Sans"/>
          <w:color w:val="1f1f1f"/>
          <w:rtl w:val="0"/>
        </w:rPr>
        <w:t xml:space="preserve"> Leveraging the broader Google ecosystem, Google Meet natively supports AI-driven, real-time translated captions. This is an indispensable capability for resolving acute language barriers during live consultations, such as a Slovak-speaking specialist treating a displaced Ukrainian-speaking patient.</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Artifact Management:</w:t>
      </w:r>
      <w:r w:rsidDel="00000000" w:rsidR="00000000" w:rsidRPr="00000000">
        <w:rPr>
          <w:rFonts w:ascii="Google Sans" w:cs="Google Sans" w:eastAsia="Google Sans" w:hAnsi="Google Sans"/>
          <w:color w:val="1f1f1f"/>
          <w:rtl w:val="0"/>
        </w:rPr>
        <w:t xml:space="preserve"> Following the conclusion of the consultation, the REST API can automatically fetch meeting artifacts. Encrypted video recordings and machine-generated clinical transcripts are seamlessly routed into Google Vault or Google Drive, directly appending the telehealth interaction to the patient's longitudinal health record for legal and medical continuity.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Patient Intake via Google Forms and Apps Script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Digitizing patient intake documentation mitigates administrative bottlenecks in physical waiting rooms, drastically reduces manual transcription errors by clerical staff, and ensures that critical diagnostic data reaches clinical teams prior to the patient's physical or virtual arrival. </w:t>
      </w:r>
      <w:r w:rsidDel="00000000" w:rsidR="00000000" w:rsidRPr="00000000">
        <w:rPr>
          <w:rFonts w:ascii="Google Sans" w:cs="Google Sans" w:eastAsia="Google Sans" w:hAnsi="Google Sans"/>
          <w:b w:val="1"/>
          <w:bCs w:val="1"/>
          <w:color w:val="1f1f1f"/>
          <w:rtl w:val="0"/>
        </w:rPr>
        <w:t xml:space="preserve">Google Forms</w:t>
      </w:r>
      <w:r w:rsidDel="00000000" w:rsidR="00000000" w:rsidRPr="00000000">
        <w:rPr>
          <w:rFonts w:ascii="Google Sans" w:cs="Google Sans" w:eastAsia="Google Sans" w:hAnsi="Google Sans"/>
          <w:color w:val="1f1f1f"/>
          <w:rtl w:val="0"/>
        </w:rPr>
        <w:t xml:space="preserve"> functions as an exceptionally accessible, mobile-responsive frontend mechanism for this data collection.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harnessing recent Gemini AI integrations deployed within Google Workspace, the hospital's administrative teams can rapidly draft, format, and translate complex intake questionnaires across all six required languages (Slovak, Ukrainian, Polish, Hungarian, Czech, and English) with unprecedented speed.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standard deployment of Google Forms presents a compliance challenge: standard forms cannot safely email unencrypted Protected Health Information (PHI) over open SMTP networks without violating privacy statutes. To synthesize ease of use with military-grade security, the architecture introduces </w:t>
      </w:r>
      <w:r w:rsidDel="00000000" w:rsidR="00000000" w:rsidRPr="00000000">
        <w:rPr>
          <w:rFonts w:ascii="Google Sans" w:cs="Google Sans" w:eastAsia="Google Sans" w:hAnsi="Google Sans"/>
          <w:b w:val="1"/>
          <w:bCs w:val="1"/>
          <w:color w:val="1f1f1f"/>
          <w:rtl w:val="0"/>
        </w:rPr>
        <w:t xml:space="preserve">Google Apps Script</w:t>
      </w:r>
      <w:r w:rsidDel="00000000" w:rsidR="00000000" w:rsidRPr="00000000">
        <w:rPr>
          <w:rFonts w:ascii="Google Sans" w:cs="Google Sans" w:eastAsia="Google Sans" w:hAnsi="Google Sans"/>
          <w:color w:val="1f1f1f"/>
          <w:rtl w:val="0"/>
        </w:rPr>
        <w:t xml:space="preserve"> as an automated, secure middleware layer.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patient submits a localized medical form on the website, an event-driven trigger instantaneously executes an Apps Script protocol. This script dynamically fetches an OAuth 2.0 authentication token and initiates a secure REST call to a Google Cloud Function or directly to the Google Cloud Healthcare API. This pipeline intercepts the payload, masks or encrypts highly sensitive metadata, and routes the structured responses into secure, access-controlled Google Docs templates or Cloud Firestore databases. This ensures that detailed patient histories, legally binding consent signatures, and symptom self-reporting data are immediately available to triage nurses in a structured, compliant, and highly actionable format.</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Interoperability and the Cloud Healthcare API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hospital website must not exist as an isolated data silo. The true architectural triumph of this development plan lies in the deployment of the </w:t>
      </w:r>
      <w:r w:rsidDel="00000000" w:rsidR="00000000" w:rsidRPr="00000000">
        <w:rPr>
          <w:rFonts w:ascii="Google Sans" w:cs="Google Sans" w:eastAsia="Google Sans" w:hAnsi="Google Sans"/>
          <w:b w:val="1"/>
          <w:bCs w:val="1"/>
          <w:color w:val="1f1f1f"/>
          <w:rtl w:val="0"/>
        </w:rPr>
        <w:t xml:space="preserve">Google Cloud Healthcare API</w:t>
      </w:r>
      <w:r w:rsidDel="00000000" w:rsidR="00000000" w:rsidRPr="00000000">
        <w:rPr>
          <w:rFonts w:ascii="Google Sans" w:cs="Google Sans" w:eastAsia="Google Sans" w:hAnsi="Google Sans"/>
          <w:color w:val="1f1f1f"/>
          <w:rtl w:val="0"/>
        </w:rPr>
        <w:t xml:space="preserve">, a highly robust, scalable, and enterprise-grade environment specifically engineered to ingest, store, and analyze sensitive clinical data. This API functions as the intelligent bridge, connecting the multilingual web portal's frontend data collection mechanisms directly to the hospital's disparate, legacy on-premises Electronic Health Record (EHR) systems.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Healthcare Interoperability Resources (FHIR) Orchestration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Google Cloud Healthcare API is fundamentally built upon the </w:t>
      </w:r>
      <w:r w:rsidDel="00000000" w:rsidR="00000000" w:rsidRPr="00000000">
        <w:rPr>
          <w:rFonts w:ascii="Google Sans" w:cs="Google Sans" w:eastAsia="Google Sans" w:hAnsi="Google Sans"/>
          <w:b w:val="1"/>
          <w:bCs w:val="1"/>
          <w:color w:val="1f1f1f"/>
          <w:rtl w:val="0"/>
        </w:rPr>
        <w:t xml:space="preserve">Fast Healthcare Interoperability Resources (FHIR)</w:t>
      </w:r>
      <w:r w:rsidDel="00000000" w:rsidR="00000000" w:rsidRPr="00000000">
        <w:rPr>
          <w:rFonts w:ascii="Google Sans" w:cs="Google Sans" w:eastAsia="Google Sans" w:hAnsi="Google Sans"/>
          <w:color w:val="1f1f1f"/>
          <w:rtl w:val="0"/>
        </w:rPr>
        <w:t xml:space="preserve"> standard, supporting major iterations including DSTU2, STU3, and the highly adopted R4 framework. FHIR revolutionizes medical data exchange by representing clinical data through discrete, highly structured resources (e.g., Patient, Observation, Condition, Medication) that are programmatically accessed and modified over standard HTTP RESTful protocols via JSON payloads.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practical application, when a Polish patient submits a translated intake form via the website, the serverless Google Cloud Function intercepts the raw data array, parses the strings, and programmatically maps them to a standardized FHIR JSON payload. This payload is securely transmitted to a dedicated FHIR store residing within the GCP environment, utilizing the standard unified endpoint structure: https://server/path/Observation.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resource-based approach dismantles monolithic data silos, allowing the web portal to maintain highly performant, scalable data storage independent of the physical EHR system's constraints.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HL7v2, DICOM, and Data Harmonization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hospitals across Central and Eastern Europe continue to rely on legacy systems that communicate exclusively via older Health Level Seven (HL7) Version 2 messaging protocols. The Cloud Healthcare API mitigates this technical debt by providing native support for HL7v2 ingestion alongside advanced mapping utilities.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Google Cloud Dataflow combined with the Whistle mapping language, the architecture can ingest an HL7v2 message from an aging on-premises EHR, transform it into a modern FHIR resource, and serve that data seamlessly to the patient's web portal. Conversely, data generated on the website can be mapped backwards into formats compatible with legacy systems.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Cloud Healthcare API extends interoperability to medical imaging via the </w:t>
      </w:r>
      <w:r w:rsidDel="00000000" w:rsidR="00000000" w:rsidRPr="00000000">
        <w:rPr>
          <w:rFonts w:ascii="Google Sans" w:cs="Google Sans" w:eastAsia="Google Sans" w:hAnsi="Google Sans"/>
          <w:b w:val="1"/>
          <w:bCs w:val="1"/>
          <w:color w:val="1f1f1f"/>
          <w:rtl w:val="0"/>
        </w:rPr>
        <w:t xml:space="preserve">DICOM API</w:t>
      </w:r>
      <w:r w:rsidDel="00000000" w:rsidR="00000000" w:rsidRPr="00000000">
        <w:rPr>
          <w:rFonts w:ascii="Google Sans" w:cs="Google Sans" w:eastAsia="Google Sans" w:hAnsi="Google Sans"/>
          <w:color w:val="1f1f1f"/>
          <w:rtl w:val="0"/>
        </w:rPr>
        <w:t xml:space="preserve">, allowing the web portal to securely retrieve and display X-rays or MRI scans directly within the patient's authenticated dashboard. For research and analytics, the system supports conversion to the Observational Medical Outcomes Partnership (OMOP) data model and features a powerful </w:t>
      </w:r>
      <w:r w:rsidDel="00000000" w:rsidR="00000000" w:rsidRPr="00000000">
        <w:rPr>
          <w:rFonts w:ascii="Google Sans" w:cs="Google Sans" w:eastAsia="Google Sans" w:hAnsi="Google Sans"/>
          <w:b w:val="1"/>
          <w:bCs w:val="1"/>
          <w:color w:val="1f1f1f"/>
          <w:rtl w:val="0"/>
        </w:rPr>
        <w:t xml:space="preserve">De-identification API</w:t>
      </w:r>
      <w:r w:rsidDel="00000000" w:rsidR="00000000" w:rsidRPr="00000000">
        <w:rPr>
          <w:rFonts w:ascii="Google Sans" w:cs="Google Sans" w:eastAsia="Google Sans" w:hAnsi="Google Sans"/>
          <w:color w:val="1f1f1f"/>
          <w:rtl w:val="0"/>
        </w:rPr>
        <w:t xml:space="preserve">. This tool automatically detects and scrubs Protected Health Information (PHI)—such as patient names, dates of birth, and contact details—from datasets before they are exported for broader epidemiological research or machine learning analysis, thereby preserving patient anonymity while driving clinical innovation.</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Privacy, Sovereignty, and Regulatory Compliance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highly sensitive medical data across multiple European sovereign jurisdictions demands a paramount focus on regulatory compliance. The proposed architecture leverages Google Cloud's comprehensive shared responsibility model to satisfy the overlapping, stringent requirements of both the European General Data Protection Regulation (GDPR) and the United States Health Insurance Portability and Accountability Act (HIPAA). While HIPAA is a non-European federal statute, adopting its rigorous technical safeguards—as strictly enforced within GCP environments—inherently satisfies the majority of the stringent data security mandates dictated by GDPR Article 32.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 Navigation and Patient Data Rights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GDPR, personal health information is explicitly classified as "sensitive data," subjecting the processing entity to the highest tiers of legal scrutiny and potential financial penalty. The hospital website must be technically equipped to accommodate core GDPR mandates concerning patient rights, which extend globally across the target demographic (Slovakia, Poland, Hungary, Czech Republic, and displaced Ukrainian citizens currently residing within the European Economic Area).</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Right to Access and Data Portability:</w:t>
      </w:r>
      <w:r w:rsidDel="00000000" w:rsidR="00000000" w:rsidRPr="00000000">
        <w:rPr>
          <w:rFonts w:ascii="Google Sans" w:cs="Google Sans" w:eastAsia="Google Sans" w:hAnsi="Google Sans"/>
          <w:color w:val="1f1f1f"/>
          <w:rtl w:val="0"/>
        </w:rPr>
        <w:t xml:space="preserve"> GDPR mandates that patients must be able to securely download their medical records in a structured, commonly used, and machine-readable format. The FHIR API facilitates this seamlessly by exporting standard JSON resources directly via the authenticated web portal.</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Explicit Consent Mechanisms:</w:t>
      </w:r>
      <w:r w:rsidDel="00000000" w:rsidR="00000000" w:rsidRPr="00000000">
        <w:rPr>
          <w:rFonts w:ascii="Google Sans" w:cs="Google Sans" w:eastAsia="Google Sans" w:hAnsi="Google Sans"/>
          <w:color w:val="1f1f1f"/>
          <w:rtl w:val="0"/>
        </w:rPr>
        <w:t xml:space="preserve"> Multilingual consent forms must be unambiguous, explicitly gathered, and easily retractable before the processing of health data or the initiation of telehealth recordings. Utilizing Google Forms coupled with Apps Script allows the hospital to log the exact cryptographic timestamp, IP address, and language of the consent execution into a secure, immutable Cloud Audit Log.</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Right to Erasure and Medical Retention Conflicts:</w:t>
      </w:r>
      <w:r w:rsidDel="00000000" w:rsidR="00000000" w:rsidRPr="00000000">
        <w:rPr>
          <w:rFonts w:ascii="Google Sans" w:cs="Google Sans" w:eastAsia="Google Sans" w:hAnsi="Google Sans"/>
          <w:color w:val="1f1f1f"/>
          <w:rtl w:val="0"/>
        </w:rPr>
        <w:t xml:space="preserve"> While regional medical retention laws frequently supersede right-to-erasure requests for ongoing clinical care records, the web architecture must support the permanent deletion of non-essential marketing, tracking, or administrative data generated via the website.</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Pseudonymisation and Encryption (Article 32):</w:t>
      </w:r>
      <w:r w:rsidDel="00000000" w:rsidR="00000000" w:rsidRPr="00000000">
        <w:rPr>
          <w:rFonts w:ascii="Google Sans" w:cs="Google Sans" w:eastAsia="Google Sans" w:hAnsi="Google Sans"/>
          <w:color w:val="1f1f1f"/>
          <w:rtl w:val="0"/>
        </w:rPr>
        <w:t xml:space="preserve"> GDPR explicitly requires technical measures to secure data. The architecture relies on Google Cloud's default behavior, which provides robust Customer-Managed Encryption Keys (CMEK) for encryption both at rest and in transit (TLS) across all storage buckets and Firestore databases.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72-Hour Breach Notification:</w:t>
      </w:r>
      <w:r w:rsidDel="00000000" w:rsidR="00000000" w:rsidRPr="00000000">
        <w:rPr>
          <w:rFonts w:ascii="Google Sans" w:cs="Google Sans" w:eastAsia="Google Sans" w:hAnsi="Google Sans"/>
          <w:color w:val="1f1f1f"/>
          <w:rtl w:val="0"/>
        </w:rPr>
        <w:t xml:space="preserve"> In the event of a security incident, GDPR mandates notification to the supervisory authority within 72 hours. Google Cloud's Security Command Center (SCC) and Cloud Monitoring systems are configured to instantly detect anomalies and trigger automated incident response plans to ensure compliance with this rigid window.</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Associate Agreements (BAA) and Hosting Architecture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legally utilize Google Workspace and GCP services in a healthcare context, the hospital administration must formally execute a Business Associate Agreement (BAA) with Google. The BAA is an indispensable, legally binding contract that explicitly governs the permitted processing, transmission, and security of Protected Health Information (PHI) across Google's infrastructure.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free consumer tiers of Google services—such as standard @gmail.com accounts or free Firebase hosting environments—are strictly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covered by a BAA and cannot legally process PHI. The hospital must provision enterprise-grade environments, specifically Google Workspace Enterprise and defined Google Cloud Identity packages.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Hosting 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HIPAA BAA Coverage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Encryption / Compliance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Firebase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 Consumer-grade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suitable for hosting patient portals containing PHI.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Cloud Run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end-to-end / Enterprise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containerized patient portal microservices 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Workspace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BAA Supported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for Drive, Docs, Meet, and Forms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Cloud 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BAA Supported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for storing DICOM images and clinical artifacts.</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administrators must implement strict identity and access management (IAM) protocols, actively disabling any non-covered Google services, third-party add-ons, or consumer SDKs from accessing the PHI environment to maintain an unbroken chain of compliance.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Sovereignty and Cloud CDN Edge Optimization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residency—the physical location where data is stored—is a critical regulatory and geopolitical concern within the European Union. Certain national regulations and rigid institutional guidelines dictate that health data must physically reside within specific geographic boundaries to mitigate the risk of foreign surveillance or unauthorized cross-border data transfers.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 empowers network architects to enforce strict Data Residency policies, dictating the exact regional data centers where clinical databases (such as the FHIR store and Cloud SQL instances) are stored at rest. To optimally serve the target demographic while maintaining sovereignty, core infrastructure can be provisioned in highly secure European regions, such as europe-central2 (Warsaw, Poland) or europe-west3 (Frankfurt, Germany).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locating the core database in Poland does not mean a patient in Ukraine should suffer slow website load times. To ensure that the heavy, interactive elements of the website—such as multilingual HTML assets, telehealth WebRTC applets, and high-resolution spatial maps—load instantly regardless of the user's physical location, the architecture integrates </w:t>
      </w:r>
      <w:r w:rsidDel="00000000" w:rsidR="00000000" w:rsidRPr="00000000">
        <w:rPr>
          <w:rFonts w:ascii="Google Sans" w:cs="Google Sans" w:eastAsia="Google Sans" w:hAnsi="Google Sans"/>
          <w:b w:val="1"/>
          <w:bCs w:val="1"/>
          <w:color w:val="1f1f1f"/>
          <w:rtl w:val="0"/>
        </w:rPr>
        <w:t xml:space="preserve">Google Cloud CDN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CDN leverages Google's globally distributed Edge Points of Presence (PoPs) to cache content perilously close to the end-user.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CDN Edge 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Relevance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Warsaw, Poland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hub for Polish demographics.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ultra-low latency for the largest targeted population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Prague, Czech Republic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 for Czech and Slovak cross-border patients.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Accelerates application payloads across the historically integrated CZ/SK network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Budapest, Hungary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Gateway for Hungarian and southern Slovak regions.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network bottlenecks for southern minority demographic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Kyiv, Ukraine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node for displaced citizens and wartime resilience.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highly reliable, resilient access to translated health instructions amidst infrastructure instability.</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caching static and translated web assets at these specific edge nodes, the hospital website guarantees unparalleled high availability, resilience against massive traffic spikes (such as those generated during a localized health crisis), and minimal latency for every supported language demographic.</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Analytics, Tracking, and Continuous Optimization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sustained success of an enterprise healthcare portal demands continuous, data-driven optimization. Understanding how varying linguistic demographics interact with the digital platform allows hospital administrators to dynamically refine content delivery, troubleshoot UX friction points, and measure the conversion efficacy of critical endpoints, such as completed appointment bookings or successful telehealth connections.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Analytics 4 (GA4) Configuration and PHI Masking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Analytics 4 (GA4) serves as the primary measurement and analytical engine for the web platform. Diverging from the session-based data models of legacy analytics platforms, GA4 utilizes a highly flexible, event-based data model, allowing for incredibly granular tracking of individual user interactions across the complex digital real estate.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GA4 on a clinical healthcare website must be executed with extreme technical precision to prevent the disastrous accidental transmission of PHI to unauthorized third-party servers. The deployment strategy relies on rigorous Data Loss Prevention (DLP) mechanisms combined with strict, audited configurations within Google Tag Manager (GTM). Tag configurations must actively scrub and mask any URL parameters or form inputs that might contain patient names, specific medical conditions, or diagnostic codes before the payload is transmitted to Google's analytics servers.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privacy thresholds are secured, the GA4 setup can be configured to track a spectrum of critical interactions:</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Automatically Collected Events:</w:t>
      </w:r>
      <w:r w:rsidDel="00000000" w:rsidR="00000000" w:rsidRPr="00000000">
        <w:rPr>
          <w:rFonts w:ascii="Google Sans" w:cs="Google Sans" w:eastAsia="Google Sans" w:hAnsi="Google Sans"/>
          <w:color w:val="1f1f1f"/>
          <w:rtl w:val="0"/>
        </w:rPr>
        <w:t xml:space="preserve"> Tracking baseline metrics such as the first_visit event to understand the influx of new patients.</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Enhanced Measurement:</w:t>
      </w:r>
      <w:r w:rsidDel="00000000" w:rsidR="00000000" w:rsidRPr="00000000">
        <w:rPr>
          <w:rFonts w:ascii="Google Sans" w:cs="Google Sans" w:eastAsia="Google Sans" w:hAnsi="Google Sans"/>
          <w:color w:val="1f1f1f"/>
          <w:rtl w:val="0"/>
        </w:rPr>
        <w:t xml:space="preserve"> Monitoring deep engagement, such as scroll depth on complex translated medical articles or downloads of PDF discharge instructions.</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Custom Clinical Events:</w:t>
      </w:r>
      <w:r w:rsidDel="00000000" w:rsidR="00000000" w:rsidRPr="00000000">
        <w:rPr>
          <w:rFonts w:ascii="Google Sans" w:cs="Google Sans" w:eastAsia="Google Sans" w:hAnsi="Google Sans"/>
          <w:color w:val="1f1f1f"/>
          <w:rtl w:val="0"/>
        </w:rPr>
        <w:t xml:space="preserve"> Creating bespoke tracking triggers to monitor when a user initiates a virtual waiting room (telehealth_initiated), successfully submits a localized intake form (form_submitted), or clicks an outbound emergency telephone link (phone_call_clicked).</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Dashboard Reporting and Search Console Integration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evaluate the return on investment (ROI) of the sophisticated Adaptive Translation infrastructure, GA4 must be directly integrated with </w:t>
      </w:r>
      <w:r w:rsidDel="00000000" w:rsidR="00000000" w:rsidRPr="00000000">
        <w:rPr>
          <w:rFonts w:ascii="Google Sans" w:cs="Google Sans" w:eastAsia="Google Sans" w:hAnsi="Google Sans"/>
          <w:b w:val="1"/>
          <w:bCs w:val="1"/>
          <w:color w:val="1f1f1f"/>
          <w:rtl w:val="0"/>
        </w:rPr>
        <w:t xml:space="preserve">Google Search Console (GSC)</w:t>
      </w:r>
      <w:r w:rsidDel="00000000" w:rsidR="00000000" w:rsidRPr="00000000">
        <w:rPr>
          <w:rFonts w:ascii="Google Sans" w:cs="Google Sans" w:eastAsia="Google Sans" w:hAnsi="Google Sans"/>
          <w:color w:val="1f1f1f"/>
          <w:rtl w:val="0"/>
        </w:rPr>
        <w:t xml:space="preserve">. This powerful integration pulls organic search impression and click metrics directly into the GA4 centralized dashboard, empowering administrators to correlate specific, localized search queries (e.g., analyzing search volume for "onkologia" in Poland) with the corresponding on-site engagement and conversion rates of those specific landing pages.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architectural framework relies on a single overarching domain structure utilizing organized subdirectories for distinct languages (e.g., /sk/, /uk/, /hu/), data analysts can create highly focused Custom Segments within GA4. These segments filter traffic strictly by language parameter and geographic region, generating nuanced intelligence.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this reporting infrastructure can rapidly identify a sudden, anomalous spike in Ukrainian-language searches for "pediatric vaccinations" originating from IP addresses localized in eastern Slovakia. This granular intelligence transcends basic web analytics; it directly informs clinical outreach strategies, prompting the hospital's administrative team to rapidly prioritize the translation, publication, and distribution of highly specific pediatric immunization resources via the Cloud Translation API, ultimately driving better public health outcomes.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Implementation Pathway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development, and deployment of a comprehensive hospital web portal serving a deeply diverse, multilingual demographic across Central and Eastern Europe is a profoundly complex architectural endeavor. It necessitates a total departure from traditional, monolithic web hosting paradigms in favor of a scalable, interoperable, and cloud-native digital health ecosystem.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advanced capabilities of the Google Cloud Platform and the Google Workspace suite, the healthcare institution achieves an unparalleled synergy of computational power, artificial intelligence, and clinical security. The integration of Adaptive LLM translation models guarantees semantic precision and cultural fluency across Slovak, Ukrainian, English, Hungarian, Polish, and Czech interfaces, eradicating linguistic barriers to care. Synchronously, the orchestration of Google Forms, Apps Script middleware, and the Cloud Healthcare API establishes an unbreakable, highly secure pipeline for transforming disparate patient inputs into standardized, interoperable FHIR data structures.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native embedding of Google Meet infrastructure democratizes access to expert medical consultation through high-definition telehealth, while stringent adherence to Business Associate Agreements, GDPR data residency requirements, and Cloud CDN edge deployment ensures that the platform remains legally impregnable, fiercely secure, and universally performant. Implementing this robust technological framework fundamentally modernizes hospital administration, dramatically accelerates clinical workflows, and guarantees that language and geography no longer stand as obstacles to equitable patient health.</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Compliance on Google Cloud | GCP Security, accessed April 7, 2026, </w:t>
      </w:r>
      <w:hyperlink r:id="rId6">
        <w:r w:rsidDel="00000000" w:rsidR="00000000" w:rsidRPr="00000000">
          <w:rPr>
            <w:rFonts w:ascii="Google Sans" w:cs="Google Sans" w:eastAsia="Google Sans" w:hAnsi="Google Sans"/>
            <w:color w:val="0000ee"/>
            <w:sz w:val="24"/>
            <w:szCs w:val="24"/>
            <w:u w:val="single"/>
            <w:rtl w:val="0"/>
          </w:rPr>
          <w:t xml:space="preserve">https://cloud.google.com/security/compliance/hipaa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oud.google.com/security/compliance/hip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