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0F865" w14:textId="5DCCA2E2" w:rsidR="00614DEE" w:rsidRPr="00331F1F" w:rsidRDefault="000455E5" w:rsidP="00331F1F">
      <w:pPr>
        <w:spacing w:line="360" w:lineRule="auto"/>
        <w:jc w:val="both"/>
        <w:rPr>
          <w:rFonts w:ascii="Times New Roman" w:hAnsi="Times New Roman" w:cs="Times New Roman"/>
          <w:b/>
          <w:sz w:val="36"/>
          <w:szCs w:val="36"/>
          <w:lang w:val="en-US"/>
        </w:rPr>
      </w:pPr>
      <w:r w:rsidRPr="00331F1F">
        <w:rPr>
          <w:rFonts w:ascii="Times New Roman" w:hAnsi="Times New Roman" w:cs="Times New Roman"/>
          <w:b/>
          <w:sz w:val="36"/>
          <w:szCs w:val="36"/>
          <w:lang w:val="en-US"/>
        </w:rPr>
        <w:t>Density dependence in forests</w:t>
      </w:r>
    </w:p>
    <w:p w14:paraId="0580EF39" w14:textId="73D96D35" w:rsidR="00331F1F" w:rsidRPr="00331F1F" w:rsidRDefault="00CB33A3" w:rsidP="00331F1F">
      <w:pPr>
        <w:spacing w:line="360" w:lineRule="auto"/>
        <w:jc w:val="both"/>
        <w:rPr>
          <w:rFonts w:ascii="Times New Roman" w:hAnsi="Times New Roman" w:cs="Times New Roman"/>
          <w:b/>
          <w:iCs/>
          <w:sz w:val="24"/>
          <w:szCs w:val="24"/>
          <w:lang w:val="en-US"/>
        </w:rPr>
      </w:pPr>
      <w:r w:rsidRPr="00331F1F">
        <w:rPr>
          <w:rFonts w:ascii="Times New Roman" w:hAnsi="Times New Roman" w:cs="Times New Roman"/>
          <w:b/>
          <w:iCs/>
          <w:sz w:val="24"/>
          <w:szCs w:val="24"/>
          <w:lang w:val="en-US"/>
        </w:rPr>
        <w:t>Background</w:t>
      </w:r>
      <w:r w:rsidR="007C28E1" w:rsidRPr="00331F1F">
        <w:rPr>
          <w:rFonts w:ascii="Times New Roman" w:hAnsi="Times New Roman" w:cs="Times New Roman"/>
          <w:b/>
          <w:iCs/>
          <w:sz w:val="24"/>
          <w:szCs w:val="24"/>
          <w:lang w:val="en-US"/>
        </w:rPr>
        <w:t xml:space="preserve"> </w:t>
      </w:r>
    </w:p>
    <w:p w14:paraId="4976174D" w14:textId="10463D15" w:rsidR="00CB33A3" w:rsidRDefault="00CB33A3" w:rsidP="00CF79DD">
      <w:pPr>
        <w:spacing w:line="360" w:lineRule="auto"/>
        <w:jc w:val="both"/>
        <w:rPr>
          <w:rFonts w:ascii="Times New Roman" w:hAnsi="Times New Roman" w:cs="Times New Roman"/>
          <w:sz w:val="24"/>
          <w:szCs w:val="24"/>
          <w:lang w:val="en-US"/>
        </w:rPr>
      </w:pPr>
      <w:r w:rsidRPr="00331F1F">
        <w:rPr>
          <w:rFonts w:ascii="Times New Roman" w:hAnsi="Times New Roman" w:cs="Times New Roman"/>
          <w:sz w:val="24"/>
          <w:szCs w:val="24"/>
          <w:lang w:val="en-US"/>
        </w:rPr>
        <w:t xml:space="preserve">The Janzen-Connell hypothesis </w:t>
      </w:r>
      <w:r w:rsidR="00186769">
        <w:rPr>
          <w:rFonts w:ascii="Times New Roman" w:hAnsi="Times New Roman" w:cs="Times New Roman"/>
          <w:sz w:val="24"/>
          <w:szCs w:val="24"/>
          <w:lang w:val="en-US"/>
        </w:rPr>
        <w:t>attempts to explain</w:t>
      </w:r>
      <w:r w:rsidRPr="00331F1F">
        <w:rPr>
          <w:rFonts w:ascii="Times New Roman" w:hAnsi="Times New Roman" w:cs="Times New Roman"/>
          <w:sz w:val="24"/>
          <w:szCs w:val="24"/>
          <w:lang w:val="en-US"/>
        </w:rPr>
        <w:t xml:space="preserve"> the large diversity of tree species in forests. </w:t>
      </w:r>
      <w:r w:rsidR="00186769">
        <w:rPr>
          <w:rFonts w:ascii="Times New Roman" w:hAnsi="Times New Roman" w:cs="Times New Roman"/>
          <w:sz w:val="24"/>
          <w:szCs w:val="24"/>
          <w:lang w:val="en-US"/>
        </w:rPr>
        <w:t>It states</w:t>
      </w:r>
      <w:r w:rsidRPr="00331F1F">
        <w:rPr>
          <w:rFonts w:ascii="Times New Roman" w:hAnsi="Times New Roman" w:cs="Times New Roman"/>
          <w:sz w:val="24"/>
          <w:szCs w:val="24"/>
          <w:lang w:val="en-US"/>
        </w:rPr>
        <w:t xml:space="preserve"> tree species may attract/accumulate species-specific enemies </w:t>
      </w:r>
      <w:r w:rsidR="00186769">
        <w:rPr>
          <w:rFonts w:ascii="Times New Roman" w:hAnsi="Times New Roman" w:cs="Times New Roman"/>
          <w:sz w:val="24"/>
          <w:szCs w:val="24"/>
          <w:lang w:val="en-US"/>
        </w:rPr>
        <w:t>over time,</w:t>
      </w:r>
      <w:r w:rsidRPr="00331F1F">
        <w:rPr>
          <w:rFonts w:ascii="Times New Roman" w:hAnsi="Times New Roman" w:cs="Times New Roman"/>
          <w:sz w:val="24"/>
          <w:szCs w:val="24"/>
          <w:lang w:val="en-US"/>
        </w:rPr>
        <w:t xml:space="preserve"> reducing the fitness of their </w:t>
      </w:r>
      <w:r w:rsidR="00186769">
        <w:rPr>
          <w:rFonts w:ascii="Times New Roman" w:hAnsi="Times New Roman" w:cs="Times New Roman"/>
          <w:sz w:val="24"/>
          <w:szCs w:val="24"/>
          <w:lang w:val="en-US"/>
        </w:rPr>
        <w:t xml:space="preserve">nearby </w:t>
      </w:r>
      <w:r w:rsidRPr="00331F1F">
        <w:rPr>
          <w:rFonts w:ascii="Times New Roman" w:hAnsi="Times New Roman" w:cs="Times New Roman"/>
          <w:sz w:val="24"/>
          <w:szCs w:val="24"/>
          <w:lang w:val="en-US"/>
        </w:rPr>
        <w:t>offspring</w:t>
      </w:r>
      <w:r w:rsidR="00186769">
        <w:rPr>
          <w:rFonts w:ascii="Times New Roman" w:hAnsi="Times New Roman" w:cs="Times New Roman"/>
          <w:sz w:val="24"/>
          <w:szCs w:val="24"/>
          <w:lang w:val="en-US"/>
        </w:rPr>
        <w:t xml:space="preserve"> and</w:t>
      </w:r>
      <w:r w:rsidRPr="00331F1F">
        <w:rPr>
          <w:rFonts w:ascii="Times New Roman" w:hAnsi="Times New Roman" w:cs="Times New Roman"/>
          <w:sz w:val="24"/>
          <w:szCs w:val="24"/>
          <w:lang w:val="en-US"/>
        </w:rPr>
        <w:t xml:space="preserve"> thereby controlling the species’ abundance. This mechanism </w:t>
      </w:r>
      <w:r w:rsidR="00186769">
        <w:rPr>
          <w:rFonts w:ascii="Times New Roman" w:hAnsi="Times New Roman" w:cs="Times New Roman"/>
          <w:sz w:val="24"/>
          <w:szCs w:val="24"/>
          <w:lang w:val="en-US"/>
        </w:rPr>
        <w:t xml:space="preserve">of population density regulating population growth </w:t>
      </w:r>
      <w:r w:rsidRPr="00331F1F">
        <w:rPr>
          <w:rFonts w:ascii="Times New Roman" w:hAnsi="Times New Roman" w:cs="Times New Roman"/>
          <w:sz w:val="24"/>
          <w:szCs w:val="24"/>
          <w:lang w:val="en-US"/>
        </w:rPr>
        <w:t xml:space="preserve">is </w:t>
      </w:r>
      <w:r w:rsidR="00186769">
        <w:rPr>
          <w:rFonts w:ascii="Times New Roman" w:hAnsi="Times New Roman" w:cs="Times New Roman"/>
          <w:sz w:val="24"/>
          <w:szCs w:val="24"/>
          <w:lang w:val="en-US"/>
        </w:rPr>
        <w:t>called</w:t>
      </w:r>
      <w:r w:rsidRPr="00331F1F">
        <w:rPr>
          <w:rFonts w:ascii="Times New Roman" w:hAnsi="Times New Roman" w:cs="Times New Roman"/>
          <w:sz w:val="24"/>
          <w:szCs w:val="24"/>
          <w:lang w:val="en-US"/>
        </w:rPr>
        <w:t xml:space="preserve"> Conspecific Negative Density Dependence (CNDD, </w:t>
      </w:r>
      <w:r w:rsidR="0097470D" w:rsidRPr="00331F1F">
        <w:rPr>
          <w:rFonts w:ascii="Times New Roman" w:hAnsi="Times New Roman" w:cs="Times New Roman"/>
          <w:sz w:val="24"/>
          <w:szCs w:val="24"/>
          <w:lang w:val="en-US"/>
        </w:rPr>
        <w:t>e.g.,</w:t>
      </w:r>
      <w:r w:rsidRPr="00331F1F">
        <w:rPr>
          <w:rFonts w:ascii="Times New Roman" w:hAnsi="Times New Roman" w:cs="Times New Roman"/>
          <w:sz w:val="24"/>
          <w:szCs w:val="24"/>
          <w:lang w:val="en-US"/>
        </w:rPr>
        <w:t xml:space="preserve"> Hülsmann et al. 202</w:t>
      </w:r>
      <w:r w:rsidR="00F51F84" w:rsidRPr="00331F1F">
        <w:rPr>
          <w:rFonts w:ascii="Times New Roman" w:hAnsi="Times New Roman" w:cs="Times New Roman"/>
          <w:sz w:val="24"/>
          <w:szCs w:val="24"/>
          <w:lang w:val="en-US"/>
        </w:rPr>
        <w:t>1</w:t>
      </w:r>
      <w:r w:rsidRPr="00331F1F">
        <w:rPr>
          <w:rFonts w:ascii="Times New Roman" w:hAnsi="Times New Roman" w:cs="Times New Roman"/>
          <w:sz w:val="24"/>
          <w:szCs w:val="24"/>
          <w:lang w:val="en-US"/>
        </w:rPr>
        <w:t xml:space="preserve">, Fig 1). Mathematical models suggest that when CNDD is relatively strong compared to density-dependent effects exerted by other species (Heterospecific </w:t>
      </w:r>
      <w:r w:rsidR="00186769">
        <w:rPr>
          <w:rFonts w:ascii="Times New Roman" w:hAnsi="Times New Roman" w:cs="Times New Roman"/>
          <w:sz w:val="24"/>
          <w:szCs w:val="24"/>
          <w:lang w:val="en-US"/>
        </w:rPr>
        <w:t xml:space="preserve">Negative </w:t>
      </w:r>
      <w:r w:rsidRPr="00331F1F">
        <w:rPr>
          <w:rFonts w:ascii="Times New Roman" w:hAnsi="Times New Roman" w:cs="Times New Roman"/>
          <w:sz w:val="24"/>
          <w:szCs w:val="24"/>
          <w:lang w:val="en-US"/>
        </w:rPr>
        <w:t>Density Dependence, HNDD), it can promote the coexistence of many tree species within a community (</w:t>
      </w:r>
      <w:r w:rsidR="0097470D" w:rsidRPr="00331F1F">
        <w:rPr>
          <w:rFonts w:ascii="Times New Roman" w:hAnsi="Times New Roman" w:cs="Times New Roman"/>
          <w:sz w:val="24"/>
          <w:szCs w:val="24"/>
          <w:lang w:val="en-US"/>
        </w:rPr>
        <w:t>e.g.,</w:t>
      </w:r>
      <w:r w:rsidRPr="00331F1F">
        <w:rPr>
          <w:rFonts w:ascii="Times New Roman" w:hAnsi="Times New Roman" w:cs="Times New Roman"/>
          <w:sz w:val="24"/>
          <w:szCs w:val="24"/>
          <w:lang w:val="en-US"/>
        </w:rPr>
        <w:t xml:space="preserve"> Eppinga et al. 2018).</w:t>
      </w:r>
    </w:p>
    <w:p w14:paraId="1E07329C" w14:textId="3C25D9BA" w:rsidR="00331F1F" w:rsidRDefault="00331F1F" w:rsidP="00331F1F">
      <w:pPr>
        <w:spacing w:line="360" w:lineRule="auto"/>
        <w:jc w:val="center"/>
        <w:rPr>
          <w:rFonts w:ascii="Times New Roman" w:hAnsi="Times New Roman" w:cs="Times New Roman"/>
          <w:sz w:val="24"/>
          <w:szCs w:val="24"/>
          <w:lang w:val="en-US"/>
        </w:rPr>
      </w:pPr>
      <w:r w:rsidRPr="00331F1F">
        <w:rPr>
          <w:rFonts w:ascii="Times New Roman" w:hAnsi="Times New Roman" w:cs="Times New Roman"/>
          <w:iCs/>
          <w:noProof/>
          <w:sz w:val="24"/>
          <w:szCs w:val="24"/>
          <w:lang w:eastAsia="de-CH"/>
        </w:rPr>
        <w:drawing>
          <wp:inline distT="0" distB="0" distL="0" distR="0" wp14:anchorId="064B2BBC" wp14:editId="1661FE2A">
            <wp:extent cx="3786503" cy="2604040"/>
            <wp:effectExtent l="12700" t="12700" r="11430" b="1270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503" cy="2604040"/>
                    </a:xfrm>
                    <a:prstGeom prst="rect">
                      <a:avLst/>
                    </a:prstGeom>
                    <a:noFill/>
                    <a:ln>
                      <a:solidFill>
                        <a:schemeClr val="tx1"/>
                      </a:solidFill>
                    </a:ln>
                  </pic:spPr>
                </pic:pic>
              </a:graphicData>
            </a:graphic>
          </wp:inline>
        </w:drawing>
      </w:r>
    </w:p>
    <w:p w14:paraId="131E79E2" w14:textId="30234B32" w:rsidR="0097470D" w:rsidRPr="0097470D" w:rsidRDefault="0097470D" w:rsidP="00B46645">
      <w:pPr>
        <w:spacing w:line="360" w:lineRule="auto"/>
        <w:jc w:val="both"/>
        <w:rPr>
          <w:rFonts w:ascii="Times New Roman" w:hAnsi="Times New Roman" w:cs="Times New Roman"/>
          <w:i/>
          <w:iCs/>
          <w:sz w:val="24"/>
          <w:szCs w:val="24"/>
          <w:lang w:val="en-US"/>
        </w:rPr>
      </w:pPr>
      <w:r w:rsidRPr="0097470D">
        <w:rPr>
          <w:rFonts w:ascii="Times New Roman" w:hAnsi="Times New Roman" w:cs="Times New Roman"/>
          <w:b/>
          <w:bCs/>
          <w:i/>
          <w:iCs/>
          <w:sz w:val="24"/>
          <w:szCs w:val="24"/>
          <w:lang w:val="en-US"/>
        </w:rPr>
        <w:t>Figure 1:</w:t>
      </w:r>
      <w:r w:rsidRPr="0097470D">
        <w:rPr>
          <w:rFonts w:ascii="Times New Roman" w:hAnsi="Times New Roman" w:cs="Times New Roman"/>
          <w:i/>
          <w:iCs/>
          <w:sz w:val="24"/>
          <w:szCs w:val="24"/>
          <w:lang w:val="en-US"/>
        </w:rPr>
        <w:t xml:space="preserve"> Mechanism of Conspecific Negative Density Dependence</w:t>
      </w:r>
      <w:r w:rsidR="006C379E">
        <w:rPr>
          <w:rFonts w:ascii="Times New Roman" w:hAnsi="Times New Roman" w:cs="Times New Roman"/>
          <w:i/>
          <w:iCs/>
          <w:sz w:val="24"/>
          <w:szCs w:val="24"/>
          <w:lang w:val="en-US"/>
        </w:rPr>
        <w:t xml:space="preserve"> with the Janzen-Connell approach, taken from Hülsmann et al., 2021. </w:t>
      </w:r>
      <w:r w:rsidR="00186769">
        <w:rPr>
          <w:rFonts w:ascii="Times New Roman" w:hAnsi="Times New Roman" w:cs="Times New Roman"/>
          <w:i/>
          <w:iCs/>
          <w:sz w:val="24"/>
          <w:szCs w:val="24"/>
          <w:lang w:val="en-US"/>
        </w:rPr>
        <w:t>This shows</w:t>
      </w:r>
      <w:r w:rsidR="00F43D35">
        <w:rPr>
          <w:rFonts w:ascii="Times New Roman" w:hAnsi="Times New Roman" w:cs="Times New Roman"/>
          <w:i/>
          <w:iCs/>
          <w:sz w:val="24"/>
          <w:szCs w:val="24"/>
          <w:lang w:val="en-US"/>
        </w:rPr>
        <w:t xml:space="preserve"> individual performance is a function of seedling density (blue) and adult distance (red).</w:t>
      </w:r>
    </w:p>
    <w:p w14:paraId="5268D24B" w14:textId="4AD2AFF5" w:rsidR="00CB33A3" w:rsidRDefault="00CB33A3" w:rsidP="0097470D">
      <w:pPr>
        <w:spacing w:line="360" w:lineRule="auto"/>
        <w:ind w:firstLine="708"/>
        <w:jc w:val="both"/>
        <w:rPr>
          <w:rFonts w:ascii="Times New Roman" w:hAnsi="Times New Roman" w:cs="Times New Roman"/>
          <w:sz w:val="24"/>
          <w:szCs w:val="24"/>
          <w:lang w:val="en-US"/>
        </w:rPr>
      </w:pPr>
      <w:r w:rsidRPr="00331F1F">
        <w:rPr>
          <w:rFonts w:ascii="Times New Roman" w:hAnsi="Times New Roman" w:cs="Times New Roman"/>
          <w:sz w:val="24"/>
          <w:szCs w:val="24"/>
          <w:lang w:val="en-US"/>
        </w:rPr>
        <w:t>Given the size and lifespan of trees, measuring CN</w:t>
      </w:r>
      <w:r w:rsidR="00354668" w:rsidRPr="00331F1F">
        <w:rPr>
          <w:rFonts w:ascii="Times New Roman" w:hAnsi="Times New Roman" w:cs="Times New Roman"/>
          <w:sz w:val="24"/>
          <w:szCs w:val="24"/>
          <w:lang w:val="en-US"/>
        </w:rPr>
        <w:t xml:space="preserve">DD and HNDD experimentally is challenging. </w:t>
      </w:r>
      <w:r w:rsidR="00AB6A85">
        <w:rPr>
          <w:rFonts w:ascii="Times New Roman" w:hAnsi="Times New Roman" w:cs="Times New Roman"/>
          <w:sz w:val="24"/>
          <w:szCs w:val="24"/>
          <w:lang w:val="en-US"/>
        </w:rPr>
        <w:t>P</w:t>
      </w:r>
      <w:r w:rsidR="00354668" w:rsidRPr="00331F1F">
        <w:rPr>
          <w:rFonts w:ascii="Times New Roman" w:hAnsi="Times New Roman" w:cs="Times New Roman"/>
          <w:sz w:val="24"/>
          <w:szCs w:val="24"/>
          <w:lang w:val="en-US"/>
        </w:rPr>
        <w:t>revious studies have infer</w:t>
      </w:r>
      <w:r w:rsidR="00186769">
        <w:rPr>
          <w:rFonts w:ascii="Times New Roman" w:hAnsi="Times New Roman" w:cs="Times New Roman"/>
          <w:sz w:val="24"/>
          <w:szCs w:val="24"/>
          <w:lang w:val="en-US"/>
        </w:rPr>
        <w:t>red</w:t>
      </w:r>
      <w:r w:rsidR="00354668" w:rsidRPr="00331F1F">
        <w:rPr>
          <w:rFonts w:ascii="Times New Roman" w:hAnsi="Times New Roman" w:cs="Times New Roman"/>
          <w:sz w:val="24"/>
          <w:szCs w:val="24"/>
          <w:lang w:val="en-US"/>
        </w:rPr>
        <w:t xml:space="preserve"> the strengths </w:t>
      </w:r>
      <w:r w:rsidR="00186769">
        <w:rPr>
          <w:rFonts w:ascii="Times New Roman" w:hAnsi="Times New Roman" w:cs="Times New Roman"/>
          <w:sz w:val="24"/>
          <w:szCs w:val="24"/>
          <w:lang w:val="en-US"/>
        </w:rPr>
        <w:t xml:space="preserve">of these effects </w:t>
      </w:r>
      <w:r w:rsidR="00354668" w:rsidRPr="00331F1F">
        <w:rPr>
          <w:rFonts w:ascii="Times New Roman" w:hAnsi="Times New Roman" w:cs="Times New Roman"/>
          <w:sz w:val="24"/>
          <w:szCs w:val="24"/>
          <w:lang w:val="en-US"/>
        </w:rPr>
        <w:t xml:space="preserve">from observational data of adult trees and seedlings </w:t>
      </w:r>
      <w:r w:rsidR="00186769">
        <w:rPr>
          <w:rFonts w:ascii="Times New Roman" w:hAnsi="Times New Roman" w:cs="Times New Roman"/>
          <w:sz w:val="24"/>
          <w:szCs w:val="24"/>
          <w:lang w:val="en-US"/>
        </w:rPr>
        <w:t xml:space="preserve">taken </w:t>
      </w:r>
      <w:r w:rsidR="00354668" w:rsidRPr="00331F1F">
        <w:rPr>
          <w:rFonts w:ascii="Times New Roman" w:hAnsi="Times New Roman" w:cs="Times New Roman"/>
          <w:sz w:val="24"/>
          <w:szCs w:val="24"/>
          <w:lang w:val="en-US"/>
        </w:rPr>
        <w:t>from forest inventory surveys (</w:t>
      </w:r>
      <w:r w:rsidR="00152C8B" w:rsidRPr="00331F1F">
        <w:rPr>
          <w:rFonts w:ascii="Times New Roman" w:hAnsi="Times New Roman" w:cs="Times New Roman"/>
          <w:sz w:val="24"/>
          <w:szCs w:val="24"/>
          <w:lang w:val="en-US"/>
        </w:rPr>
        <w:t>e.g.,</w:t>
      </w:r>
      <w:r w:rsidR="00354668" w:rsidRPr="00331F1F">
        <w:rPr>
          <w:rFonts w:ascii="Times New Roman" w:hAnsi="Times New Roman" w:cs="Times New Roman"/>
          <w:sz w:val="24"/>
          <w:szCs w:val="24"/>
          <w:lang w:val="en-US"/>
        </w:rPr>
        <w:t xml:space="preserve"> LaManna et al. 2017a,</w:t>
      </w:r>
      <w:r w:rsidR="00152C8B">
        <w:rPr>
          <w:rFonts w:ascii="Times New Roman" w:hAnsi="Times New Roman" w:cs="Times New Roman"/>
          <w:sz w:val="24"/>
          <w:szCs w:val="24"/>
          <w:lang w:val="en-US"/>
        </w:rPr>
        <w:t xml:space="preserve"> </w:t>
      </w:r>
      <w:r w:rsidR="00354668" w:rsidRPr="00331F1F">
        <w:rPr>
          <w:rFonts w:ascii="Times New Roman" w:hAnsi="Times New Roman" w:cs="Times New Roman"/>
          <w:sz w:val="24"/>
          <w:szCs w:val="24"/>
          <w:lang w:val="en-US"/>
        </w:rPr>
        <w:t xml:space="preserve">b). </w:t>
      </w:r>
      <w:r w:rsidR="00186769">
        <w:rPr>
          <w:rFonts w:ascii="Times New Roman" w:hAnsi="Times New Roman" w:cs="Times New Roman"/>
          <w:sz w:val="24"/>
          <w:szCs w:val="24"/>
          <w:lang w:val="en-US"/>
        </w:rPr>
        <w:t>Selecting</w:t>
      </w:r>
      <w:r w:rsidR="00186769" w:rsidRPr="00331F1F">
        <w:rPr>
          <w:rFonts w:ascii="Times New Roman" w:hAnsi="Times New Roman" w:cs="Times New Roman"/>
          <w:sz w:val="24"/>
          <w:szCs w:val="24"/>
          <w:lang w:val="en-US"/>
        </w:rPr>
        <w:t xml:space="preserve"> </w:t>
      </w:r>
      <w:r w:rsidR="00354668" w:rsidRPr="00331F1F">
        <w:rPr>
          <w:rFonts w:ascii="Times New Roman" w:hAnsi="Times New Roman" w:cs="Times New Roman"/>
          <w:sz w:val="24"/>
          <w:szCs w:val="24"/>
          <w:lang w:val="en-US"/>
        </w:rPr>
        <w:t>the appropriate analysis framework for this type of data is challenging, as both variables</w:t>
      </w:r>
      <w:r w:rsidR="00186769">
        <w:rPr>
          <w:rFonts w:ascii="Times New Roman" w:hAnsi="Times New Roman" w:cs="Times New Roman"/>
          <w:sz w:val="24"/>
          <w:szCs w:val="24"/>
          <w:lang w:val="en-US"/>
        </w:rPr>
        <w:t>:</w:t>
      </w:r>
      <w:r w:rsidR="00152C8B">
        <w:rPr>
          <w:rFonts w:ascii="Times New Roman" w:hAnsi="Times New Roman" w:cs="Times New Roman"/>
          <w:sz w:val="24"/>
          <w:szCs w:val="24"/>
          <w:lang w:val="en-US"/>
        </w:rPr>
        <w:t xml:space="preserve"> </w:t>
      </w:r>
      <w:r w:rsidR="00354668" w:rsidRPr="00331F1F">
        <w:rPr>
          <w:rFonts w:ascii="Times New Roman" w:hAnsi="Times New Roman" w:cs="Times New Roman"/>
          <w:sz w:val="24"/>
          <w:szCs w:val="24"/>
          <w:lang w:val="en-US"/>
        </w:rPr>
        <w:t>adult density and seedling density</w:t>
      </w:r>
      <w:r w:rsidR="00152C8B">
        <w:rPr>
          <w:rFonts w:ascii="Times New Roman" w:hAnsi="Times New Roman" w:cs="Times New Roman"/>
          <w:sz w:val="24"/>
          <w:szCs w:val="24"/>
          <w:lang w:val="en-US"/>
        </w:rPr>
        <w:t xml:space="preserve">, </w:t>
      </w:r>
      <w:r w:rsidR="00354668" w:rsidRPr="00331F1F">
        <w:rPr>
          <w:rFonts w:ascii="Times New Roman" w:hAnsi="Times New Roman" w:cs="Times New Roman"/>
          <w:sz w:val="24"/>
          <w:szCs w:val="24"/>
          <w:lang w:val="en-US"/>
        </w:rPr>
        <w:t>are error-prone proxies (</w:t>
      </w:r>
      <w:r w:rsidR="00853A6D" w:rsidRPr="00331F1F">
        <w:rPr>
          <w:rFonts w:ascii="Times New Roman" w:hAnsi="Times New Roman" w:cs="Times New Roman"/>
          <w:sz w:val="24"/>
          <w:szCs w:val="24"/>
          <w:lang w:val="en-US"/>
        </w:rPr>
        <w:t xml:space="preserve">Dickie et al. 2012; </w:t>
      </w:r>
      <w:r w:rsidR="00354668" w:rsidRPr="00331F1F">
        <w:rPr>
          <w:rFonts w:ascii="Times New Roman" w:hAnsi="Times New Roman" w:cs="Times New Roman"/>
          <w:sz w:val="24"/>
          <w:szCs w:val="24"/>
          <w:lang w:val="en-US"/>
        </w:rPr>
        <w:t>Detto et al. 2019)</w:t>
      </w:r>
      <w:r w:rsidR="00186769">
        <w:rPr>
          <w:rFonts w:ascii="Times New Roman" w:hAnsi="Times New Roman" w:cs="Times New Roman"/>
          <w:sz w:val="24"/>
          <w:szCs w:val="24"/>
          <w:lang w:val="en-US"/>
        </w:rPr>
        <w:t xml:space="preserve">. This error </w:t>
      </w:r>
      <w:r w:rsidR="00354668" w:rsidRPr="00331F1F">
        <w:rPr>
          <w:rFonts w:ascii="Times New Roman" w:hAnsi="Times New Roman" w:cs="Times New Roman"/>
          <w:sz w:val="24"/>
          <w:szCs w:val="24"/>
          <w:lang w:val="en-US"/>
        </w:rPr>
        <w:t>may lead to a regression dilution effect that interacts with the abundance of tree species investigated</w:t>
      </w:r>
      <w:r w:rsidR="00AB6A85">
        <w:rPr>
          <w:rFonts w:ascii="Times New Roman" w:hAnsi="Times New Roman" w:cs="Times New Roman"/>
          <w:sz w:val="24"/>
          <w:szCs w:val="24"/>
          <w:lang w:val="en-US"/>
        </w:rPr>
        <w:t xml:space="preserve"> </w:t>
      </w:r>
      <w:r w:rsidR="00354668" w:rsidRPr="00331F1F">
        <w:rPr>
          <w:rFonts w:ascii="Times New Roman" w:hAnsi="Times New Roman" w:cs="Times New Roman"/>
          <w:sz w:val="24"/>
          <w:szCs w:val="24"/>
          <w:lang w:val="en-US"/>
        </w:rPr>
        <w:t>(</w:t>
      </w:r>
      <w:r w:rsidR="00AB6A85">
        <w:rPr>
          <w:rFonts w:ascii="Times New Roman" w:hAnsi="Times New Roman" w:cs="Times New Roman"/>
          <w:sz w:val="24"/>
          <w:szCs w:val="24"/>
          <w:lang w:val="en-US"/>
        </w:rPr>
        <w:t xml:space="preserve">e.g., </w:t>
      </w:r>
      <w:r w:rsidR="00354668" w:rsidRPr="00331F1F">
        <w:rPr>
          <w:rFonts w:ascii="Times New Roman" w:hAnsi="Times New Roman" w:cs="Times New Roman"/>
          <w:sz w:val="24"/>
          <w:szCs w:val="24"/>
          <w:lang w:val="en-US"/>
        </w:rPr>
        <w:t>Hülsmann and Hartig 2018; Hülsmann et al. 202</w:t>
      </w:r>
      <w:r w:rsidR="00ED17A7" w:rsidRPr="00331F1F">
        <w:rPr>
          <w:rFonts w:ascii="Times New Roman" w:hAnsi="Times New Roman" w:cs="Times New Roman"/>
          <w:sz w:val="24"/>
          <w:szCs w:val="24"/>
          <w:lang w:val="en-US"/>
        </w:rPr>
        <w:t>1</w:t>
      </w:r>
      <w:r w:rsidR="00354668" w:rsidRPr="00331F1F">
        <w:rPr>
          <w:rFonts w:ascii="Times New Roman" w:hAnsi="Times New Roman" w:cs="Times New Roman"/>
          <w:sz w:val="24"/>
          <w:szCs w:val="24"/>
          <w:lang w:val="en-US"/>
        </w:rPr>
        <w:t xml:space="preserve">). </w:t>
      </w:r>
      <w:r w:rsidR="00AB6A85">
        <w:rPr>
          <w:rFonts w:ascii="Times New Roman" w:hAnsi="Times New Roman" w:cs="Times New Roman"/>
          <w:sz w:val="24"/>
          <w:szCs w:val="24"/>
          <w:lang w:val="en-US"/>
        </w:rPr>
        <w:t xml:space="preserve">We </w:t>
      </w:r>
      <w:r w:rsidR="00956DA2">
        <w:rPr>
          <w:rFonts w:ascii="Times New Roman" w:hAnsi="Times New Roman" w:cs="Times New Roman"/>
          <w:sz w:val="24"/>
          <w:szCs w:val="24"/>
          <w:lang w:val="en-US"/>
        </w:rPr>
        <w:t xml:space="preserve">will </w:t>
      </w:r>
      <w:r w:rsidR="009A764F" w:rsidRPr="00331F1F">
        <w:rPr>
          <w:rFonts w:ascii="Times New Roman" w:hAnsi="Times New Roman" w:cs="Times New Roman"/>
          <w:sz w:val="24"/>
          <w:szCs w:val="24"/>
          <w:lang w:val="en-US"/>
        </w:rPr>
        <w:t>develop a Bayesian analysis framework to study how error-prone proxies may propagate into the uncertainty of model estimates</w:t>
      </w:r>
      <w:r w:rsidR="005A62DA" w:rsidRPr="00331F1F">
        <w:rPr>
          <w:rFonts w:ascii="Times New Roman" w:hAnsi="Times New Roman" w:cs="Times New Roman"/>
          <w:sz w:val="24"/>
          <w:szCs w:val="24"/>
          <w:lang w:val="en-US"/>
        </w:rPr>
        <w:t xml:space="preserve">, and/or to provide a framework that integrates </w:t>
      </w:r>
      <w:r w:rsidR="00850A21" w:rsidRPr="00331F1F">
        <w:rPr>
          <w:rFonts w:ascii="Times New Roman" w:hAnsi="Times New Roman" w:cs="Times New Roman"/>
          <w:sz w:val="24"/>
          <w:szCs w:val="24"/>
          <w:lang w:val="en-US"/>
        </w:rPr>
        <w:lastRenderedPageBreak/>
        <w:t xml:space="preserve">these observations with </w:t>
      </w:r>
      <w:r w:rsidR="00B47B96">
        <w:rPr>
          <w:rFonts w:ascii="Times New Roman" w:hAnsi="Times New Roman" w:cs="Times New Roman"/>
          <w:sz w:val="24"/>
          <w:szCs w:val="24"/>
          <w:lang w:val="en-US"/>
        </w:rPr>
        <w:t xml:space="preserve">known </w:t>
      </w:r>
      <w:r w:rsidR="00850A21" w:rsidRPr="00331F1F">
        <w:rPr>
          <w:rFonts w:ascii="Times New Roman" w:hAnsi="Times New Roman" w:cs="Times New Roman"/>
          <w:sz w:val="24"/>
          <w:szCs w:val="24"/>
          <w:lang w:val="en-US"/>
        </w:rPr>
        <w:t>information from pot experiments with tree seedlings</w:t>
      </w:r>
      <w:r w:rsidR="009A764F" w:rsidRPr="00331F1F">
        <w:rPr>
          <w:rFonts w:ascii="Times New Roman" w:hAnsi="Times New Roman" w:cs="Times New Roman"/>
          <w:sz w:val="24"/>
          <w:szCs w:val="24"/>
          <w:lang w:val="en-US"/>
        </w:rPr>
        <w:t xml:space="preserve">. </w:t>
      </w:r>
      <w:r w:rsidR="00850A21" w:rsidRPr="00331F1F">
        <w:rPr>
          <w:rFonts w:ascii="Times New Roman" w:hAnsi="Times New Roman" w:cs="Times New Roman"/>
          <w:sz w:val="24"/>
          <w:szCs w:val="24"/>
          <w:lang w:val="en-US"/>
        </w:rPr>
        <w:t>Hence</w:t>
      </w:r>
      <w:r w:rsidR="009A764F" w:rsidRPr="00331F1F">
        <w:rPr>
          <w:rFonts w:ascii="Times New Roman" w:hAnsi="Times New Roman" w:cs="Times New Roman"/>
          <w:sz w:val="24"/>
          <w:szCs w:val="24"/>
          <w:lang w:val="en-US"/>
        </w:rPr>
        <w:t>,</w:t>
      </w:r>
      <w:r w:rsidR="00850A21" w:rsidRPr="00331F1F">
        <w:rPr>
          <w:rFonts w:ascii="Times New Roman" w:hAnsi="Times New Roman" w:cs="Times New Roman"/>
          <w:sz w:val="24"/>
          <w:szCs w:val="24"/>
          <w:lang w:val="en-US"/>
        </w:rPr>
        <w:t xml:space="preserve"> </w:t>
      </w:r>
      <w:r w:rsidR="00AB6A85">
        <w:rPr>
          <w:rFonts w:ascii="Times New Roman" w:hAnsi="Times New Roman" w:cs="Times New Roman"/>
          <w:sz w:val="24"/>
          <w:szCs w:val="24"/>
          <w:lang w:val="en-US"/>
        </w:rPr>
        <w:t>we</w:t>
      </w:r>
      <w:r w:rsidR="009A764F" w:rsidRPr="00331F1F">
        <w:rPr>
          <w:rFonts w:ascii="Times New Roman" w:hAnsi="Times New Roman" w:cs="Times New Roman"/>
          <w:sz w:val="24"/>
          <w:szCs w:val="24"/>
          <w:lang w:val="en-US"/>
        </w:rPr>
        <w:t xml:space="preserve"> aim to identify to what extent forest inventory-type </w:t>
      </w:r>
      <w:r w:rsidR="00850A21" w:rsidRPr="00331F1F">
        <w:rPr>
          <w:rFonts w:ascii="Times New Roman" w:hAnsi="Times New Roman" w:cs="Times New Roman"/>
          <w:sz w:val="24"/>
          <w:szCs w:val="24"/>
          <w:lang w:val="en-US"/>
        </w:rPr>
        <w:t xml:space="preserve">(and experimental) </w:t>
      </w:r>
      <w:r w:rsidR="009A764F" w:rsidRPr="00331F1F">
        <w:rPr>
          <w:rFonts w:ascii="Times New Roman" w:hAnsi="Times New Roman" w:cs="Times New Roman"/>
          <w:sz w:val="24"/>
          <w:szCs w:val="24"/>
          <w:lang w:val="en-US"/>
        </w:rPr>
        <w:t xml:space="preserve">data </w:t>
      </w:r>
      <w:r w:rsidR="00850A21" w:rsidRPr="00331F1F">
        <w:rPr>
          <w:rFonts w:ascii="Times New Roman" w:hAnsi="Times New Roman" w:cs="Times New Roman"/>
          <w:sz w:val="24"/>
          <w:szCs w:val="24"/>
          <w:lang w:val="en-US"/>
        </w:rPr>
        <w:t xml:space="preserve">are </w:t>
      </w:r>
      <w:r w:rsidR="009A764F" w:rsidRPr="00331F1F">
        <w:rPr>
          <w:rFonts w:ascii="Times New Roman" w:hAnsi="Times New Roman" w:cs="Times New Roman"/>
          <w:sz w:val="24"/>
          <w:szCs w:val="24"/>
          <w:lang w:val="en-US"/>
        </w:rPr>
        <w:t xml:space="preserve">able to </w:t>
      </w:r>
      <w:r w:rsidR="002362DE">
        <w:rPr>
          <w:rFonts w:ascii="Times New Roman" w:hAnsi="Times New Roman" w:cs="Times New Roman"/>
          <w:sz w:val="24"/>
          <w:szCs w:val="24"/>
          <w:lang w:val="en-US"/>
        </w:rPr>
        <w:t>accurately estimate</w:t>
      </w:r>
      <w:r w:rsidR="002362DE" w:rsidRPr="00331F1F">
        <w:rPr>
          <w:rFonts w:ascii="Times New Roman" w:hAnsi="Times New Roman" w:cs="Times New Roman"/>
          <w:sz w:val="24"/>
          <w:szCs w:val="24"/>
          <w:lang w:val="en-US"/>
        </w:rPr>
        <w:t xml:space="preserve"> </w:t>
      </w:r>
      <w:r w:rsidR="009A764F" w:rsidRPr="00331F1F">
        <w:rPr>
          <w:rFonts w:ascii="Times New Roman" w:hAnsi="Times New Roman" w:cs="Times New Roman"/>
          <w:sz w:val="24"/>
          <w:szCs w:val="24"/>
          <w:lang w:val="en-US"/>
        </w:rPr>
        <w:t xml:space="preserve">important parameters describing density dependence of tree species. </w:t>
      </w:r>
      <w:r w:rsidR="002362DE">
        <w:rPr>
          <w:rFonts w:ascii="Times New Roman" w:hAnsi="Times New Roman" w:cs="Times New Roman"/>
          <w:sz w:val="24"/>
          <w:szCs w:val="24"/>
          <w:lang w:val="en-US"/>
        </w:rPr>
        <w:t xml:space="preserve">We will start exploring this question with simulated data, and then apply the developed approaches to an </w:t>
      </w:r>
      <w:r w:rsidR="009A764F" w:rsidRPr="00331F1F">
        <w:rPr>
          <w:rFonts w:ascii="Times New Roman" w:hAnsi="Times New Roman" w:cs="Times New Roman"/>
          <w:sz w:val="24"/>
          <w:szCs w:val="24"/>
          <w:lang w:val="en-US"/>
        </w:rPr>
        <w:t>an empirical dataset</w:t>
      </w:r>
      <w:r w:rsidR="002362DE">
        <w:rPr>
          <w:rFonts w:ascii="Times New Roman" w:hAnsi="Times New Roman" w:cs="Times New Roman"/>
          <w:sz w:val="24"/>
          <w:szCs w:val="24"/>
          <w:lang w:val="en-US"/>
        </w:rPr>
        <w:t xml:space="preserve"> as well, which is described in further detail below</w:t>
      </w:r>
      <w:r w:rsidR="009A764F" w:rsidRPr="00331F1F">
        <w:rPr>
          <w:rFonts w:ascii="Times New Roman" w:hAnsi="Times New Roman" w:cs="Times New Roman"/>
          <w:sz w:val="24"/>
          <w:szCs w:val="24"/>
          <w:lang w:val="en-US"/>
        </w:rPr>
        <w:t>.</w:t>
      </w:r>
    </w:p>
    <w:p w14:paraId="04826ECD" w14:textId="77777777" w:rsidR="00B47B96" w:rsidRPr="00331F1F" w:rsidRDefault="00B47B96" w:rsidP="0097470D">
      <w:pPr>
        <w:spacing w:line="360" w:lineRule="auto"/>
        <w:ind w:firstLine="708"/>
        <w:jc w:val="both"/>
        <w:rPr>
          <w:rFonts w:ascii="Times New Roman" w:hAnsi="Times New Roman" w:cs="Times New Roman"/>
          <w:sz w:val="24"/>
          <w:szCs w:val="24"/>
          <w:lang w:val="en-US"/>
        </w:rPr>
      </w:pPr>
    </w:p>
    <w:p w14:paraId="62D93E76" w14:textId="08FA7E70" w:rsidR="00BB4558" w:rsidRPr="002362DE" w:rsidRDefault="00BB4558" w:rsidP="00331F1F">
      <w:pPr>
        <w:spacing w:line="360" w:lineRule="auto"/>
        <w:jc w:val="both"/>
        <w:rPr>
          <w:rFonts w:ascii="Times New Roman" w:hAnsi="Times New Roman" w:cs="Times New Roman"/>
          <w:b/>
          <w:bCs/>
          <w:noProof/>
          <w:sz w:val="24"/>
          <w:szCs w:val="24"/>
          <w:lang w:val="en-US" w:eastAsia="de-CH"/>
        </w:rPr>
      </w:pPr>
      <w:r w:rsidRPr="002362DE">
        <w:rPr>
          <w:rFonts w:ascii="Times New Roman" w:hAnsi="Times New Roman" w:cs="Times New Roman"/>
          <w:b/>
          <w:bCs/>
          <w:noProof/>
          <w:sz w:val="24"/>
          <w:szCs w:val="24"/>
          <w:lang w:val="en-US" w:eastAsia="de-CH"/>
        </w:rPr>
        <w:t>Dataset</w:t>
      </w:r>
    </w:p>
    <w:p w14:paraId="4BA579C2" w14:textId="43B51AF3" w:rsidR="00A440B1" w:rsidRDefault="008E0054" w:rsidP="00331F1F">
      <w:pPr>
        <w:spacing w:line="360" w:lineRule="auto"/>
        <w:jc w:val="both"/>
        <w:rPr>
          <w:rFonts w:ascii="Times New Roman" w:hAnsi="Times New Roman" w:cs="Times New Roman"/>
          <w:sz w:val="24"/>
          <w:szCs w:val="24"/>
          <w:lang w:val="en-US"/>
        </w:rPr>
      </w:pPr>
      <w:r w:rsidRPr="00331F1F">
        <w:rPr>
          <w:rFonts w:ascii="Times New Roman" w:hAnsi="Times New Roman" w:cs="Times New Roman"/>
          <w:sz w:val="24"/>
          <w:szCs w:val="24"/>
          <w:lang w:val="en-US"/>
        </w:rPr>
        <w:t xml:space="preserve">We </w:t>
      </w:r>
      <w:r w:rsidR="00B47B96">
        <w:rPr>
          <w:rFonts w:ascii="Times New Roman" w:hAnsi="Times New Roman" w:cs="Times New Roman"/>
          <w:sz w:val="24"/>
          <w:szCs w:val="24"/>
          <w:lang w:val="en-US"/>
        </w:rPr>
        <w:t xml:space="preserve">use </w:t>
      </w:r>
      <w:r w:rsidR="00BB4558">
        <w:rPr>
          <w:rFonts w:ascii="Times New Roman" w:hAnsi="Times New Roman" w:cs="Times New Roman"/>
          <w:sz w:val="24"/>
          <w:szCs w:val="24"/>
          <w:lang w:val="en-US"/>
        </w:rPr>
        <w:t xml:space="preserve">the </w:t>
      </w:r>
      <w:r w:rsidR="00BB4558" w:rsidRPr="00331F1F">
        <w:rPr>
          <w:rFonts w:ascii="Times New Roman" w:hAnsi="Times New Roman" w:cs="Times New Roman"/>
          <w:sz w:val="24"/>
          <w:szCs w:val="24"/>
          <w:lang w:val="en-US"/>
        </w:rPr>
        <w:t>US Forest Service’s Forest Inventory and Analysis (FIA) census from 2009</w:t>
      </w:r>
      <w:r w:rsidR="00FD5356">
        <w:rPr>
          <w:rFonts w:ascii="Times New Roman" w:hAnsi="Times New Roman" w:cs="Times New Roman"/>
          <w:sz w:val="24"/>
          <w:szCs w:val="24"/>
          <w:lang w:val="en-US"/>
        </w:rPr>
        <w:t xml:space="preserve"> (Fig. 2)</w:t>
      </w:r>
      <w:r w:rsidR="00BB4558">
        <w:rPr>
          <w:rFonts w:ascii="Times New Roman" w:hAnsi="Times New Roman" w:cs="Times New Roman"/>
          <w:sz w:val="24"/>
          <w:szCs w:val="24"/>
          <w:lang w:val="en-US"/>
        </w:rPr>
        <w:t xml:space="preserve"> </w:t>
      </w:r>
      <w:r w:rsidRPr="00331F1F">
        <w:rPr>
          <w:rFonts w:ascii="Times New Roman" w:hAnsi="Times New Roman" w:cs="Times New Roman"/>
          <w:sz w:val="24"/>
          <w:szCs w:val="24"/>
          <w:lang w:val="en-US"/>
        </w:rPr>
        <w:t>extracted by Johnson et al. (2012)</w:t>
      </w:r>
      <w:r w:rsidR="00850A21" w:rsidRPr="00331F1F">
        <w:rPr>
          <w:rFonts w:ascii="Times New Roman" w:hAnsi="Times New Roman" w:cs="Times New Roman"/>
          <w:sz w:val="24"/>
          <w:szCs w:val="24"/>
          <w:lang w:val="en-US"/>
        </w:rPr>
        <w:t xml:space="preserve"> and analyzed in Eppinga et al. (2018</w:t>
      </w:r>
      <w:r w:rsidR="00BB4558">
        <w:rPr>
          <w:rFonts w:ascii="Times New Roman" w:hAnsi="Times New Roman" w:cs="Times New Roman"/>
          <w:sz w:val="24"/>
          <w:szCs w:val="24"/>
          <w:lang w:val="en-US"/>
        </w:rPr>
        <w:t>).</w:t>
      </w:r>
      <w:r w:rsidR="00A440B1" w:rsidRPr="00331F1F">
        <w:rPr>
          <w:rFonts w:ascii="Times New Roman" w:hAnsi="Times New Roman" w:cs="Times New Roman"/>
          <w:sz w:val="24"/>
          <w:szCs w:val="24"/>
          <w:lang w:val="en-US"/>
        </w:rPr>
        <w:t xml:space="preserve"> All plots east of the 100</w:t>
      </w:r>
      <w:r w:rsidR="00A440B1" w:rsidRPr="00331F1F">
        <w:rPr>
          <w:rFonts w:ascii="Times New Roman" w:hAnsi="Times New Roman" w:cs="Times New Roman"/>
          <w:sz w:val="24"/>
          <w:szCs w:val="24"/>
          <w:vertAlign w:val="superscript"/>
          <w:lang w:val="en-US"/>
        </w:rPr>
        <w:t>th</w:t>
      </w:r>
      <w:r w:rsidR="00A440B1" w:rsidRPr="00331F1F">
        <w:rPr>
          <w:rFonts w:ascii="Times New Roman" w:hAnsi="Times New Roman" w:cs="Times New Roman"/>
          <w:sz w:val="24"/>
          <w:szCs w:val="24"/>
          <w:lang w:val="en-US"/>
        </w:rPr>
        <w:t xml:space="preserve"> meridian were selected (</w:t>
      </w:r>
      <w:r w:rsidRPr="00331F1F">
        <w:rPr>
          <w:rFonts w:ascii="Times New Roman" w:hAnsi="Times New Roman" w:cs="Times New Roman"/>
          <w:sz w:val="24"/>
          <w:szCs w:val="24"/>
          <w:lang w:val="en-US"/>
        </w:rPr>
        <w:t>~</w:t>
      </w:r>
      <w:r w:rsidR="00A440B1" w:rsidRPr="00331F1F">
        <w:rPr>
          <w:rFonts w:ascii="Times New Roman" w:hAnsi="Times New Roman" w:cs="Times New Roman"/>
          <w:sz w:val="24"/>
          <w:szCs w:val="24"/>
          <w:lang w:val="en-US"/>
        </w:rPr>
        <w:t>20</w:t>
      </w:r>
      <w:r w:rsidRPr="00331F1F">
        <w:rPr>
          <w:rFonts w:ascii="Times New Roman" w:hAnsi="Times New Roman" w:cs="Times New Roman"/>
          <w:sz w:val="24"/>
          <w:szCs w:val="24"/>
          <w:lang w:val="en-US"/>
        </w:rPr>
        <w:t>0</w:t>
      </w:r>
      <w:r w:rsidR="00A440B1" w:rsidRPr="00331F1F">
        <w:rPr>
          <w:rFonts w:ascii="Times New Roman" w:hAnsi="Times New Roman" w:cs="Times New Roman"/>
          <w:sz w:val="24"/>
          <w:szCs w:val="24"/>
          <w:lang w:val="en-US"/>
        </w:rPr>
        <w:t>,</w:t>
      </w:r>
      <w:r w:rsidRPr="00331F1F">
        <w:rPr>
          <w:rFonts w:ascii="Times New Roman" w:hAnsi="Times New Roman" w:cs="Times New Roman"/>
          <w:sz w:val="24"/>
          <w:szCs w:val="24"/>
          <w:lang w:val="en-US"/>
        </w:rPr>
        <w:t>000</w:t>
      </w:r>
      <w:r w:rsidR="00A440B1" w:rsidRPr="00331F1F">
        <w:rPr>
          <w:rFonts w:ascii="Times New Roman" w:hAnsi="Times New Roman" w:cs="Times New Roman"/>
          <w:sz w:val="24"/>
          <w:szCs w:val="24"/>
          <w:lang w:val="en-US"/>
        </w:rPr>
        <w:t xml:space="preserve"> plots</w:t>
      </w:r>
      <w:r w:rsidR="002B38E6" w:rsidRPr="00331F1F">
        <w:rPr>
          <w:rFonts w:ascii="Times New Roman" w:hAnsi="Times New Roman" w:cs="Times New Roman"/>
          <w:sz w:val="24"/>
          <w:szCs w:val="24"/>
          <w:lang w:val="en-US"/>
        </w:rPr>
        <w:t>, with ~7m radius</w:t>
      </w:r>
      <w:r w:rsidR="00A440B1" w:rsidRPr="00331F1F">
        <w:rPr>
          <w:rFonts w:ascii="Times New Roman" w:hAnsi="Times New Roman" w:cs="Times New Roman"/>
          <w:sz w:val="24"/>
          <w:szCs w:val="24"/>
          <w:lang w:val="en-US"/>
        </w:rPr>
        <w:t>).</w:t>
      </w:r>
      <w:r w:rsidR="009A257D" w:rsidRPr="00331F1F">
        <w:rPr>
          <w:rFonts w:ascii="Times New Roman" w:hAnsi="Times New Roman" w:cs="Times New Roman"/>
          <w:sz w:val="24"/>
          <w:szCs w:val="24"/>
          <w:lang w:val="en-US"/>
        </w:rPr>
        <w:t xml:space="preserve"> </w:t>
      </w:r>
      <w:r w:rsidRPr="00331F1F">
        <w:rPr>
          <w:rFonts w:ascii="Times New Roman" w:hAnsi="Times New Roman" w:cs="Times New Roman"/>
          <w:sz w:val="24"/>
          <w:szCs w:val="24"/>
          <w:lang w:val="en-US"/>
        </w:rPr>
        <w:t>At ~60,000 locations, 2-4 plots (referred to as subplots) were measured</w:t>
      </w:r>
      <w:r w:rsidR="00B64BAA">
        <w:rPr>
          <w:rFonts w:ascii="Times New Roman" w:hAnsi="Times New Roman" w:cs="Times New Roman"/>
          <w:sz w:val="24"/>
          <w:szCs w:val="24"/>
          <w:lang w:val="en-US"/>
        </w:rPr>
        <w:t xml:space="preserve"> (Fig. 2b)</w:t>
      </w:r>
      <w:r w:rsidRPr="00331F1F">
        <w:rPr>
          <w:rFonts w:ascii="Times New Roman" w:hAnsi="Times New Roman" w:cs="Times New Roman"/>
          <w:sz w:val="24"/>
          <w:szCs w:val="24"/>
          <w:lang w:val="en-US"/>
        </w:rPr>
        <w:t>. In total, the plots contain</w:t>
      </w:r>
      <w:r w:rsidR="009A257D" w:rsidRPr="00331F1F">
        <w:rPr>
          <w:rFonts w:ascii="Times New Roman" w:hAnsi="Times New Roman" w:cs="Times New Roman"/>
          <w:sz w:val="24"/>
          <w:szCs w:val="24"/>
          <w:lang w:val="en-US"/>
        </w:rPr>
        <w:t xml:space="preserve"> </w:t>
      </w:r>
      <w:r w:rsidRPr="00331F1F">
        <w:rPr>
          <w:rFonts w:ascii="Times New Roman" w:hAnsi="Times New Roman" w:cs="Times New Roman"/>
          <w:sz w:val="24"/>
          <w:szCs w:val="24"/>
          <w:lang w:val="en-US"/>
        </w:rPr>
        <w:t>~1,000,000</w:t>
      </w:r>
      <w:r w:rsidR="009A257D" w:rsidRPr="00331F1F">
        <w:rPr>
          <w:rFonts w:ascii="Times New Roman" w:hAnsi="Times New Roman" w:cs="Times New Roman"/>
          <w:sz w:val="24"/>
          <w:szCs w:val="24"/>
          <w:lang w:val="en-US"/>
        </w:rPr>
        <w:t xml:space="preserve"> observations, where an observation could be: i) the </w:t>
      </w:r>
      <w:r w:rsidRPr="00331F1F">
        <w:rPr>
          <w:rFonts w:ascii="Times New Roman" w:hAnsi="Times New Roman" w:cs="Times New Roman"/>
          <w:sz w:val="24"/>
          <w:szCs w:val="24"/>
          <w:lang w:val="en-US"/>
        </w:rPr>
        <w:t>number of</w:t>
      </w:r>
      <w:r w:rsidR="009A257D" w:rsidRPr="00331F1F">
        <w:rPr>
          <w:rFonts w:ascii="Times New Roman" w:hAnsi="Times New Roman" w:cs="Times New Roman"/>
          <w:sz w:val="24"/>
          <w:szCs w:val="24"/>
          <w:lang w:val="en-US"/>
        </w:rPr>
        <w:t xml:space="preserve"> adult</w:t>
      </w:r>
      <w:r w:rsidRPr="00331F1F">
        <w:rPr>
          <w:rFonts w:ascii="Times New Roman" w:hAnsi="Times New Roman" w:cs="Times New Roman"/>
          <w:sz w:val="24"/>
          <w:szCs w:val="24"/>
          <w:lang w:val="en-US"/>
        </w:rPr>
        <w:t>s of a</w:t>
      </w:r>
      <w:r w:rsidR="009A257D" w:rsidRPr="00331F1F">
        <w:rPr>
          <w:rFonts w:ascii="Times New Roman" w:hAnsi="Times New Roman" w:cs="Times New Roman"/>
          <w:sz w:val="24"/>
          <w:szCs w:val="24"/>
          <w:lang w:val="en-US"/>
        </w:rPr>
        <w:t xml:space="preserve"> tree species </w:t>
      </w:r>
      <w:r w:rsidRPr="00331F1F">
        <w:rPr>
          <w:rFonts w:ascii="Times New Roman" w:hAnsi="Times New Roman" w:cs="Times New Roman"/>
          <w:sz w:val="24"/>
          <w:szCs w:val="24"/>
          <w:lang w:val="en-US"/>
        </w:rPr>
        <w:t xml:space="preserve">in the plot </w:t>
      </w:r>
      <w:r w:rsidR="009A257D" w:rsidRPr="00331F1F">
        <w:rPr>
          <w:rFonts w:ascii="Times New Roman" w:hAnsi="Times New Roman" w:cs="Times New Roman"/>
          <w:sz w:val="24"/>
          <w:szCs w:val="24"/>
          <w:lang w:val="en-US"/>
        </w:rPr>
        <w:t xml:space="preserve">and </w:t>
      </w:r>
      <w:r w:rsidRPr="00331F1F">
        <w:rPr>
          <w:rFonts w:ascii="Times New Roman" w:hAnsi="Times New Roman" w:cs="Times New Roman"/>
          <w:sz w:val="24"/>
          <w:szCs w:val="24"/>
          <w:lang w:val="en-US"/>
        </w:rPr>
        <w:t>their</w:t>
      </w:r>
      <w:r w:rsidR="009A257D" w:rsidRPr="00331F1F">
        <w:rPr>
          <w:rFonts w:ascii="Times New Roman" w:hAnsi="Times New Roman" w:cs="Times New Roman"/>
          <w:sz w:val="24"/>
          <w:szCs w:val="24"/>
          <w:lang w:val="en-US"/>
        </w:rPr>
        <w:t xml:space="preserve"> </w:t>
      </w:r>
      <w:r w:rsidRPr="00331F1F">
        <w:rPr>
          <w:rFonts w:ascii="Times New Roman" w:hAnsi="Times New Roman" w:cs="Times New Roman"/>
          <w:sz w:val="24"/>
          <w:szCs w:val="24"/>
          <w:lang w:val="en-US"/>
        </w:rPr>
        <w:t>cumulative basal area</w:t>
      </w:r>
      <w:r w:rsidR="009A257D" w:rsidRPr="00331F1F">
        <w:rPr>
          <w:rFonts w:ascii="Times New Roman" w:hAnsi="Times New Roman" w:cs="Times New Roman"/>
          <w:sz w:val="24"/>
          <w:szCs w:val="24"/>
          <w:lang w:val="en-US"/>
        </w:rPr>
        <w:t xml:space="preserve">; ii) the number of tree seedlings of a particular </w:t>
      </w:r>
      <w:r w:rsidRPr="00331F1F">
        <w:rPr>
          <w:rFonts w:ascii="Times New Roman" w:hAnsi="Times New Roman" w:cs="Times New Roman"/>
          <w:sz w:val="24"/>
          <w:szCs w:val="24"/>
          <w:lang w:val="en-US"/>
        </w:rPr>
        <w:t xml:space="preserve">tree </w:t>
      </w:r>
      <w:r w:rsidR="009A257D" w:rsidRPr="00331F1F">
        <w:rPr>
          <w:rFonts w:ascii="Times New Roman" w:hAnsi="Times New Roman" w:cs="Times New Roman"/>
          <w:sz w:val="24"/>
          <w:szCs w:val="24"/>
          <w:lang w:val="en-US"/>
        </w:rPr>
        <w:t xml:space="preserve">species in a </w:t>
      </w:r>
      <w:r w:rsidR="002B38E6" w:rsidRPr="00331F1F">
        <w:rPr>
          <w:rFonts w:ascii="Times New Roman" w:hAnsi="Times New Roman" w:cs="Times New Roman"/>
          <w:sz w:val="24"/>
          <w:szCs w:val="24"/>
          <w:lang w:val="en-US"/>
        </w:rPr>
        <w:t>~</w:t>
      </w:r>
      <w:r w:rsidRPr="00331F1F">
        <w:rPr>
          <w:rFonts w:ascii="Times New Roman" w:hAnsi="Times New Roman" w:cs="Times New Roman"/>
          <w:sz w:val="24"/>
          <w:szCs w:val="24"/>
          <w:lang w:val="en-US"/>
        </w:rPr>
        <w:t>2m radius micro</w:t>
      </w:r>
      <w:r w:rsidR="009A257D" w:rsidRPr="00331F1F">
        <w:rPr>
          <w:rFonts w:ascii="Times New Roman" w:hAnsi="Times New Roman" w:cs="Times New Roman"/>
          <w:sz w:val="24"/>
          <w:szCs w:val="24"/>
          <w:lang w:val="en-US"/>
        </w:rPr>
        <w:t>plot.</w:t>
      </w:r>
      <w:r w:rsidR="002B38E6" w:rsidRPr="00331F1F">
        <w:rPr>
          <w:rFonts w:ascii="Times New Roman" w:hAnsi="Times New Roman" w:cs="Times New Roman"/>
          <w:sz w:val="24"/>
          <w:szCs w:val="24"/>
          <w:lang w:val="en-US"/>
        </w:rPr>
        <w:t xml:space="preserve"> </w:t>
      </w:r>
      <w:r w:rsidR="002E0FCF">
        <w:rPr>
          <w:rFonts w:ascii="Times New Roman" w:hAnsi="Times New Roman" w:cs="Times New Roman"/>
          <w:sz w:val="24"/>
          <w:szCs w:val="24"/>
          <w:lang w:val="en-US"/>
        </w:rPr>
        <w:t>P</w:t>
      </w:r>
      <w:r w:rsidR="009A257D" w:rsidRPr="00331F1F">
        <w:rPr>
          <w:rFonts w:ascii="Times New Roman" w:hAnsi="Times New Roman" w:cs="Times New Roman"/>
          <w:sz w:val="24"/>
          <w:szCs w:val="24"/>
          <w:lang w:val="en-US"/>
        </w:rPr>
        <w:t>revious studies</w:t>
      </w:r>
      <w:r w:rsidR="002B38E6" w:rsidRPr="00331F1F">
        <w:rPr>
          <w:rFonts w:ascii="Times New Roman" w:hAnsi="Times New Roman" w:cs="Times New Roman"/>
          <w:sz w:val="24"/>
          <w:szCs w:val="24"/>
          <w:lang w:val="en-US"/>
        </w:rPr>
        <w:t xml:space="preserve"> quantified </w:t>
      </w:r>
      <w:r w:rsidR="00D815D0" w:rsidRPr="00331F1F">
        <w:rPr>
          <w:rFonts w:ascii="Times New Roman" w:hAnsi="Times New Roman" w:cs="Times New Roman"/>
          <w:sz w:val="24"/>
          <w:szCs w:val="24"/>
          <w:lang w:val="en-US"/>
        </w:rPr>
        <w:t xml:space="preserve">strengths of </w:t>
      </w:r>
      <w:r w:rsidR="002B38E6" w:rsidRPr="00331F1F">
        <w:rPr>
          <w:rFonts w:ascii="Times New Roman" w:hAnsi="Times New Roman" w:cs="Times New Roman"/>
          <w:sz w:val="24"/>
          <w:szCs w:val="24"/>
          <w:lang w:val="en-US"/>
        </w:rPr>
        <w:t>conspecific and heterospecific density dependence of all tree species for each grid cell in which they were observed ≥ 30 times</w:t>
      </w:r>
      <w:r w:rsidR="009A257D" w:rsidRPr="00331F1F">
        <w:rPr>
          <w:rFonts w:ascii="Times New Roman" w:hAnsi="Times New Roman" w:cs="Times New Roman"/>
          <w:sz w:val="24"/>
          <w:szCs w:val="24"/>
          <w:lang w:val="en-US"/>
        </w:rPr>
        <w:t>.</w:t>
      </w:r>
    </w:p>
    <w:p w14:paraId="0F8D9D92" w14:textId="55C85C79" w:rsidR="00CF79DD" w:rsidRDefault="00FD5356" w:rsidP="00B46645">
      <w:pPr>
        <w:spacing w:line="360" w:lineRule="auto"/>
        <w:jc w:val="both"/>
        <w:rPr>
          <w:rFonts w:ascii="Times New Roman" w:hAnsi="Times New Roman" w:cs="Times New Roman"/>
          <w:i/>
          <w:iCs/>
          <w:sz w:val="24"/>
          <w:szCs w:val="24"/>
          <w:lang w:val="en-US"/>
        </w:rPr>
      </w:pPr>
      <w:r>
        <w:rPr>
          <w:rFonts w:ascii="Times New Roman" w:hAnsi="Times New Roman" w:cs="Times New Roman"/>
          <w:noProof/>
          <w:sz w:val="24"/>
          <w:szCs w:val="24"/>
          <w:lang w:eastAsia="de-CH"/>
        </w:rPr>
        <w:drawing>
          <wp:inline distT="0" distB="0" distL="0" distR="0" wp14:anchorId="35E7DE4C" wp14:editId="4D998B56">
            <wp:extent cx="5760720" cy="2759075"/>
            <wp:effectExtent l="0" t="0" r="508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r w:rsidR="00BB4558">
        <w:rPr>
          <w:rFonts w:ascii="Times New Roman" w:hAnsi="Times New Roman" w:cs="Times New Roman"/>
          <w:sz w:val="24"/>
          <w:szCs w:val="24"/>
          <w:lang w:val="en-US"/>
        </w:rPr>
        <w:br/>
      </w:r>
      <w:r w:rsidR="00BB4558" w:rsidRPr="0097470D">
        <w:rPr>
          <w:rFonts w:ascii="Times New Roman" w:hAnsi="Times New Roman" w:cs="Times New Roman"/>
          <w:b/>
          <w:bCs/>
          <w:i/>
          <w:iCs/>
          <w:sz w:val="24"/>
          <w:szCs w:val="24"/>
          <w:lang w:val="en-US"/>
        </w:rPr>
        <w:t xml:space="preserve">Figure </w:t>
      </w:r>
      <w:r w:rsidR="00BB4558">
        <w:rPr>
          <w:rFonts w:ascii="Times New Roman" w:hAnsi="Times New Roman" w:cs="Times New Roman"/>
          <w:b/>
          <w:bCs/>
          <w:i/>
          <w:iCs/>
          <w:sz w:val="24"/>
          <w:szCs w:val="24"/>
          <w:lang w:val="en-US"/>
        </w:rPr>
        <w:t>2</w:t>
      </w:r>
      <w:r w:rsidR="00BB4558" w:rsidRPr="0097470D">
        <w:rPr>
          <w:rFonts w:ascii="Times New Roman" w:hAnsi="Times New Roman" w:cs="Times New Roman"/>
          <w:b/>
          <w:bCs/>
          <w:i/>
          <w:iCs/>
          <w:sz w:val="24"/>
          <w:szCs w:val="24"/>
          <w:lang w:val="en-US"/>
        </w:rPr>
        <w:t>:</w:t>
      </w:r>
      <w:r w:rsidR="00BB4558" w:rsidRPr="0097470D">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a) Representation of </w:t>
      </w:r>
      <w:r w:rsidRPr="00FD5356">
        <w:rPr>
          <w:rFonts w:ascii="Times New Roman" w:hAnsi="Times New Roman" w:cs="Times New Roman"/>
          <w:i/>
          <w:iCs/>
          <w:sz w:val="24"/>
          <w:szCs w:val="24"/>
          <w:lang w:val="en-US"/>
        </w:rPr>
        <w:t>Forest Inventory and Analysis (FIA)</w:t>
      </w:r>
      <w:r>
        <w:rPr>
          <w:rFonts w:ascii="Times New Roman" w:hAnsi="Times New Roman" w:cs="Times New Roman"/>
          <w:i/>
          <w:iCs/>
          <w:sz w:val="24"/>
          <w:szCs w:val="24"/>
          <w:lang w:val="en-US"/>
        </w:rPr>
        <w:t xml:space="preserve"> dataset from </w:t>
      </w:r>
      <w:r w:rsidRPr="00FD5356">
        <w:rPr>
          <w:rFonts w:ascii="Times New Roman" w:hAnsi="Times New Roman" w:cs="Times New Roman"/>
          <w:i/>
          <w:iCs/>
          <w:sz w:val="24"/>
          <w:szCs w:val="24"/>
          <w:lang w:val="en-US"/>
        </w:rPr>
        <w:t>US Forest Service</w:t>
      </w:r>
      <w:r>
        <w:rPr>
          <w:rFonts w:ascii="Times New Roman" w:hAnsi="Times New Roman" w:cs="Times New Roman"/>
          <w:i/>
          <w:iCs/>
          <w:sz w:val="24"/>
          <w:szCs w:val="24"/>
          <w:lang w:val="en-US"/>
        </w:rPr>
        <w:t>. b) Schematics of sampling within the whole dataset with subplots and microplots</w:t>
      </w:r>
      <w:r w:rsidR="00956DA2">
        <w:rPr>
          <w:rFonts w:ascii="Times New Roman" w:hAnsi="Times New Roman" w:cs="Times New Roman"/>
          <w:i/>
          <w:iCs/>
          <w:sz w:val="24"/>
          <w:szCs w:val="24"/>
          <w:lang w:val="en-US"/>
        </w:rPr>
        <w:t xml:space="preserve"> (Johnson et al. 2012)</w:t>
      </w:r>
      <w:r>
        <w:rPr>
          <w:rFonts w:ascii="Times New Roman" w:hAnsi="Times New Roman" w:cs="Times New Roman"/>
          <w:i/>
          <w:iCs/>
          <w:sz w:val="24"/>
          <w:szCs w:val="24"/>
          <w:lang w:val="en-US"/>
        </w:rPr>
        <w:t>.</w:t>
      </w:r>
    </w:p>
    <w:p w14:paraId="47E0B206" w14:textId="77777777" w:rsidR="00CF79DD" w:rsidRDefault="00CF79DD">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22EF5886" w14:textId="77777777" w:rsidR="00CF79DD" w:rsidRDefault="002B38E6" w:rsidP="00331F1F">
      <w:pPr>
        <w:spacing w:line="360" w:lineRule="auto"/>
        <w:jc w:val="both"/>
        <w:rPr>
          <w:rFonts w:ascii="Times New Roman" w:hAnsi="Times New Roman" w:cs="Times New Roman"/>
          <w:b/>
          <w:iCs/>
          <w:sz w:val="24"/>
          <w:szCs w:val="24"/>
          <w:lang w:val="en-US"/>
        </w:rPr>
      </w:pPr>
      <w:r w:rsidRPr="00CF79DD">
        <w:rPr>
          <w:rFonts w:ascii="Times New Roman" w:hAnsi="Times New Roman" w:cs="Times New Roman"/>
          <w:b/>
          <w:iCs/>
          <w:sz w:val="24"/>
          <w:szCs w:val="24"/>
          <w:lang w:val="en-US"/>
        </w:rPr>
        <w:lastRenderedPageBreak/>
        <w:t>Previous approach</w:t>
      </w:r>
    </w:p>
    <w:p w14:paraId="1DB14F3F" w14:textId="05C44B23" w:rsidR="002B38E6" w:rsidRDefault="00B47B96" w:rsidP="00331F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2B38E6" w:rsidRPr="00331F1F">
        <w:rPr>
          <w:rFonts w:ascii="Times New Roman" w:hAnsi="Times New Roman" w:cs="Times New Roman"/>
          <w:sz w:val="24"/>
          <w:szCs w:val="24"/>
          <w:lang w:val="en-US"/>
        </w:rPr>
        <w:t>revious studies used</w:t>
      </w:r>
      <w:r w:rsidR="00582A7A" w:rsidRPr="00331F1F">
        <w:rPr>
          <w:rFonts w:ascii="Times New Roman" w:hAnsi="Times New Roman" w:cs="Times New Roman"/>
          <w:sz w:val="24"/>
          <w:szCs w:val="24"/>
          <w:lang w:val="en-US"/>
        </w:rPr>
        <w:t xml:space="preserve"> a standard regression approach (</w:t>
      </w:r>
      <w:r w:rsidR="00203FFC" w:rsidRPr="00331F1F">
        <w:rPr>
          <w:rFonts w:ascii="Times New Roman" w:hAnsi="Times New Roman" w:cs="Times New Roman"/>
          <w:sz w:val="24"/>
          <w:szCs w:val="24"/>
          <w:lang w:val="en-US"/>
        </w:rPr>
        <w:t>exponential fit with negative binomial error distribution</w:t>
      </w:r>
      <w:r w:rsidR="00582A7A" w:rsidRPr="00331F1F">
        <w:rPr>
          <w:rFonts w:ascii="Times New Roman" w:hAnsi="Times New Roman" w:cs="Times New Roman"/>
          <w:sz w:val="24"/>
          <w:szCs w:val="24"/>
          <w:lang w:val="en-US"/>
        </w:rPr>
        <w:t xml:space="preserve">), using adult species density (either </w:t>
      </w:r>
      <w:r w:rsidR="00B46645">
        <w:rPr>
          <w:rFonts w:ascii="Times New Roman" w:hAnsi="Times New Roman" w:cs="Times New Roman"/>
          <w:sz w:val="24"/>
          <w:szCs w:val="24"/>
          <w:lang w:val="en-US"/>
        </w:rPr>
        <w:t>number of</w:t>
      </w:r>
      <w:r w:rsidR="00582A7A" w:rsidRPr="00331F1F">
        <w:rPr>
          <w:rFonts w:ascii="Times New Roman" w:hAnsi="Times New Roman" w:cs="Times New Roman"/>
          <w:sz w:val="24"/>
          <w:szCs w:val="24"/>
          <w:lang w:val="en-US"/>
        </w:rPr>
        <w:t xml:space="preserve"> adults in plot or cumulative basal area in plot) as </w:t>
      </w:r>
      <w:r w:rsidR="00956DA2">
        <w:rPr>
          <w:rFonts w:ascii="Times New Roman" w:hAnsi="Times New Roman" w:cs="Times New Roman"/>
          <w:sz w:val="24"/>
          <w:szCs w:val="24"/>
          <w:lang w:val="en-US"/>
        </w:rPr>
        <w:t xml:space="preserve">an </w:t>
      </w:r>
      <w:r w:rsidR="00582A7A" w:rsidRPr="00331F1F">
        <w:rPr>
          <w:rFonts w:ascii="Times New Roman" w:hAnsi="Times New Roman" w:cs="Times New Roman"/>
          <w:sz w:val="24"/>
          <w:szCs w:val="24"/>
          <w:lang w:val="en-US"/>
        </w:rPr>
        <w:t>independent variable and seedling density (</w:t>
      </w:r>
      <w:r w:rsidR="00B46645">
        <w:rPr>
          <w:rFonts w:ascii="Times New Roman" w:hAnsi="Times New Roman" w:cs="Times New Roman"/>
          <w:sz w:val="24"/>
          <w:szCs w:val="24"/>
          <w:lang w:val="en-US"/>
        </w:rPr>
        <w:t xml:space="preserve">number of </w:t>
      </w:r>
      <w:r w:rsidR="00582A7A" w:rsidRPr="00331F1F">
        <w:rPr>
          <w:rFonts w:ascii="Times New Roman" w:hAnsi="Times New Roman" w:cs="Times New Roman"/>
          <w:sz w:val="24"/>
          <w:szCs w:val="24"/>
          <w:lang w:val="en-US"/>
        </w:rPr>
        <w:t>individuals in the subplot) as the dependent variable</w:t>
      </w:r>
      <w:r w:rsidR="00D72844">
        <w:rPr>
          <w:rFonts w:ascii="Times New Roman" w:hAnsi="Times New Roman" w:cs="Times New Roman"/>
          <w:sz w:val="24"/>
          <w:szCs w:val="24"/>
          <w:lang w:val="en-US"/>
        </w:rPr>
        <w:t xml:space="preserve"> (Fig. 3)</w:t>
      </w:r>
      <w:r w:rsidR="00582A7A" w:rsidRPr="00331F1F">
        <w:rPr>
          <w:rFonts w:ascii="Times New Roman" w:hAnsi="Times New Roman" w:cs="Times New Roman"/>
          <w:sz w:val="24"/>
          <w:szCs w:val="24"/>
          <w:lang w:val="en-US"/>
        </w:rPr>
        <w:t xml:space="preserve">. </w:t>
      </w:r>
      <w:r w:rsidR="00600EDF" w:rsidRPr="00331F1F">
        <w:rPr>
          <w:rFonts w:ascii="Times New Roman" w:hAnsi="Times New Roman" w:cs="Times New Roman"/>
          <w:sz w:val="24"/>
          <w:szCs w:val="24"/>
          <w:lang w:val="en-US"/>
        </w:rPr>
        <w:t xml:space="preserve">Conspecific effects were determined using seedling data and adult data from the same species; only an average heterospecific effect was calculated, </w:t>
      </w:r>
      <w:r w:rsidR="00B46645" w:rsidRPr="00331F1F">
        <w:rPr>
          <w:rFonts w:ascii="Times New Roman" w:hAnsi="Times New Roman" w:cs="Times New Roman"/>
          <w:sz w:val="24"/>
          <w:szCs w:val="24"/>
          <w:lang w:val="en-US"/>
        </w:rPr>
        <w:t>i.e.,</w:t>
      </w:r>
      <w:r w:rsidR="00600EDF" w:rsidRPr="00331F1F">
        <w:rPr>
          <w:rFonts w:ascii="Times New Roman" w:hAnsi="Times New Roman" w:cs="Times New Roman"/>
          <w:sz w:val="24"/>
          <w:szCs w:val="24"/>
          <w:lang w:val="en-US"/>
        </w:rPr>
        <w:t xml:space="preserve"> summing the adult data of all competitor tree species to create one aggregate independent variable.</w:t>
      </w:r>
      <w:r w:rsidR="006479CB" w:rsidRPr="00331F1F">
        <w:rPr>
          <w:rFonts w:ascii="Times New Roman" w:hAnsi="Times New Roman" w:cs="Times New Roman"/>
          <w:sz w:val="24"/>
          <w:szCs w:val="24"/>
          <w:lang w:val="en-US"/>
        </w:rPr>
        <w:t xml:space="preserve"> </w:t>
      </w:r>
      <w:r w:rsidR="00890DFA" w:rsidRPr="00331F1F">
        <w:rPr>
          <w:rFonts w:ascii="Times New Roman" w:hAnsi="Times New Roman" w:cs="Times New Roman"/>
          <w:sz w:val="24"/>
          <w:szCs w:val="24"/>
          <w:lang w:val="en-US"/>
        </w:rPr>
        <w:t xml:space="preserve">The </w:t>
      </w:r>
      <w:r w:rsidR="00EB37CA" w:rsidRPr="00331F1F">
        <w:rPr>
          <w:rFonts w:ascii="Times New Roman" w:hAnsi="Times New Roman" w:cs="Times New Roman"/>
          <w:sz w:val="24"/>
          <w:szCs w:val="24"/>
          <w:lang w:val="en-US"/>
        </w:rPr>
        <w:t>slope parameter</w:t>
      </w:r>
      <w:r w:rsidR="00890DFA" w:rsidRPr="00331F1F">
        <w:rPr>
          <w:rFonts w:ascii="Times New Roman" w:hAnsi="Times New Roman" w:cs="Times New Roman"/>
          <w:sz w:val="24"/>
          <w:szCs w:val="24"/>
          <w:lang w:val="en-US"/>
        </w:rPr>
        <w:t xml:space="preserve"> was then used as a measure of density dependence, with n</w:t>
      </w:r>
      <w:r w:rsidR="006479CB" w:rsidRPr="00331F1F">
        <w:rPr>
          <w:rFonts w:ascii="Times New Roman" w:hAnsi="Times New Roman" w:cs="Times New Roman"/>
          <w:sz w:val="24"/>
          <w:szCs w:val="24"/>
          <w:lang w:val="en-US"/>
        </w:rPr>
        <w:t>egative slopes</w:t>
      </w:r>
      <w:r w:rsidR="00890DFA" w:rsidRPr="00331F1F">
        <w:rPr>
          <w:rFonts w:ascii="Times New Roman" w:hAnsi="Times New Roman" w:cs="Times New Roman"/>
          <w:sz w:val="24"/>
          <w:szCs w:val="24"/>
          <w:lang w:val="en-US"/>
        </w:rPr>
        <w:t xml:space="preserve"> indicating </w:t>
      </w:r>
      <w:r w:rsidR="006479CB" w:rsidRPr="00331F1F">
        <w:rPr>
          <w:rFonts w:ascii="Times New Roman" w:hAnsi="Times New Roman" w:cs="Times New Roman"/>
          <w:sz w:val="24"/>
          <w:szCs w:val="24"/>
          <w:lang w:val="en-US"/>
        </w:rPr>
        <w:t xml:space="preserve">negative density dependence, </w:t>
      </w:r>
      <w:r w:rsidR="00890DFA" w:rsidRPr="00331F1F">
        <w:rPr>
          <w:rFonts w:ascii="Times New Roman" w:hAnsi="Times New Roman" w:cs="Times New Roman"/>
          <w:sz w:val="24"/>
          <w:szCs w:val="24"/>
          <w:lang w:val="en-US"/>
        </w:rPr>
        <w:t xml:space="preserve">and </w:t>
      </w:r>
      <w:r w:rsidR="006479CB" w:rsidRPr="00331F1F">
        <w:rPr>
          <w:rFonts w:ascii="Times New Roman" w:hAnsi="Times New Roman" w:cs="Times New Roman"/>
          <w:sz w:val="24"/>
          <w:szCs w:val="24"/>
          <w:lang w:val="en-US"/>
        </w:rPr>
        <w:t>positive slopes</w:t>
      </w:r>
      <w:r w:rsidR="00890DFA" w:rsidRPr="00331F1F">
        <w:rPr>
          <w:rFonts w:ascii="Times New Roman" w:hAnsi="Times New Roman" w:cs="Times New Roman"/>
          <w:sz w:val="24"/>
          <w:szCs w:val="24"/>
          <w:lang w:val="en-US"/>
        </w:rPr>
        <w:t xml:space="preserve"> indicating </w:t>
      </w:r>
      <w:r w:rsidR="006479CB" w:rsidRPr="00331F1F">
        <w:rPr>
          <w:rFonts w:ascii="Times New Roman" w:hAnsi="Times New Roman" w:cs="Times New Roman"/>
          <w:sz w:val="24"/>
          <w:szCs w:val="24"/>
          <w:lang w:val="en-US"/>
        </w:rPr>
        <w:t>positive density dependence.</w:t>
      </w:r>
    </w:p>
    <w:p w14:paraId="03A40C71" w14:textId="1AEE53F8" w:rsidR="00B46645" w:rsidRDefault="00B46645" w:rsidP="00B46645">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de-CH"/>
        </w:rPr>
        <w:drawing>
          <wp:inline distT="0" distB="0" distL="0" distR="0" wp14:anchorId="6BF48DED" wp14:editId="745972C0">
            <wp:extent cx="5760720" cy="3074670"/>
            <wp:effectExtent l="0" t="0" r="508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44180C4A" w14:textId="14C162DC" w:rsidR="00B46645" w:rsidRDefault="00B46645" w:rsidP="00B46645">
      <w:pPr>
        <w:spacing w:line="360" w:lineRule="auto"/>
        <w:jc w:val="both"/>
        <w:rPr>
          <w:rFonts w:ascii="Times New Roman" w:hAnsi="Times New Roman" w:cs="Times New Roman"/>
          <w:i/>
          <w:iCs/>
          <w:sz w:val="24"/>
          <w:szCs w:val="24"/>
          <w:lang w:val="en-US"/>
        </w:rPr>
      </w:pPr>
      <w:r w:rsidRPr="0097470D">
        <w:rPr>
          <w:rFonts w:ascii="Times New Roman" w:hAnsi="Times New Roman" w:cs="Times New Roman"/>
          <w:b/>
          <w:bCs/>
          <w:i/>
          <w:iCs/>
          <w:sz w:val="24"/>
          <w:szCs w:val="24"/>
          <w:lang w:val="en-US"/>
        </w:rPr>
        <w:t xml:space="preserve">Figure </w:t>
      </w:r>
      <w:r>
        <w:rPr>
          <w:rFonts w:ascii="Times New Roman" w:hAnsi="Times New Roman" w:cs="Times New Roman"/>
          <w:b/>
          <w:bCs/>
          <w:i/>
          <w:iCs/>
          <w:sz w:val="24"/>
          <w:szCs w:val="24"/>
          <w:lang w:val="en-US"/>
        </w:rPr>
        <w:t>3</w:t>
      </w:r>
      <w:r w:rsidRPr="0097470D">
        <w:rPr>
          <w:rFonts w:ascii="Times New Roman" w:hAnsi="Times New Roman" w:cs="Times New Roman"/>
          <w:b/>
          <w:bCs/>
          <w:i/>
          <w:iCs/>
          <w:sz w:val="24"/>
          <w:szCs w:val="24"/>
          <w:lang w:val="en-US"/>
        </w:rPr>
        <w:t>:</w:t>
      </w:r>
      <w:r w:rsidRPr="0097470D">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Previous approach to calculate number of seedlings proportional to cumulative basal area from</w:t>
      </w:r>
      <w:r w:rsidR="002362DE">
        <w:rPr>
          <w:rFonts w:ascii="Times New Roman" w:hAnsi="Times New Roman" w:cs="Times New Roman"/>
          <w:i/>
          <w:iCs/>
          <w:sz w:val="24"/>
          <w:szCs w:val="24"/>
          <w:lang w:val="en-US"/>
        </w:rPr>
        <w:t xml:space="preserve"> Eppinga et al. 2018. </w:t>
      </w:r>
    </w:p>
    <w:p w14:paraId="33A2BB11" w14:textId="77777777" w:rsidR="002E0FCF" w:rsidRPr="00B46645" w:rsidRDefault="002E0FCF" w:rsidP="00B46645">
      <w:pPr>
        <w:spacing w:line="360" w:lineRule="auto"/>
        <w:jc w:val="both"/>
        <w:rPr>
          <w:rFonts w:ascii="Times New Roman" w:hAnsi="Times New Roman" w:cs="Times New Roman"/>
          <w:i/>
          <w:iCs/>
          <w:sz w:val="24"/>
          <w:szCs w:val="24"/>
          <w:lang w:val="en-US"/>
        </w:rPr>
      </w:pPr>
    </w:p>
    <w:p w14:paraId="05BDEA60" w14:textId="77777777" w:rsidR="00F01F62" w:rsidRDefault="00F01F62">
      <w:pPr>
        <w:rPr>
          <w:rFonts w:ascii="Times New Roman" w:hAnsi="Times New Roman" w:cs="Times New Roman"/>
          <w:b/>
          <w:iCs/>
          <w:sz w:val="24"/>
          <w:szCs w:val="24"/>
          <w:lang w:val="en-US"/>
        </w:rPr>
      </w:pPr>
      <w:r w:rsidRPr="00F01F62">
        <w:rPr>
          <w:rFonts w:ascii="Times New Roman" w:hAnsi="Times New Roman" w:cs="Times New Roman"/>
          <w:b/>
          <w:iCs/>
          <w:sz w:val="24"/>
          <w:szCs w:val="24"/>
          <w:lang w:val="en-US"/>
        </w:rPr>
        <w:t>Current approach</w:t>
      </w:r>
    </w:p>
    <w:p w14:paraId="486361F4" w14:textId="1E6E593B"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Our first goal is to incorporate the uncertainty in the observed adult densities within the statistical modelling framework. Specifically, we aim to describe adult density as a latent variable, that is estimated from the observational data. We started with an extremely,  (over)simplified situation where ‘true adult density’ is known, and the density-dependent effect is deterministic. We would expect that the latent variable approach would work very well in this extremely oversimplified case. Then, we can add complexity in steps to see whether the approach keeps doing well. In the extremely simplified case, three levels of spatial scale are considered:</w:t>
      </w:r>
    </w:p>
    <w:p w14:paraId="27B1B352" w14:textId="77777777" w:rsidR="00F01F62" w:rsidRPr="00A644F2" w:rsidRDefault="00F01F62" w:rsidP="00F01F62">
      <w:pPr>
        <w:pStyle w:val="ListParagraph"/>
        <w:numPr>
          <w:ilvl w:val="0"/>
          <w:numId w:val="3"/>
        </w:numPr>
        <w:jc w:val="both"/>
        <w:rPr>
          <w:rFonts w:ascii="Courier New" w:hAnsi="Courier New" w:cs="Courier New"/>
          <w:b/>
          <w:i/>
          <w:sz w:val="20"/>
          <w:szCs w:val="20"/>
          <w:lang w:val="en-US"/>
        </w:rPr>
      </w:pPr>
      <w:r>
        <w:rPr>
          <w:rFonts w:ascii="Courier New" w:hAnsi="Courier New" w:cs="Courier New"/>
          <w:b/>
          <w:sz w:val="20"/>
          <w:szCs w:val="20"/>
          <w:lang w:val="en-US"/>
        </w:rPr>
        <w:lastRenderedPageBreak/>
        <w:t>The (continental-scale) species pool: all species that are in the system, their densities supposedly relatively homogeneously distributed (created species abundances using the function of Lisa and Florian)</w:t>
      </w:r>
    </w:p>
    <w:p w14:paraId="673916EB" w14:textId="6E783C71" w:rsidR="00F01F62" w:rsidRPr="00D0736C" w:rsidRDefault="00F01F62" w:rsidP="00F01F62">
      <w:pPr>
        <w:pStyle w:val="ListParagraph"/>
        <w:numPr>
          <w:ilvl w:val="0"/>
          <w:numId w:val="3"/>
        </w:numPr>
        <w:jc w:val="both"/>
        <w:rPr>
          <w:rFonts w:ascii="Courier New" w:hAnsi="Courier New" w:cs="Courier New"/>
          <w:b/>
          <w:i/>
          <w:sz w:val="20"/>
          <w:szCs w:val="20"/>
          <w:lang w:val="en-US"/>
        </w:rPr>
      </w:pPr>
      <w:r>
        <w:rPr>
          <w:rFonts w:ascii="Courier New" w:hAnsi="Courier New" w:cs="Courier New"/>
          <w:b/>
          <w:sz w:val="20"/>
          <w:szCs w:val="20"/>
          <w:lang w:val="en-US"/>
        </w:rPr>
        <w:t xml:space="preserve">The community-scale species pool: this is the actual composition of species that determines the density-dependent effects on seedlings.(For now, </w:t>
      </w:r>
      <w:r>
        <w:rPr>
          <w:rFonts w:ascii="Courier New" w:hAnsi="Courier New" w:cs="Courier New"/>
          <w:b/>
          <w:sz w:val="20"/>
          <w:szCs w:val="20"/>
          <w:lang w:val="en-US"/>
        </w:rPr>
        <w:t>we</w:t>
      </w:r>
      <w:r>
        <w:rPr>
          <w:rFonts w:ascii="Courier New" w:hAnsi="Courier New" w:cs="Courier New"/>
          <w:b/>
          <w:sz w:val="20"/>
          <w:szCs w:val="20"/>
          <w:lang w:val="en-US"/>
        </w:rPr>
        <w:t xml:space="preserve"> only considered conspecific effects). </w:t>
      </w:r>
    </w:p>
    <w:p w14:paraId="1431362D" w14:textId="77777777" w:rsidR="00F01F62" w:rsidRPr="00D0736C" w:rsidRDefault="00F01F62" w:rsidP="00F01F62">
      <w:pPr>
        <w:pStyle w:val="ListParagraph"/>
        <w:numPr>
          <w:ilvl w:val="0"/>
          <w:numId w:val="3"/>
        </w:numPr>
        <w:jc w:val="both"/>
        <w:rPr>
          <w:rFonts w:ascii="Courier New" w:hAnsi="Courier New" w:cs="Courier New"/>
          <w:b/>
          <w:i/>
          <w:sz w:val="20"/>
          <w:szCs w:val="20"/>
          <w:lang w:val="en-US"/>
        </w:rPr>
      </w:pPr>
      <w:r>
        <w:rPr>
          <w:rFonts w:ascii="Courier New" w:hAnsi="Courier New" w:cs="Courier New"/>
          <w:b/>
          <w:i/>
          <w:noProof/>
          <w:sz w:val="20"/>
          <w:szCs w:val="20"/>
          <w:lang w:eastAsia="de-CH"/>
        </w:rPr>
        <mc:AlternateContent>
          <mc:Choice Requires="wpg">
            <w:drawing>
              <wp:anchor distT="0" distB="0" distL="114300" distR="114300" simplePos="0" relativeHeight="251659264" behindDoc="0" locked="0" layoutInCell="1" allowOverlap="1" wp14:anchorId="0E30ACC8" wp14:editId="7519E2CD">
                <wp:simplePos x="0" y="0"/>
                <wp:positionH relativeFrom="margin">
                  <wp:align>right</wp:align>
                </wp:positionH>
                <wp:positionV relativeFrom="paragraph">
                  <wp:posOffset>594995</wp:posOffset>
                </wp:positionV>
                <wp:extent cx="5346700" cy="3733800"/>
                <wp:effectExtent l="0" t="0" r="25400" b="19050"/>
                <wp:wrapNone/>
                <wp:docPr id="202" name="Group 202"/>
                <wp:cNvGraphicFramePr/>
                <a:graphic xmlns:a="http://schemas.openxmlformats.org/drawingml/2006/main">
                  <a:graphicData uri="http://schemas.microsoft.com/office/word/2010/wordprocessingGroup">
                    <wpg:wgp>
                      <wpg:cNvGrpSpPr/>
                      <wpg:grpSpPr>
                        <a:xfrm>
                          <a:off x="0" y="0"/>
                          <a:ext cx="5346700" cy="3733800"/>
                          <a:chOff x="0" y="0"/>
                          <a:chExt cx="5346700" cy="3733800"/>
                        </a:xfrm>
                      </wpg:grpSpPr>
                      <wps:wsp>
                        <wps:cNvPr id="27" name="Rectangle 27"/>
                        <wps:cNvSpPr/>
                        <wps:spPr>
                          <a:xfrm>
                            <a:off x="0" y="0"/>
                            <a:ext cx="5346700" cy="3733800"/>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44700" y="463550"/>
                            <a:ext cx="2832100" cy="2584450"/>
                          </a:xfrm>
                          <a:prstGeom prst="ellipse">
                            <a:avLst/>
                          </a:prstGeom>
                          <a:solidFill>
                            <a:srgbClr val="7030A0">
                              <a:alpha val="37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870200" y="1136650"/>
                            <a:ext cx="1187450" cy="1111250"/>
                          </a:xfrm>
                          <a:prstGeom prst="ellipse">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9850" y="88900"/>
                            <a:ext cx="1581150" cy="431800"/>
                          </a:xfrm>
                          <a:prstGeom prst="rect">
                            <a:avLst/>
                          </a:prstGeom>
                          <a:solidFill>
                            <a:schemeClr val="lt1"/>
                          </a:solidFill>
                          <a:ln w="6350">
                            <a:solidFill>
                              <a:prstClr val="black"/>
                            </a:solidFill>
                          </a:ln>
                        </wps:spPr>
                        <wps:txbx>
                          <w:txbxContent>
                            <w:p w14:paraId="753E3A05" w14:textId="77777777" w:rsidR="00F01F62" w:rsidRPr="00D0736C" w:rsidRDefault="00F01F62" w:rsidP="00F01F62">
                              <w:pPr>
                                <w:rPr>
                                  <w:i/>
                                  <w:lang w:val="en-US"/>
                                </w:rPr>
                              </w:pPr>
                              <w:r w:rsidRPr="00D0736C">
                                <w:rPr>
                                  <w:i/>
                                  <w:lang w:val="en-US"/>
                                </w:rPr>
                                <w:t>Continental species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2774950" y="2635250"/>
                            <a:ext cx="1549400" cy="476250"/>
                          </a:xfrm>
                          <a:prstGeom prst="rect">
                            <a:avLst/>
                          </a:prstGeom>
                          <a:solidFill>
                            <a:schemeClr val="lt1"/>
                          </a:solidFill>
                          <a:ln w="6350">
                            <a:solidFill>
                              <a:prstClr val="black"/>
                            </a:solidFill>
                          </a:ln>
                        </wps:spPr>
                        <wps:txbx>
                          <w:txbxContent>
                            <w:p w14:paraId="3EF4B315" w14:textId="1E302749" w:rsidR="00F01F62" w:rsidRPr="00D0736C" w:rsidRDefault="00F01F62" w:rsidP="00F01F62">
                              <w:pPr>
                                <w:rPr>
                                  <w:i/>
                                  <w:lang w:val="en-US"/>
                                </w:rPr>
                              </w:pPr>
                              <w:r w:rsidRPr="00D0736C">
                                <w:rPr>
                                  <w:i/>
                                  <w:lang w:val="en-US"/>
                                </w:rPr>
                                <w:t>Community pool</w:t>
                              </w:r>
                              <w:r>
                                <w:rPr>
                                  <w:i/>
                                  <w:lang w:val="en-US"/>
                                </w:rPr>
                                <w:t xml:space="preserve"> (exerting the effect)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721100" y="1746250"/>
                            <a:ext cx="1320800" cy="635000"/>
                          </a:xfrm>
                          <a:prstGeom prst="rect">
                            <a:avLst/>
                          </a:prstGeom>
                          <a:solidFill>
                            <a:schemeClr val="lt1"/>
                          </a:solidFill>
                          <a:ln w="6350">
                            <a:solidFill>
                              <a:prstClr val="black"/>
                            </a:solidFill>
                          </a:ln>
                        </wps:spPr>
                        <wps:txbx>
                          <w:txbxContent>
                            <w:p w14:paraId="731B7ABF" w14:textId="0028678F" w:rsidR="00F01F62" w:rsidRPr="00D0736C" w:rsidRDefault="00F01F62" w:rsidP="00F01F62">
                              <w:pPr>
                                <w:rPr>
                                  <w:i/>
                                  <w:lang w:val="en-US"/>
                                </w:rPr>
                              </w:pPr>
                              <w:r w:rsidRPr="00D0736C">
                                <w:rPr>
                                  <w:i/>
                                  <w:lang w:val="en-US"/>
                                </w:rPr>
                                <w:t>Observed pool</w:t>
                              </w:r>
                              <w:r>
                                <w:rPr>
                                  <w:i/>
                                  <w:lang w:val="en-US"/>
                                </w:rPr>
                                <w:t xml:space="preserve"> (sample of community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3079750" y="571500"/>
                            <a:ext cx="838200" cy="1028700"/>
                          </a:xfrm>
                          <a:prstGeom prst="rect">
                            <a:avLst/>
                          </a:prstGeom>
                          <a:solidFill>
                            <a:schemeClr val="lt1"/>
                          </a:solidFill>
                          <a:ln w="6350">
                            <a:solidFill>
                              <a:prstClr val="black"/>
                            </a:solidFill>
                          </a:ln>
                        </wps:spPr>
                        <wps:txbx>
                          <w:txbxContent>
                            <w:p w14:paraId="53F75CD4" w14:textId="49F93622" w:rsidR="00F01F62" w:rsidRPr="00D0736C" w:rsidRDefault="00F01F62" w:rsidP="00F01F62">
                              <w:pPr>
                                <w:rPr>
                                  <w:color w:val="FF0000"/>
                                  <w:lang w:val="en-US"/>
                                </w:rPr>
                              </w:pPr>
                              <w:r w:rsidRPr="00D0736C">
                                <w:rPr>
                                  <w:color w:val="FF0000"/>
                                  <w:lang w:val="en-US"/>
                                </w:rPr>
                                <w:t>1000 seedling</w:t>
                              </w:r>
                              <w:r w:rsidRPr="00F01F62">
                                <w:rPr>
                                  <w:color w:val="FF0000"/>
                                  <w:lang w:val="en-US"/>
                                </w:rPr>
                                <w:t>s</w:t>
                              </w:r>
                              <w:r w:rsidRPr="00D0736C">
                                <w:rPr>
                                  <w:color w:val="FF0000"/>
                                  <w:lang w:val="en-US"/>
                                </w:rPr>
                                <w:t xml:space="preserve"> – conspecific density effects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flipV="1">
                            <a:off x="2374900" y="1758950"/>
                            <a:ext cx="838200" cy="603250"/>
                          </a:xfrm>
                          <a:prstGeom prst="straightConnector1">
                            <a:avLst/>
                          </a:prstGeom>
                          <a:ln w="539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H="1">
                            <a:off x="3657600" y="1041400"/>
                            <a:ext cx="755650" cy="692150"/>
                          </a:xfrm>
                          <a:prstGeom prst="straightConnector1">
                            <a:avLst/>
                          </a:prstGeom>
                          <a:ln w="539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wps:spPr>
                          <a:xfrm>
                            <a:off x="2368550" y="1168400"/>
                            <a:ext cx="774700" cy="546100"/>
                          </a:xfrm>
                          <a:prstGeom prst="straightConnector1">
                            <a:avLst/>
                          </a:prstGeom>
                          <a:ln w="539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H="1" flipV="1">
                            <a:off x="3492500" y="1841500"/>
                            <a:ext cx="190500" cy="692150"/>
                          </a:xfrm>
                          <a:prstGeom prst="straightConnector1">
                            <a:avLst/>
                          </a:prstGeom>
                          <a:ln w="539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30ACC8" id="Group 202" o:spid="_x0000_s1026" style="position:absolute;left:0;text-align:left;margin-left:369.8pt;margin-top:46.85pt;width:421pt;height:294pt;z-index:251659264;mso-position-horizontal:right;mso-position-horizontal-relative:margin" coordsize="53467,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">
                <v:rect id="Rectangle 27" o:spid="_x0000_s1027" style="position:absolute;width:53467;height:37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" fillcolor="#5b9bd5 [3204]" strokecolor="#1f4d78 [1604]" strokeweight="1pt">
                  <v:fill opacity="6682f"/>
                </v:rect>
                <v:oval id="Oval 12" o:spid="_x0000_s1028" style="position:absolute;left:20447;top:4635;width:28321;height:25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" fillcolor="#7030a0" strokecolor="#1f4d78 [1604]" strokeweight="1pt">
                  <v:fill opacity="24158f"/>
                  <v:stroke joinstyle="miter"/>
                </v:oval>
                <v:oval id="Oval 11" o:spid="_x0000_s1029" style="position:absolute;left:28702;top:11366;width:11874;height:11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" fillcolor="#5b9bd5 [3204]" strokecolor="#1f4d78 [1604]" strokeweight="1pt">
                  <v:fill opacity="22873f"/>
                  <v:stroke joinstyle="miter"/>
                </v:oval>
                <v:shapetype id="_x0000_t202" coordsize="21600,21600" o:spt="202" path="m,l,21600r21600,l21600,xe">
                  <v:stroke joinstyle="miter"/>
                  <v:path gradientshapeok="t" o:connecttype="rect"/>
                </v:shapetype>
                <v:shape id="Text Box 194" o:spid="_x0000_s1030" type="#_x0000_t202" style="position:absolute;left:698;top:889;width:15812;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753E3A05" w14:textId="77777777" w:rsidR="00F01F62" w:rsidRPr="00D0736C" w:rsidRDefault="00F01F62" w:rsidP="00F01F62">
                        <w:pPr>
                          <w:rPr>
                            <w:i/>
                            <w:lang w:val="en-US"/>
                          </w:rPr>
                        </w:pPr>
                        <w:r w:rsidRPr="00D0736C">
                          <w:rPr>
                            <w:i/>
                            <w:lang w:val="en-US"/>
                          </w:rPr>
                          <w:t>Continental species pool</w:t>
                        </w:r>
                      </w:p>
                    </w:txbxContent>
                  </v:textbox>
                </v:shape>
                <v:shape id="Text Box 195" o:spid="_x0000_s1031" type="#_x0000_t202" style="position:absolute;left:27749;top:26352;width:15494;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3EF4B315" w14:textId="1E302749" w:rsidR="00F01F62" w:rsidRPr="00D0736C" w:rsidRDefault="00F01F62" w:rsidP="00F01F62">
                        <w:pPr>
                          <w:rPr>
                            <w:i/>
                            <w:lang w:val="en-US"/>
                          </w:rPr>
                        </w:pPr>
                        <w:r w:rsidRPr="00D0736C">
                          <w:rPr>
                            <w:i/>
                            <w:lang w:val="en-US"/>
                          </w:rPr>
                          <w:t>Community pool</w:t>
                        </w:r>
                        <w:r>
                          <w:rPr>
                            <w:i/>
                            <w:lang w:val="en-US"/>
                          </w:rPr>
                          <w:t xml:space="preserve"> (exerting the effect)</w:t>
                        </w:r>
                      </w:p>
                    </w:txbxContent>
                  </v:textbox>
                </v:shape>
                <v:shape id="Text Box 196" o:spid="_x0000_s1032" type="#_x0000_t202" style="position:absolute;left:37211;top:17462;width:13208;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731B7ABF" w14:textId="0028678F" w:rsidR="00F01F62" w:rsidRPr="00D0736C" w:rsidRDefault="00F01F62" w:rsidP="00F01F62">
                        <w:pPr>
                          <w:rPr>
                            <w:i/>
                            <w:lang w:val="en-US"/>
                          </w:rPr>
                        </w:pPr>
                        <w:r w:rsidRPr="00D0736C">
                          <w:rPr>
                            <w:i/>
                            <w:lang w:val="en-US"/>
                          </w:rPr>
                          <w:t>Observed pool</w:t>
                        </w:r>
                        <w:r>
                          <w:rPr>
                            <w:i/>
                            <w:lang w:val="en-US"/>
                          </w:rPr>
                          <w:t xml:space="preserve"> (sample of community pool)</w:t>
                        </w:r>
                      </w:p>
                    </w:txbxContent>
                  </v:textbox>
                </v:shape>
                <v:shape id="Text Box 197" o:spid="_x0000_s1033" type="#_x0000_t202" style="position:absolute;left:30797;top:5715;width:8382;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" fillcolor="white [3201]" strokeweight=".5pt">
                  <v:textbox>
                    <w:txbxContent>
                      <w:p w14:paraId="53F75CD4" w14:textId="49F93622" w:rsidR="00F01F62" w:rsidRPr="00D0736C" w:rsidRDefault="00F01F62" w:rsidP="00F01F62">
                        <w:pPr>
                          <w:rPr>
                            <w:color w:val="FF0000"/>
                            <w:lang w:val="en-US"/>
                          </w:rPr>
                        </w:pPr>
                        <w:r w:rsidRPr="00D0736C">
                          <w:rPr>
                            <w:color w:val="FF0000"/>
                            <w:lang w:val="en-US"/>
                          </w:rPr>
                          <w:t>1000 seedling</w:t>
                        </w:r>
                        <w:r w:rsidRPr="00F01F62">
                          <w:rPr>
                            <w:color w:val="FF0000"/>
                            <w:lang w:val="en-US"/>
                          </w:rPr>
                          <w:t>s</w:t>
                        </w:r>
                        <w:r w:rsidRPr="00D0736C">
                          <w:rPr>
                            <w:color w:val="FF0000"/>
                            <w:lang w:val="en-US"/>
                          </w:rPr>
                          <w:t xml:space="preserve"> – conspecific density effects</w:t>
                        </w:r>
                      </w:p>
                    </w:txbxContent>
                  </v:textbox>
                </v:shape>
                <v:shapetype id="_x0000_t32" coordsize="21600,21600" o:spt="32" o:oned="t" path="m,l21600,21600e" filled="f">
                  <v:path arrowok="t" fillok="f" o:connecttype="none"/>
                  <o:lock v:ext="edit" shapetype="t"/>
                </v:shapetype>
                <v:shape id="Straight Arrow Connector 198" o:spid="_x0000_s1034" type="#_x0000_t32" style="position:absolute;left:23749;top:17589;width:8382;height:6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" strokecolor="red" strokeweight="4.25pt">
                  <v:stroke endarrow="block" joinstyle="miter"/>
                </v:shape>
                <v:shape id="Straight Arrow Connector 199" o:spid="_x0000_s1035" type="#_x0000_t32" style="position:absolute;left:36576;top:10414;width:7556;height:69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" strokecolor="red" strokeweight="4.25pt">
                  <v:stroke endarrow="block" joinstyle="miter"/>
                </v:shape>
                <v:shape id="Straight Arrow Connector 200" o:spid="_x0000_s1036" type="#_x0000_t32" style="position:absolute;left:23685;top:11684;width:7747;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" strokecolor="red" strokeweight="4.25pt">
                  <v:stroke endarrow="block" joinstyle="miter"/>
                </v:shape>
                <v:shape id="Straight Arrow Connector 201" o:spid="_x0000_s1037" type="#_x0000_t32" style="position:absolute;left:34925;top:18415;width:1905;height:6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" strokecolor="red" strokeweight="4.25pt">
                  <v:stroke endarrow="block" joinstyle="miter"/>
                </v:shape>
                <w10:wrap anchorx="margin"/>
              </v:group>
            </w:pict>
          </mc:Fallback>
        </mc:AlternateContent>
      </w:r>
      <w:r>
        <w:rPr>
          <w:rFonts w:ascii="Courier New" w:hAnsi="Courier New" w:cs="Courier New"/>
          <w:b/>
          <w:sz w:val="20"/>
          <w:szCs w:val="20"/>
          <w:lang w:val="en-US"/>
        </w:rPr>
        <w:t xml:space="preserve">The plot-scale, observed species: these are the observed trees in the plot, but it is assumed that this is only a subset of the trees that are exerting density dependent-effects within the plot. </w:t>
      </w:r>
    </w:p>
    <w:p w14:paraId="3EF8190A" w14:textId="77777777" w:rsidR="00F01F62" w:rsidRDefault="00F01F62" w:rsidP="00F01F62">
      <w:pPr>
        <w:jc w:val="both"/>
        <w:rPr>
          <w:rFonts w:ascii="Courier New" w:hAnsi="Courier New" w:cs="Courier New"/>
          <w:b/>
          <w:i/>
          <w:sz w:val="20"/>
          <w:szCs w:val="20"/>
          <w:lang w:val="en-US"/>
        </w:rPr>
      </w:pPr>
    </w:p>
    <w:p w14:paraId="4EE5736B" w14:textId="77777777" w:rsidR="00F01F62" w:rsidRDefault="00F01F62" w:rsidP="00F01F62">
      <w:pPr>
        <w:jc w:val="both"/>
        <w:rPr>
          <w:rFonts w:ascii="Courier New" w:hAnsi="Courier New" w:cs="Courier New"/>
          <w:b/>
          <w:i/>
          <w:sz w:val="20"/>
          <w:szCs w:val="20"/>
          <w:lang w:val="en-US"/>
        </w:rPr>
      </w:pPr>
    </w:p>
    <w:p w14:paraId="55E62FDF" w14:textId="77777777" w:rsidR="00F01F62" w:rsidRDefault="00F01F62" w:rsidP="00F01F62">
      <w:pPr>
        <w:rPr>
          <w:rFonts w:ascii="Courier New" w:hAnsi="Courier New" w:cs="Courier New"/>
          <w:b/>
          <w:i/>
          <w:sz w:val="20"/>
          <w:szCs w:val="20"/>
          <w:lang w:val="en-US"/>
        </w:rPr>
      </w:pPr>
    </w:p>
    <w:p w14:paraId="6B43BBBF" w14:textId="77777777" w:rsidR="00F01F62" w:rsidRDefault="00F01F62" w:rsidP="00F01F62">
      <w:pPr>
        <w:rPr>
          <w:rFonts w:ascii="Courier New" w:hAnsi="Courier New" w:cs="Courier New"/>
          <w:b/>
          <w:i/>
          <w:sz w:val="20"/>
          <w:szCs w:val="20"/>
          <w:lang w:val="en-US"/>
        </w:rPr>
      </w:pPr>
    </w:p>
    <w:p w14:paraId="257CB1A2" w14:textId="77777777" w:rsidR="00F01F62" w:rsidRDefault="00F01F62" w:rsidP="00F01F62">
      <w:pPr>
        <w:rPr>
          <w:rFonts w:ascii="Courier New" w:hAnsi="Courier New" w:cs="Courier New"/>
          <w:b/>
          <w:i/>
          <w:sz w:val="20"/>
          <w:szCs w:val="20"/>
          <w:lang w:val="en-US"/>
        </w:rPr>
      </w:pPr>
    </w:p>
    <w:p w14:paraId="5309B308" w14:textId="77777777" w:rsidR="00F01F62" w:rsidRDefault="00F01F62" w:rsidP="00F01F62">
      <w:pPr>
        <w:rPr>
          <w:rFonts w:ascii="Courier New" w:hAnsi="Courier New" w:cs="Courier New"/>
          <w:b/>
          <w:i/>
          <w:sz w:val="20"/>
          <w:szCs w:val="20"/>
          <w:lang w:val="en-US"/>
        </w:rPr>
      </w:pPr>
    </w:p>
    <w:p w14:paraId="3FE82164" w14:textId="77777777" w:rsidR="00F01F62" w:rsidRDefault="00F01F62" w:rsidP="00F01F62">
      <w:pPr>
        <w:rPr>
          <w:rFonts w:ascii="Courier New" w:hAnsi="Courier New" w:cs="Courier New"/>
          <w:b/>
          <w:i/>
          <w:sz w:val="20"/>
          <w:szCs w:val="20"/>
          <w:lang w:val="en-US"/>
        </w:rPr>
      </w:pPr>
    </w:p>
    <w:p w14:paraId="14BA0B55" w14:textId="77777777" w:rsidR="00F01F62" w:rsidRDefault="00F01F62" w:rsidP="00F01F62">
      <w:pPr>
        <w:rPr>
          <w:rFonts w:ascii="Courier New" w:hAnsi="Courier New" w:cs="Courier New"/>
          <w:b/>
          <w:i/>
          <w:sz w:val="20"/>
          <w:szCs w:val="20"/>
          <w:lang w:val="en-US"/>
        </w:rPr>
      </w:pPr>
    </w:p>
    <w:p w14:paraId="71FE6A1D" w14:textId="77777777" w:rsidR="00F01F62" w:rsidRDefault="00F01F62" w:rsidP="00F01F62">
      <w:pPr>
        <w:rPr>
          <w:rFonts w:ascii="Courier New" w:hAnsi="Courier New" w:cs="Courier New"/>
          <w:b/>
          <w:i/>
          <w:sz w:val="20"/>
          <w:szCs w:val="20"/>
          <w:lang w:val="en-US"/>
        </w:rPr>
      </w:pPr>
    </w:p>
    <w:p w14:paraId="54A4EBC6" w14:textId="77777777" w:rsidR="00F01F62" w:rsidRDefault="00F01F62" w:rsidP="00F01F62">
      <w:pPr>
        <w:rPr>
          <w:rFonts w:ascii="Courier New" w:hAnsi="Courier New" w:cs="Courier New"/>
          <w:b/>
          <w:i/>
          <w:sz w:val="20"/>
          <w:szCs w:val="20"/>
          <w:lang w:val="en-US"/>
        </w:rPr>
      </w:pPr>
    </w:p>
    <w:p w14:paraId="2B841BEC" w14:textId="77777777" w:rsidR="00F01F62" w:rsidRDefault="00F01F62" w:rsidP="00F01F62">
      <w:pPr>
        <w:rPr>
          <w:rFonts w:ascii="Courier New" w:hAnsi="Courier New" w:cs="Courier New"/>
          <w:b/>
          <w:i/>
          <w:sz w:val="20"/>
          <w:szCs w:val="20"/>
          <w:lang w:val="en-US"/>
        </w:rPr>
      </w:pPr>
    </w:p>
    <w:p w14:paraId="14242858" w14:textId="77777777" w:rsidR="00F01F62" w:rsidRDefault="00F01F62" w:rsidP="00F01F62">
      <w:pPr>
        <w:rPr>
          <w:rFonts w:ascii="Courier New" w:hAnsi="Courier New" w:cs="Courier New"/>
          <w:b/>
          <w:i/>
          <w:sz w:val="20"/>
          <w:szCs w:val="20"/>
          <w:lang w:val="en-US"/>
        </w:rPr>
      </w:pPr>
    </w:p>
    <w:p w14:paraId="13301BF3" w14:textId="77777777" w:rsidR="00F01F62" w:rsidRDefault="00F01F62" w:rsidP="00F01F62">
      <w:pPr>
        <w:rPr>
          <w:rFonts w:ascii="Courier New" w:hAnsi="Courier New" w:cs="Courier New"/>
          <w:b/>
          <w:i/>
          <w:sz w:val="20"/>
          <w:szCs w:val="20"/>
          <w:lang w:val="en-US"/>
        </w:rPr>
      </w:pPr>
    </w:p>
    <w:p w14:paraId="1005E2BE" w14:textId="77777777" w:rsidR="00F01F62" w:rsidRDefault="00F01F62" w:rsidP="00F01F62">
      <w:pPr>
        <w:rPr>
          <w:rFonts w:ascii="Courier New" w:hAnsi="Courier New" w:cs="Courier New"/>
          <w:b/>
          <w:i/>
          <w:sz w:val="20"/>
          <w:szCs w:val="20"/>
          <w:lang w:val="en-US"/>
        </w:rPr>
      </w:pPr>
    </w:p>
    <w:p w14:paraId="7F3C36F0" w14:textId="77777777" w:rsidR="00F01F62" w:rsidRDefault="00F01F62" w:rsidP="00F01F62">
      <w:pPr>
        <w:rPr>
          <w:rFonts w:ascii="Courier New" w:hAnsi="Courier New" w:cs="Courier New"/>
          <w:b/>
          <w:i/>
          <w:sz w:val="20"/>
          <w:szCs w:val="20"/>
          <w:lang w:val="en-US"/>
        </w:rPr>
      </w:pPr>
    </w:p>
    <w:p w14:paraId="61F5EBA9" w14:textId="6758D82A" w:rsidR="00F01F62" w:rsidRPr="00F01F62" w:rsidRDefault="00F01F62" w:rsidP="00F01F62">
      <w:pPr>
        <w:rPr>
          <w:rFonts w:ascii="Courier New" w:hAnsi="Courier New" w:cs="Courier New"/>
          <w:b/>
          <w:i/>
          <w:sz w:val="20"/>
          <w:szCs w:val="20"/>
          <w:lang w:val="en-US"/>
        </w:rPr>
      </w:pPr>
      <w:r>
        <w:rPr>
          <w:rFonts w:ascii="Times New Roman" w:hAnsi="Times New Roman" w:cs="Times New Roman"/>
          <w:noProof/>
          <w:sz w:val="24"/>
          <w:szCs w:val="24"/>
          <w:lang w:eastAsia="de-CH"/>
        </w:rPr>
        <w:drawing>
          <wp:anchor distT="0" distB="0" distL="114300" distR="114300" simplePos="0" relativeHeight="251660288" behindDoc="0" locked="0" layoutInCell="1" allowOverlap="1" wp14:anchorId="38419B86" wp14:editId="47F8228B">
            <wp:simplePos x="0" y="0"/>
            <wp:positionH relativeFrom="margin">
              <wp:align>right</wp:align>
            </wp:positionH>
            <wp:positionV relativeFrom="paragraph">
              <wp:posOffset>935355</wp:posOffset>
            </wp:positionV>
            <wp:extent cx="2025650" cy="1976462"/>
            <wp:effectExtent l="0" t="0" r="0" b="508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5650" cy="19764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To get a clean, true signal of density dependence, </w:t>
      </w:r>
      <w:r>
        <w:rPr>
          <w:rFonts w:ascii="Times New Roman" w:hAnsi="Times New Roman" w:cs="Times New Roman"/>
          <w:sz w:val="24"/>
          <w:szCs w:val="24"/>
          <w:lang w:val="en-US"/>
        </w:rPr>
        <w:t>we</w:t>
      </w:r>
      <w:r>
        <w:rPr>
          <w:rFonts w:ascii="Times New Roman" w:hAnsi="Times New Roman" w:cs="Times New Roman"/>
          <w:sz w:val="24"/>
          <w:szCs w:val="24"/>
          <w:lang w:val="en-US"/>
        </w:rPr>
        <w:t xml:space="preserve"> started with the major assumption that in the absence of density-dependent effects, there would be 1000 seedlings in the plot. Hence, any reduction of this number is due to conspecific density dependent effects, exerted by adult species that are present in the community pool. Specifically, there is a perfect negative exponential relationship between number of conspecific trees in the community and seedling number:</w:t>
      </w:r>
    </w:p>
    <w:p w14:paraId="325E9959" w14:textId="77777777"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Where x is the number of adult conspecific trees</w:t>
      </w:r>
    </w:p>
    <w:p w14:paraId="722DB4D5" w14:textId="77777777"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(not whole number as a correction is made to convert to</w:t>
      </w:r>
    </w:p>
    <w:p w14:paraId="5E7F56D9" w14:textId="77777777"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plot density equivalents), and y is the number of surviving</w:t>
      </w:r>
    </w:p>
    <w:p w14:paraId="5633AC41" w14:textId="77777777"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seedlings.</w:t>
      </w:r>
    </w:p>
    <w:p w14:paraId="26130E92" w14:textId="77777777" w:rsidR="00F01F62" w:rsidRDefault="00F01F62" w:rsidP="00F01F62">
      <w:pPr>
        <w:jc w:val="both"/>
        <w:rPr>
          <w:rFonts w:ascii="Times New Roman" w:hAnsi="Times New Roman" w:cs="Times New Roman"/>
          <w:sz w:val="24"/>
          <w:szCs w:val="24"/>
          <w:lang w:val="en-US"/>
        </w:rPr>
      </w:pPr>
    </w:p>
    <w:p w14:paraId="3189ED6E" w14:textId="77777777" w:rsidR="00F01F62" w:rsidRDefault="00F01F62" w:rsidP="00F01F62">
      <w:pPr>
        <w:jc w:val="both"/>
        <w:rPr>
          <w:rFonts w:ascii="Times New Roman" w:hAnsi="Times New Roman" w:cs="Times New Roman"/>
          <w:sz w:val="24"/>
          <w:szCs w:val="24"/>
          <w:lang w:val="en-US"/>
        </w:rPr>
      </w:pPr>
    </w:p>
    <w:p w14:paraId="375AD523" w14:textId="338FDFD0" w:rsidR="00F01F62" w:rsidRDefault="00F01F62" w:rsidP="00F01F6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each community has the same number of trees, differences in composition emerge because this number is limited, and sampled from the continental species pool. Observed species pools are also sampled, from the community pool. However, we sample a number of </w:t>
      </w:r>
      <w:r>
        <w:rPr>
          <w:rFonts w:ascii="Times New Roman" w:hAnsi="Times New Roman" w:cs="Times New Roman"/>
          <w:sz w:val="24"/>
          <w:szCs w:val="24"/>
          <w:lang w:val="en-US"/>
        </w:rPr>
        <w:lastRenderedPageBreak/>
        <w:t xml:space="preserve">replicate plots from the same community, so we can use this variation between replicates to quantify the error in adult densities, and create the latent variable. </w:t>
      </w:r>
    </w:p>
    <w:p w14:paraId="040E4108" w14:textId="77777777" w:rsidR="00F01F62" w:rsidRDefault="00F01F62">
      <w:pPr>
        <w:rPr>
          <w:rFonts w:ascii="Times New Roman" w:hAnsi="Times New Roman" w:cs="Times New Roman"/>
          <w:b/>
          <w:iCs/>
          <w:sz w:val="24"/>
          <w:szCs w:val="24"/>
          <w:lang w:val="en-US"/>
        </w:rPr>
      </w:pPr>
    </w:p>
    <w:p w14:paraId="472181FF" w14:textId="77777777" w:rsidR="00F01F62" w:rsidRPr="00F01F62" w:rsidRDefault="00F01F62" w:rsidP="00F01F62">
      <w:pPr>
        <w:shd w:val="clear" w:color="auto" w:fill="F8F8F8"/>
        <w:spacing w:after="0" w:line="240" w:lineRule="auto"/>
        <w:rPr>
          <w:rFonts w:ascii="Arial" w:eastAsia="Times New Roman" w:hAnsi="Arial" w:cs="Arial"/>
          <w:color w:val="1D1C1D"/>
          <w:sz w:val="23"/>
          <w:szCs w:val="23"/>
          <w:lang w:eastAsia="de-CH"/>
        </w:rPr>
      </w:pPr>
      <w:r w:rsidRPr="00F01F62">
        <w:rPr>
          <w:rFonts w:ascii="Arial" w:eastAsia="Times New Roman" w:hAnsi="Arial" w:cs="Arial"/>
          <w:b/>
          <w:bCs/>
          <w:color w:val="1D1C1D"/>
          <w:sz w:val="23"/>
          <w:szCs w:val="23"/>
          <w:lang w:eastAsia="de-CH"/>
        </w:rPr>
        <w:t>NEXT STEPS</w:t>
      </w:r>
    </w:p>
    <w:p w14:paraId="6B84F664" w14:textId="022A25B3" w:rsidR="00F01F62" w:rsidRPr="00F01F62" w:rsidRDefault="00F01F62" w:rsidP="00F01F62">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val="en-US" w:eastAsia="de-CH"/>
        </w:rPr>
      </w:pPr>
      <w:r w:rsidRPr="00F01F62">
        <w:rPr>
          <w:rFonts w:ascii="Arial" w:eastAsia="Times New Roman" w:hAnsi="Arial" w:cs="Arial"/>
          <w:color w:val="1D1C1D"/>
          <w:sz w:val="23"/>
          <w:szCs w:val="23"/>
          <w:lang w:val="en-US" w:eastAsia="de-CH"/>
        </w:rPr>
        <w:t>change the distribution</w:t>
      </w:r>
      <w:r>
        <w:rPr>
          <w:rFonts w:ascii="Arial" w:eastAsia="Times New Roman" w:hAnsi="Arial" w:cs="Arial"/>
          <w:color w:val="1D1C1D"/>
          <w:sz w:val="23"/>
          <w:szCs w:val="23"/>
          <w:lang w:val="en-US" w:eastAsia="de-CH"/>
        </w:rPr>
        <w:t>s</w:t>
      </w:r>
      <w:r w:rsidRPr="00F01F62">
        <w:rPr>
          <w:rFonts w:ascii="Arial" w:eastAsia="Times New Roman" w:hAnsi="Arial" w:cs="Arial"/>
          <w:color w:val="1D1C1D"/>
          <w:sz w:val="23"/>
          <w:szCs w:val="23"/>
          <w:lang w:val="en-US" w:eastAsia="de-CH"/>
        </w:rPr>
        <w:t xml:space="preserve"> in the model</w:t>
      </w:r>
      <w:r>
        <w:rPr>
          <w:rFonts w:ascii="Arial" w:eastAsia="Times New Roman" w:hAnsi="Arial" w:cs="Arial"/>
          <w:color w:val="1D1C1D"/>
          <w:sz w:val="23"/>
          <w:szCs w:val="23"/>
          <w:lang w:val="en-US" w:eastAsia="de-CH"/>
        </w:rPr>
        <w:t xml:space="preserve">, as assumed for the number of seedlings and the number of adults in each plot, </w:t>
      </w:r>
      <w:r w:rsidRPr="00F01F62">
        <w:rPr>
          <w:rFonts w:ascii="Arial" w:eastAsia="Times New Roman" w:hAnsi="Arial" w:cs="Arial"/>
          <w:color w:val="1D1C1D"/>
          <w:sz w:val="23"/>
          <w:szCs w:val="23"/>
          <w:lang w:val="en-US" w:eastAsia="de-CH"/>
        </w:rPr>
        <w:t>from normal to either Poisson or neg-binomial</w:t>
      </w:r>
    </w:p>
    <w:p w14:paraId="66ED439A" w14:textId="732F210B" w:rsidR="00F01F62" w:rsidRPr="00F01F62" w:rsidRDefault="00F01F62" w:rsidP="00F01F62">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val="en-US" w:eastAsia="de-CH"/>
        </w:rPr>
      </w:pPr>
      <w:r w:rsidRPr="00F01F62">
        <w:rPr>
          <w:rFonts w:ascii="Arial" w:eastAsia="Times New Roman" w:hAnsi="Arial" w:cs="Arial"/>
          <w:color w:val="1D1C1D"/>
          <w:sz w:val="23"/>
          <w:szCs w:val="23"/>
          <w:lang w:val="en-US" w:eastAsia="de-CH"/>
        </w:rPr>
        <w:t>change the function for the number of seedlings</w:t>
      </w:r>
      <w:r>
        <w:rPr>
          <w:rFonts w:ascii="Arial" w:eastAsia="Times New Roman" w:hAnsi="Arial" w:cs="Arial"/>
          <w:color w:val="1D1C1D"/>
          <w:sz w:val="23"/>
          <w:szCs w:val="23"/>
          <w:lang w:val="en-US" w:eastAsia="de-CH"/>
        </w:rPr>
        <w:t>, no longer assuming 1000 seedlings everywhere, but:</w:t>
      </w:r>
    </w:p>
    <w:p w14:paraId="0D166164" w14:textId="77777777" w:rsidR="005C5233" w:rsidRDefault="00F01F62" w:rsidP="005C5233">
      <w:pPr>
        <w:pStyle w:val="ListParagraph"/>
        <w:numPr>
          <w:ilvl w:val="0"/>
          <w:numId w:val="5"/>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it has to be proportional to adults and CNDD; this can be first done in a deterministic way</w:t>
      </w:r>
    </w:p>
    <w:p w14:paraId="1F0BF206" w14:textId="2C4FD11F" w:rsidR="005C5233" w:rsidRPr="005C5233" w:rsidRDefault="00F01F62" w:rsidP="005C5233">
      <w:pPr>
        <w:pStyle w:val="ListParagraph"/>
        <w:numPr>
          <w:ilvl w:val="0"/>
          <w:numId w:val="5"/>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advanced step: draw the number of seedlings from a distribution of recruits/adults ratio, so that there is a random error in the response variable as well.</w:t>
      </w:r>
    </w:p>
    <w:p w14:paraId="455756FC" w14:textId="2E3414BA" w:rsidR="00F01F62" w:rsidRPr="00F01F62" w:rsidRDefault="00F01F62" w:rsidP="005C5233">
      <w:pPr>
        <w:shd w:val="clear" w:color="auto" w:fill="F8F8F8"/>
        <w:spacing w:before="100" w:beforeAutospacing="1" w:after="0" w:line="240" w:lineRule="auto"/>
        <w:rPr>
          <w:rFonts w:ascii="Arial" w:eastAsia="Times New Roman" w:hAnsi="Arial" w:cs="Arial"/>
          <w:color w:val="1D1C1D"/>
          <w:sz w:val="23"/>
          <w:szCs w:val="23"/>
          <w:lang w:val="en-US" w:eastAsia="de-CH"/>
        </w:rPr>
      </w:pPr>
      <w:r>
        <w:rPr>
          <w:rFonts w:ascii="Arial" w:eastAsia="Times New Roman" w:hAnsi="Arial" w:cs="Arial"/>
          <w:color w:val="1D1C1D"/>
          <w:sz w:val="23"/>
          <w:szCs w:val="23"/>
          <w:lang w:val="en-US" w:eastAsia="de-CH"/>
        </w:rPr>
        <w:t xml:space="preserve"> </w:t>
      </w:r>
    </w:p>
    <w:p w14:paraId="42B0CC1A" w14:textId="0BA0F54F" w:rsidR="00F01F62" w:rsidRPr="005C5233" w:rsidRDefault="00F01F62" w:rsidP="005C5233">
      <w:pPr>
        <w:pStyle w:val="ListParagraph"/>
        <w:numPr>
          <w:ilvl w:val="0"/>
          <w:numId w:val="4"/>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sampling variation by changing the plot number or size</w:t>
      </w:r>
      <w:r w:rsidR="005C5233">
        <w:rPr>
          <w:rFonts w:ascii="Arial" w:eastAsia="Times New Roman" w:hAnsi="Arial" w:cs="Arial"/>
          <w:color w:val="1D1C1D"/>
          <w:sz w:val="23"/>
          <w:szCs w:val="23"/>
          <w:lang w:val="en-US" w:eastAsia="de-CH"/>
        </w:rPr>
        <w:t xml:space="preserve">, which would vary the magnitude of uncertainty within the estimate tree densities. </w:t>
      </w:r>
    </w:p>
    <w:p w14:paraId="179F7778" w14:textId="77777777" w:rsidR="005C5233" w:rsidRPr="005C5233" w:rsidRDefault="005C5233" w:rsidP="005C5233">
      <w:pPr>
        <w:pStyle w:val="ListParagraph"/>
        <w:rPr>
          <w:rFonts w:ascii="Arial" w:eastAsia="Times New Roman" w:hAnsi="Arial" w:cs="Arial"/>
          <w:color w:val="1D1C1D"/>
          <w:sz w:val="23"/>
          <w:szCs w:val="23"/>
          <w:lang w:val="en-US" w:eastAsia="de-CH"/>
        </w:rPr>
      </w:pPr>
    </w:p>
    <w:p w14:paraId="14D91357" w14:textId="4A298819" w:rsidR="005C5233" w:rsidRPr="005C5233" w:rsidRDefault="00F01F62" w:rsidP="005C5233">
      <w:pPr>
        <w:pStyle w:val="ListParagraph"/>
        <w:numPr>
          <w:ilvl w:val="0"/>
          <w:numId w:val="4"/>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accounting for the adults that were also once present in the plot but not observable anymore</w:t>
      </w:r>
    </w:p>
    <w:p w14:paraId="0036ABC6" w14:textId="48024CC9" w:rsidR="005C5233" w:rsidRDefault="00F01F62" w:rsidP="005C5233">
      <w:pPr>
        <w:pStyle w:val="ListParagraph"/>
        <w:numPr>
          <w:ilvl w:val="0"/>
          <w:numId w:val="7"/>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seedling number can be calculated with both adults that are present + adults that were present once</w:t>
      </w:r>
    </w:p>
    <w:p w14:paraId="76711B9A" w14:textId="77777777" w:rsidR="005C5233" w:rsidRDefault="00F01F62" w:rsidP="005C5233">
      <w:pPr>
        <w:pStyle w:val="ListParagraph"/>
        <w:numPr>
          <w:ilvl w:val="0"/>
          <w:numId w:val="7"/>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we can account for the unobservable adults with a survival probability</w:t>
      </w:r>
    </w:p>
    <w:p w14:paraId="58B0A040" w14:textId="66A8D7F1" w:rsidR="00F01F62" w:rsidRPr="005C5233" w:rsidRDefault="00F01F62" w:rsidP="005C5233">
      <w:pPr>
        <w:pStyle w:val="ListParagraph"/>
        <w:numPr>
          <w:ilvl w:val="0"/>
          <w:numId w:val="7"/>
        </w:numPr>
        <w:shd w:val="clear" w:color="auto" w:fill="F8F8F8"/>
        <w:spacing w:before="100" w:beforeAutospacing="1" w:after="0" w:line="240" w:lineRule="auto"/>
        <w:rPr>
          <w:rFonts w:ascii="Arial" w:eastAsia="Times New Roman" w:hAnsi="Arial" w:cs="Arial"/>
          <w:color w:val="1D1C1D"/>
          <w:sz w:val="23"/>
          <w:szCs w:val="23"/>
          <w:lang w:val="en-US" w:eastAsia="de-CH"/>
        </w:rPr>
      </w:pPr>
      <w:r w:rsidRPr="005C5233">
        <w:rPr>
          <w:rFonts w:ascii="Arial" w:eastAsia="Times New Roman" w:hAnsi="Arial" w:cs="Arial"/>
          <w:color w:val="1D1C1D"/>
          <w:sz w:val="23"/>
          <w:szCs w:val="23"/>
          <w:lang w:val="en-US" w:eastAsia="de-CH"/>
        </w:rPr>
        <w:t>also maybe account for time, because longer the time means more deaths will occur</w:t>
      </w:r>
    </w:p>
    <w:p w14:paraId="13B3CE81" w14:textId="77777777" w:rsidR="005C5233" w:rsidRDefault="005C5233" w:rsidP="005C5233">
      <w:pPr>
        <w:rPr>
          <w:rFonts w:ascii="Times New Roman" w:hAnsi="Times New Roman" w:cs="Times New Roman"/>
          <w:b/>
          <w:iCs/>
          <w:sz w:val="24"/>
          <w:szCs w:val="24"/>
          <w:lang w:val="en-US"/>
        </w:rPr>
      </w:pPr>
    </w:p>
    <w:p w14:paraId="38EB4909" w14:textId="77777777" w:rsidR="005C5233" w:rsidRDefault="005C5233" w:rsidP="005C5233">
      <w:pPr>
        <w:rPr>
          <w:rFonts w:ascii="Times New Roman" w:hAnsi="Times New Roman" w:cs="Times New Roman"/>
          <w:b/>
          <w:iCs/>
          <w:sz w:val="24"/>
          <w:szCs w:val="24"/>
          <w:lang w:val="en-US"/>
        </w:rPr>
      </w:pPr>
    </w:p>
    <w:p w14:paraId="3EE68C76" w14:textId="49A7EE45" w:rsidR="00B46645" w:rsidRDefault="005C5233" w:rsidP="005C5233">
      <w:pPr>
        <w:rPr>
          <w:rFonts w:ascii="Times New Roman" w:hAnsi="Times New Roman" w:cs="Times New Roman"/>
          <w:b/>
          <w:iCs/>
          <w:sz w:val="24"/>
          <w:szCs w:val="24"/>
          <w:lang w:val="en-US"/>
        </w:rPr>
      </w:pPr>
      <w:r>
        <w:rPr>
          <w:rFonts w:ascii="Times New Roman" w:hAnsi="Times New Roman" w:cs="Times New Roman"/>
          <w:b/>
          <w:iCs/>
          <w:sz w:val="24"/>
          <w:szCs w:val="24"/>
          <w:lang w:val="en-US"/>
        </w:rPr>
        <w:t xml:space="preserve">Further aims </w:t>
      </w:r>
      <w:r w:rsidR="00B46645" w:rsidRPr="00B46645">
        <w:rPr>
          <w:rFonts w:ascii="Times New Roman" w:hAnsi="Times New Roman" w:cs="Times New Roman"/>
          <w:b/>
          <w:iCs/>
          <w:sz w:val="24"/>
          <w:szCs w:val="24"/>
          <w:lang w:val="en-US"/>
        </w:rPr>
        <w:t>of</w:t>
      </w:r>
      <w:r w:rsidR="00600EDF" w:rsidRPr="00B46645">
        <w:rPr>
          <w:rFonts w:ascii="Times New Roman" w:hAnsi="Times New Roman" w:cs="Times New Roman"/>
          <w:b/>
          <w:iCs/>
          <w:sz w:val="24"/>
          <w:szCs w:val="24"/>
          <w:lang w:val="en-US"/>
        </w:rPr>
        <w:t xml:space="preserve"> the group</w:t>
      </w:r>
      <w:r w:rsidR="00EA634B" w:rsidRPr="00B46645">
        <w:rPr>
          <w:rFonts w:ascii="Times New Roman" w:hAnsi="Times New Roman" w:cs="Times New Roman"/>
          <w:b/>
          <w:iCs/>
          <w:sz w:val="24"/>
          <w:szCs w:val="24"/>
          <w:lang w:val="en-US"/>
        </w:rPr>
        <w:t xml:space="preserve"> assignment</w:t>
      </w:r>
    </w:p>
    <w:p w14:paraId="3639D2B8" w14:textId="06CD40EA" w:rsidR="00EA634B" w:rsidRPr="00331F1F" w:rsidRDefault="005C5233" w:rsidP="00331F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above steps, w</w:t>
      </w:r>
      <w:r w:rsidR="002E0FCF">
        <w:rPr>
          <w:rFonts w:ascii="Times New Roman" w:hAnsi="Times New Roman" w:cs="Times New Roman"/>
          <w:sz w:val="24"/>
          <w:szCs w:val="24"/>
          <w:lang w:val="en-US"/>
        </w:rPr>
        <w:t xml:space="preserve">e </w:t>
      </w:r>
      <w:r w:rsidR="008E0054" w:rsidRPr="00331F1F">
        <w:rPr>
          <w:rFonts w:ascii="Times New Roman" w:hAnsi="Times New Roman" w:cs="Times New Roman"/>
          <w:sz w:val="24"/>
          <w:szCs w:val="24"/>
          <w:lang w:val="en-US"/>
        </w:rPr>
        <w:t>could be develop</w:t>
      </w:r>
      <w:r w:rsidR="002E0FCF">
        <w:rPr>
          <w:rFonts w:ascii="Times New Roman" w:hAnsi="Times New Roman" w:cs="Times New Roman"/>
          <w:sz w:val="24"/>
          <w:szCs w:val="24"/>
          <w:lang w:val="en-US"/>
        </w:rPr>
        <w:t xml:space="preserve"> the project </w:t>
      </w:r>
      <w:r w:rsidR="008E0054" w:rsidRPr="00331F1F">
        <w:rPr>
          <w:rFonts w:ascii="Times New Roman" w:hAnsi="Times New Roman" w:cs="Times New Roman"/>
          <w:sz w:val="24"/>
          <w:szCs w:val="24"/>
          <w:lang w:val="en-US"/>
        </w:rPr>
        <w:t>in multiple directions</w:t>
      </w:r>
      <w:r w:rsidR="002E0FCF">
        <w:rPr>
          <w:rFonts w:ascii="Times New Roman" w:hAnsi="Times New Roman" w:cs="Times New Roman"/>
          <w:sz w:val="24"/>
          <w:szCs w:val="24"/>
          <w:lang w:val="en-US"/>
        </w:rPr>
        <w:t>, for example:</w:t>
      </w:r>
    </w:p>
    <w:p w14:paraId="6793A8AC" w14:textId="31F3D6D0" w:rsidR="00600EDF" w:rsidRPr="00352304" w:rsidRDefault="008E0054" w:rsidP="00331F1F">
      <w:pPr>
        <w:pStyle w:val="ListParagraph"/>
        <w:numPr>
          <w:ilvl w:val="0"/>
          <w:numId w:val="2"/>
        </w:numPr>
        <w:spacing w:line="360" w:lineRule="auto"/>
        <w:jc w:val="both"/>
        <w:rPr>
          <w:rFonts w:ascii="Times New Roman" w:hAnsi="Times New Roman" w:cs="Times New Roman"/>
          <w:iCs/>
          <w:sz w:val="24"/>
          <w:szCs w:val="24"/>
          <w:lang w:val="en-US"/>
        </w:rPr>
      </w:pPr>
      <w:r w:rsidRPr="00352304">
        <w:rPr>
          <w:rFonts w:ascii="Times New Roman" w:hAnsi="Times New Roman" w:cs="Times New Roman"/>
          <w:iCs/>
          <w:sz w:val="24"/>
          <w:szCs w:val="24"/>
          <w:lang w:val="en-US"/>
        </w:rPr>
        <w:t>Use a hierarchical modelling approach, where climatic variables are directly included as covariates (</w:t>
      </w:r>
      <w:r w:rsidR="002D38C0" w:rsidRPr="00352304">
        <w:rPr>
          <w:rFonts w:ascii="Times New Roman" w:hAnsi="Times New Roman" w:cs="Times New Roman"/>
          <w:iCs/>
          <w:sz w:val="24"/>
          <w:szCs w:val="24"/>
          <w:lang w:val="en-US"/>
        </w:rPr>
        <w:t>rather than separate fitting for 2 by 2 degree grid cells).</w:t>
      </w:r>
    </w:p>
    <w:p w14:paraId="26BAABD9" w14:textId="13F17A77" w:rsidR="002D38C0" w:rsidRPr="00352304" w:rsidRDefault="000455E5" w:rsidP="00331F1F">
      <w:pPr>
        <w:pStyle w:val="ListParagraph"/>
        <w:numPr>
          <w:ilvl w:val="0"/>
          <w:numId w:val="2"/>
        </w:numPr>
        <w:spacing w:line="360" w:lineRule="auto"/>
        <w:jc w:val="both"/>
        <w:rPr>
          <w:rFonts w:ascii="Times New Roman" w:hAnsi="Times New Roman" w:cs="Times New Roman"/>
          <w:iCs/>
          <w:sz w:val="24"/>
          <w:szCs w:val="24"/>
          <w:lang w:val="en-US"/>
        </w:rPr>
      </w:pPr>
      <w:r w:rsidRPr="00352304">
        <w:rPr>
          <w:rFonts w:ascii="Times New Roman" w:hAnsi="Times New Roman" w:cs="Times New Roman"/>
          <w:iCs/>
          <w:sz w:val="24"/>
          <w:szCs w:val="24"/>
          <w:lang w:val="en-US"/>
        </w:rPr>
        <w:t>Use recent experimental studies of density dependence of tree species to inform priors for the density dependence parameters. Priors could be species-specific is information is available (Bennett et al. 201</w:t>
      </w:r>
      <w:r w:rsidR="00DF5B1E" w:rsidRPr="00352304">
        <w:rPr>
          <w:rFonts w:ascii="Times New Roman" w:hAnsi="Times New Roman" w:cs="Times New Roman"/>
          <w:iCs/>
          <w:sz w:val="24"/>
          <w:szCs w:val="24"/>
          <w:lang w:val="en-US"/>
        </w:rPr>
        <w:t>7</w:t>
      </w:r>
      <w:r w:rsidRPr="00352304">
        <w:rPr>
          <w:rFonts w:ascii="Times New Roman" w:hAnsi="Times New Roman" w:cs="Times New Roman"/>
          <w:iCs/>
          <w:sz w:val="24"/>
          <w:szCs w:val="24"/>
          <w:lang w:val="en-US"/>
        </w:rPr>
        <w:t xml:space="preserve">), or based </w:t>
      </w:r>
      <w:r w:rsidR="00EB37CA" w:rsidRPr="00352304">
        <w:rPr>
          <w:rFonts w:ascii="Times New Roman" w:hAnsi="Times New Roman" w:cs="Times New Roman"/>
          <w:iCs/>
          <w:sz w:val="24"/>
          <w:szCs w:val="24"/>
          <w:lang w:val="en-US"/>
        </w:rPr>
        <w:t xml:space="preserve">more generally </w:t>
      </w:r>
      <w:r w:rsidRPr="00352304">
        <w:rPr>
          <w:rFonts w:ascii="Times New Roman" w:hAnsi="Times New Roman" w:cs="Times New Roman"/>
          <w:iCs/>
          <w:sz w:val="24"/>
          <w:szCs w:val="24"/>
          <w:lang w:val="en-US"/>
        </w:rPr>
        <w:t>on mycorrhizal association (Steidinger et al. 2019)</w:t>
      </w:r>
      <w:r w:rsidR="00114CF7">
        <w:rPr>
          <w:rFonts w:ascii="Times New Roman" w:hAnsi="Times New Roman" w:cs="Times New Roman"/>
          <w:iCs/>
          <w:sz w:val="24"/>
          <w:szCs w:val="24"/>
          <w:lang w:val="en-US"/>
        </w:rPr>
        <w:t>.</w:t>
      </w:r>
    </w:p>
    <w:p w14:paraId="625F63BE" w14:textId="7B62AF71" w:rsidR="00853A6D" w:rsidRPr="00352304" w:rsidRDefault="00853A6D" w:rsidP="00331F1F">
      <w:pPr>
        <w:pStyle w:val="ListParagraph"/>
        <w:numPr>
          <w:ilvl w:val="0"/>
          <w:numId w:val="2"/>
        </w:numPr>
        <w:spacing w:line="360" w:lineRule="auto"/>
        <w:jc w:val="both"/>
        <w:rPr>
          <w:rFonts w:ascii="Times New Roman" w:hAnsi="Times New Roman" w:cs="Times New Roman"/>
          <w:iCs/>
          <w:sz w:val="24"/>
          <w:szCs w:val="24"/>
          <w:lang w:val="en-US"/>
        </w:rPr>
      </w:pPr>
      <w:r w:rsidRPr="00352304">
        <w:rPr>
          <w:rFonts w:ascii="Times New Roman" w:hAnsi="Times New Roman" w:cs="Times New Roman"/>
          <w:iCs/>
          <w:sz w:val="24"/>
          <w:szCs w:val="24"/>
          <w:lang w:val="en-US"/>
        </w:rPr>
        <w:t>Compare the empirical dataset with simulated datasets with known strengths of density dependence</w:t>
      </w:r>
      <w:r w:rsidR="0076348C" w:rsidRPr="00352304">
        <w:rPr>
          <w:rFonts w:ascii="Times New Roman" w:hAnsi="Times New Roman" w:cs="Times New Roman"/>
          <w:iCs/>
          <w:sz w:val="24"/>
          <w:szCs w:val="24"/>
          <w:lang w:val="en-US"/>
        </w:rPr>
        <w:t xml:space="preserve"> to infer the explanatory power of the data.</w:t>
      </w:r>
    </w:p>
    <w:p w14:paraId="26BF16C1" w14:textId="03C5D61A" w:rsidR="00E57101" w:rsidRPr="00331F1F" w:rsidRDefault="00CB0A24" w:rsidP="005C5233">
      <w:pP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br w:type="page"/>
      </w:r>
      <w:r w:rsidR="005C5233">
        <w:rPr>
          <w:rFonts w:ascii="Times New Roman" w:hAnsi="Times New Roman" w:cs="Times New Roman"/>
          <w:b/>
          <w:sz w:val="24"/>
          <w:szCs w:val="24"/>
          <w:lang w:val="en-US"/>
        </w:rPr>
        <w:lastRenderedPageBreak/>
        <w:t>R</w:t>
      </w:r>
      <w:r w:rsidR="00E57101" w:rsidRPr="00331F1F">
        <w:rPr>
          <w:rFonts w:ascii="Times New Roman" w:hAnsi="Times New Roman" w:cs="Times New Roman"/>
          <w:b/>
          <w:sz w:val="24"/>
          <w:szCs w:val="24"/>
          <w:lang w:val="en-US"/>
        </w:rPr>
        <w:t>eferences:</w:t>
      </w:r>
    </w:p>
    <w:p w14:paraId="0BD8A9CF" w14:textId="77777777" w:rsidR="00D815D0" w:rsidRPr="00331F1F" w:rsidRDefault="00D815D0" w:rsidP="00331F1F">
      <w:pPr>
        <w:pStyle w:val="Footer"/>
        <w:spacing w:line="360" w:lineRule="auto"/>
        <w:jc w:val="both"/>
        <w:rPr>
          <w:rFonts w:ascii="Times New Roman" w:hAnsi="Times New Roman" w:cs="Times New Roman"/>
          <w:b/>
          <w:sz w:val="24"/>
          <w:szCs w:val="24"/>
          <w:lang w:val="en-US"/>
        </w:rPr>
      </w:pPr>
    </w:p>
    <w:p w14:paraId="4E786BC2" w14:textId="7998F101" w:rsidR="00850A21" w:rsidRPr="008A3C1E" w:rsidRDefault="00850A21"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Bennett, J.A., Maherali, H., Reinhart, K.O., Lekberg, Y., Hart, M.M., Klironomis, J. Plant-soil feedbacks and mycorrhizal type influence temperature forest population dynamics. Science 355: 181-184.</w:t>
      </w:r>
      <w:r w:rsidR="00234ABA" w:rsidRPr="008A3C1E">
        <w:rPr>
          <w:rFonts w:ascii="Times New Roman" w:hAnsi="Times New Roman" w:cs="Times New Roman"/>
          <w:sz w:val="24"/>
          <w:szCs w:val="24"/>
          <w:lang w:val="en-US"/>
        </w:rPr>
        <w:t xml:space="preserve"> </w:t>
      </w:r>
      <w:hyperlink r:id="rId11" w:history="1">
        <w:r w:rsidR="00234ABA" w:rsidRPr="008A3C1E">
          <w:rPr>
            <w:rStyle w:val="Hyperlink"/>
            <w:rFonts w:ascii="Times New Roman" w:hAnsi="Times New Roman" w:cs="Times New Roman"/>
            <w:sz w:val="24"/>
            <w:szCs w:val="24"/>
            <w:lang w:val="en-US"/>
          </w:rPr>
          <w:t>LINK</w:t>
        </w:r>
      </w:hyperlink>
      <w:r w:rsidR="00234ABA" w:rsidRPr="008A3C1E">
        <w:rPr>
          <w:rFonts w:ascii="Times New Roman" w:hAnsi="Times New Roman" w:cs="Times New Roman"/>
          <w:sz w:val="24"/>
          <w:szCs w:val="24"/>
          <w:lang w:val="en-US"/>
        </w:rPr>
        <w:t>.</w:t>
      </w:r>
    </w:p>
    <w:p w14:paraId="0C9FF049" w14:textId="24B61D90" w:rsidR="00853A6D" w:rsidRPr="008A3C1E" w:rsidRDefault="00853A6D"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Chisholm, R.A., Fung, T. 2018. Comment on: Plant diversity increases with the strength of negative density dependence at the global scale. Science 360: eaar4685.</w:t>
      </w:r>
      <w:r w:rsidR="00234ABA" w:rsidRPr="008A3C1E">
        <w:rPr>
          <w:rFonts w:ascii="Times New Roman" w:hAnsi="Times New Roman" w:cs="Times New Roman"/>
          <w:sz w:val="24"/>
          <w:szCs w:val="24"/>
          <w:lang w:val="en-US"/>
        </w:rPr>
        <w:t xml:space="preserve"> </w:t>
      </w:r>
      <w:hyperlink r:id="rId12" w:history="1">
        <w:r w:rsidR="00234ABA" w:rsidRPr="002362DE">
          <w:rPr>
            <w:rFonts w:ascii="Times New Roman" w:hAnsi="Times New Roman" w:cs="Times New Roman"/>
            <w:sz w:val="24"/>
            <w:szCs w:val="24"/>
            <w:lang w:val="en-US"/>
          </w:rPr>
          <w:t>LINK</w:t>
        </w:r>
      </w:hyperlink>
      <w:r w:rsidR="00234ABA" w:rsidRPr="008A3C1E">
        <w:rPr>
          <w:rFonts w:ascii="Times New Roman" w:hAnsi="Times New Roman" w:cs="Times New Roman"/>
          <w:sz w:val="24"/>
          <w:szCs w:val="24"/>
          <w:lang w:val="en-US"/>
        </w:rPr>
        <w:t>.</w:t>
      </w:r>
    </w:p>
    <w:p w14:paraId="062887FF" w14:textId="1479EE42" w:rsidR="00853A6D" w:rsidRPr="008A3C1E" w:rsidRDefault="00853A6D"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Detto, M., Visser, M.D., Wright, S.J., Pacala, S.W. 2019. Bias in the detection of negative density dependence. Ecology Letters 22: 1923-1939.</w:t>
      </w:r>
      <w:r w:rsidR="00234ABA" w:rsidRPr="008A3C1E">
        <w:rPr>
          <w:rFonts w:ascii="Times New Roman" w:hAnsi="Times New Roman" w:cs="Times New Roman"/>
          <w:sz w:val="24"/>
          <w:szCs w:val="24"/>
          <w:lang w:val="en-US"/>
        </w:rPr>
        <w:t xml:space="preserve"> </w:t>
      </w:r>
      <w:hyperlink r:id="rId13" w:history="1">
        <w:r w:rsidR="00234ABA" w:rsidRPr="008A3C1E">
          <w:rPr>
            <w:rStyle w:val="Hyperlink"/>
            <w:rFonts w:ascii="Times New Roman" w:hAnsi="Times New Roman" w:cs="Times New Roman"/>
            <w:sz w:val="24"/>
            <w:szCs w:val="24"/>
            <w:lang w:val="en-US"/>
          </w:rPr>
          <w:t>LINK</w:t>
        </w:r>
      </w:hyperlink>
      <w:r w:rsidR="00234ABA" w:rsidRPr="002362DE">
        <w:rPr>
          <w:rStyle w:val="Hyperlink"/>
          <w:rFonts w:ascii="Times New Roman" w:hAnsi="Times New Roman" w:cs="Times New Roman"/>
          <w:sz w:val="24"/>
          <w:szCs w:val="24"/>
          <w:lang w:val="en-US"/>
        </w:rPr>
        <w:t>.</w:t>
      </w:r>
    </w:p>
    <w:p w14:paraId="07B794F7" w14:textId="1CACE7BD" w:rsidR="00853A6D" w:rsidRPr="008A3C1E" w:rsidRDefault="00853A6D"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Dickie, I.A., Hurst, J.M., Bellingham, P.J. 2012. Comment on: Conspecific negative density dependence and forest diversity. Science 338: 469.</w:t>
      </w:r>
      <w:r w:rsidR="002A2980" w:rsidRPr="008A3C1E">
        <w:rPr>
          <w:rFonts w:ascii="Times New Roman" w:hAnsi="Times New Roman" w:cs="Times New Roman"/>
          <w:sz w:val="24"/>
          <w:szCs w:val="24"/>
          <w:lang w:val="en-US"/>
        </w:rPr>
        <w:t xml:space="preserve"> </w:t>
      </w:r>
      <w:hyperlink r:id="rId14" w:history="1">
        <w:r w:rsidR="002A2980" w:rsidRPr="008A3C1E">
          <w:rPr>
            <w:rStyle w:val="Hyperlink"/>
            <w:rFonts w:ascii="Times New Roman" w:hAnsi="Times New Roman" w:cs="Times New Roman"/>
            <w:sz w:val="24"/>
            <w:szCs w:val="24"/>
            <w:lang w:val="en-US"/>
          </w:rPr>
          <w:t>LINK</w:t>
        </w:r>
      </w:hyperlink>
      <w:r w:rsidR="002A2980" w:rsidRPr="002362DE">
        <w:rPr>
          <w:rStyle w:val="Hyperlink"/>
          <w:rFonts w:ascii="Times New Roman" w:hAnsi="Times New Roman" w:cs="Times New Roman"/>
          <w:sz w:val="24"/>
          <w:szCs w:val="24"/>
          <w:lang w:val="en-US"/>
        </w:rPr>
        <w:t>.</w:t>
      </w:r>
    </w:p>
    <w:p w14:paraId="63A6900A" w14:textId="3A77B022" w:rsidR="00853A6D" w:rsidRPr="008A3C1E" w:rsidRDefault="00853A6D"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 xml:space="preserve">Eppinga, M.B., Baudena, M., Johnson, D.J., Jiang, J., Mack, K.M.L., Strand, A.E., Bever, J.D. 2018. Frequency-dependent feedback constrains plant community coexistence. Nature Ecology and Evolution 2: 1403-1407. </w:t>
      </w:r>
      <w:hyperlink r:id="rId15" w:history="1">
        <w:r w:rsidR="002A2980" w:rsidRPr="002362DE">
          <w:rPr>
            <w:rStyle w:val="Hyperlink"/>
            <w:rFonts w:ascii="Times New Roman" w:hAnsi="Times New Roman" w:cs="Times New Roman"/>
            <w:sz w:val="24"/>
            <w:szCs w:val="24"/>
            <w:lang w:val="en-US"/>
          </w:rPr>
          <w:t>LINK</w:t>
        </w:r>
        <w:r w:rsidR="002A2980" w:rsidRPr="008A3C1E">
          <w:rPr>
            <w:rStyle w:val="Hyperlink"/>
            <w:rFonts w:ascii="Times New Roman" w:hAnsi="Times New Roman" w:cs="Times New Roman"/>
            <w:sz w:val="24"/>
            <w:szCs w:val="24"/>
            <w:lang w:val="en-US"/>
          </w:rPr>
          <w:t>.</w:t>
        </w:r>
      </w:hyperlink>
    </w:p>
    <w:p w14:paraId="3B7C20C3" w14:textId="74FA1EAC" w:rsidR="00E57101" w:rsidRPr="008A3C1E" w:rsidRDefault="00E57101"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 xml:space="preserve">Johnson, D.J., Beaulieu, W., Bever, J.D., Clay, K. 2012. Conspecific negative density dependence and forest diversity. Science 336: 904-907. </w:t>
      </w:r>
      <w:hyperlink r:id="rId16" w:history="1">
        <w:r w:rsidR="002A2980" w:rsidRPr="002362DE">
          <w:rPr>
            <w:rStyle w:val="Hyperlink"/>
            <w:rFonts w:ascii="Times New Roman" w:hAnsi="Times New Roman" w:cs="Times New Roman"/>
            <w:sz w:val="24"/>
            <w:szCs w:val="24"/>
            <w:lang w:val="en-US"/>
          </w:rPr>
          <w:t>LINK</w:t>
        </w:r>
        <w:r w:rsidR="002A2980" w:rsidRPr="008A3C1E">
          <w:rPr>
            <w:rStyle w:val="Hyperlink"/>
            <w:rFonts w:ascii="Times New Roman" w:hAnsi="Times New Roman" w:cs="Times New Roman"/>
            <w:sz w:val="24"/>
            <w:szCs w:val="24"/>
            <w:lang w:val="en-US"/>
          </w:rPr>
          <w:t>.</w:t>
        </w:r>
      </w:hyperlink>
    </w:p>
    <w:p w14:paraId="6DC96A8E" w14:textId="6201A981" w:rsidR="00850A21" w:rsidRPr="008A3C1E" w:rsidRDefault="00850A21"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 xml:space="preserve">Hülsmann, L., Chisholm, R.A., Hartig, F. 2021. Is variation in conspecific negative density dependence driving tree diversity patterns at large scales? Trends in Ecology and Evolution 36: 151-163. </w:t>
      </w:r>
      <w:hyperlink r:id="rId17" w:history="1">
        <w:r w:rsidR="00234ABA" w:rsidRPr="002362DE">
          <w:rPr>
            <w:rStyle w:val="Hyperlink"/>
            <w:rFonts w:ascii="Times New Roman" w:hAnsi="Times New Roman" w:cs="Times New Roman"/>
            <w:sz w:val="24"/>
            <w:szCs w:val="24"/>
            <w:lang w:val="en-US"/>
          </w:rPr>
          <w:t>LINK</w:t>
        </w:r>
        <w:r w:rsidR="00234ABA" w:rsidRPr="008A3C1E">
          <w:rPr>
            <w:rStyle w:val="Hyperlink"/>
            <w:rFonts w:ascii="Times New Roman" w:hAnsi="Times New Roman" w:cs="Times New Roman"/>
            <w:sz w:val="24"/>
            <w:szCs w:val="24"/>
            <w:lang w:val="en-US"/>
          </w:rPr>
          <w:t>.</w:t>
        </w:r>
      </w:hyperlink>
    </w:p>
    <w:p w14:paraId="6309C8E3" w14:textId="6185B871" w:rsidR="00853A6D" w:rsidRPr="008A3C1E" w:rsidRDefault="00853A6D"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Hülsmann, L., Hartig, F. 2018. Comment on: Plant diversity increases with the strength of negative density dependence at the global scale. Science 360: eaar2435.</w:t>
      </w:r>
      <w:r w:rsidR="00234ABA" w:rsidRPr="008A3C1E">
        <w:rPr>
          <w:rFonts w:ascii="Times New Roman" w:hAnsi="Times New Roman" w:cs="Times New Roman"/>
          <w:sz w:val="24"/>
          <w:szCs w:val="24"/>
          <w:lang w:val="en-US"/>
        </w:rPr>
        <w:t xml:space="preserve"> </w:t>
      </w:r>
      <w:hyperlink r:id="rId18" w:history="1">
        <w:r w:rsidR="00234ABA" w:rsidRPr="002362DE">
          <w:rPr>
            <w:rStyle w:val="Hyperlink"/>
            <w:rFonts w:ascii="Times New Roman" w:hAnsi="Times New Roman" w:cs="Times New Roman"/>
            <w:sz w:val="24"/>
            <w:szCs w:val="24"/>
            <w:lang w:val="en-US"/>
          </w:rPr>
          <w:t>LINK</w:t>
        </w:r>
        <w:r w:rsidR="00234ABA" w:rsidRPr="008A3C1E">
          <w:rPr>
            <w:rStyle w:val="Hyperlink"/>
            <w:rFonts w:ascii="Times New Roman" w:hAnsi="Times New Roman" w:cs="Times New Roman"/>
            <w:sz w:val="24"/>
            <w:szCs w:val="24"/>
            <w:lang w:val="en-US"/>
          </w:rPr>
          <w:t>.</w:t>
        </w:r>
      </w:hyperlink>
    </w:p>
    <w:p w14:paraId="26EA07A9" w14:textId="58E08022" w:rsidR="00E57101" w:rsidRPr="008A3C1E" w:rsidRDefault="00E57101"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LaManna, J.A., Belote, R.T., Burkle, L.A., Catano, C.P., Myers, J.A. 2017. Negative density dependence mediates biodiversity-productivity relationships across scales. Nature Ecology and Evolution 1: 1107-1115.</w:t>
      </w:r>
      <w:r w:rsidR="00234ABA" w:rsidRPr="008A3C1E">
        <w:rPr>
          <w:rFonts w:ascii="Times New Roman" w:hAnsi="Times New Roman" w:cs="Times New Roman"/>
          <w:sz w:val="24"/>
          <w:szCs w:val="24"/>
          <w:lang w:val="en-US"/>
        </w:rPr>
        <w:t xml:space="preserve"> </w:t>
      </w:r>
      <w:hyperlink r:id="rId19" w:history="1">
        <w:r w:rsidR="00234ABA" w:rsidRPr="002362DE">
          <w:rPr>
            <w:rStyle w:val="Hyperlink"/>
            <w:rFonts w:ascii="Times New Roman" w:hAnsi="Times New Roman" w:cs="Times New Roman"/>
            <w:sz w:val="24"/>
            <w:szCs w:val="24"/>
            <w:lang w:val="en-US"/>
          </w:rPr>
          <w:t>LINK</w:t>
        </w:r>
        <w:r w:rsidR="00234ABA" w:rsidRPr="008A3C1E">
          <w:rPr>
            <w:rStyle w:val="Hyperlink"/>
            <w:rFonts w:ascii="Times New Roman" w:hAnsi="Times New Roman" w:cs="Times New Roman"/>
            <w:sz w:val="24"/>
            <w:szCs w:val="24"/>
            <w:lang w:val="en-US"/>
          </w:rPr>
          <w:t>.</w:t>
        </w:r>
      </w:hyperlink>
    </w:p>
    <w:p w14:paraId="50BDD181" w14:textId="47EFC5B5" w:rsidR="00234ABA" w:rsidRPr="008A3C1E" w:rsidRDefault="00E57101"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LaManna, J.,</w:t>
      </w:r>
      <w:r w:rsidR="00D815D0" w:rsidRPr="008A3C1E">
        <w:rPr>
          <w:rFonts w:ascii="Times New Roman" w:hAnsi="Times New Roman" w:cs="Times New Roman"/>
          <w:sz w:val="24"/>
          <w:szCs w:val="24"/>
          <w:lang w:val="en-US"/>
        </w:rPr>
        <w:t xml:space="preserve"> Mangan, S.A., Alonso, A. et al. 2017. Plant diversity increases with the strength of negative density dependence at the global scale. </w:t>
      </w:r>
      <w:r w:rsidRPr="008A3C1E">
        <w:rPr>
          <w:rFonts w:ascii="Times New Roman" w:hAnsi="Times New Roman" w:cs="Times New Roman"/>
          <w:sz w:val="24"/>
          <w:szCs w:val="24"/>
          <w:lang w:val="en-US"/>
        </w:rPr>
        <w:t>Science</w:t>
      </w:r>
      <w:r w:rsidR="00D815D0" w:rsidRPr="008A3C1E">
        <w:rPr>
          <w:rFonts w:ascii="Times New Roman" w:hAnsi="Times New Roman" w:cs="Times New Roman"/>
          <w:sz w:val="24"/>
          <w:szCs w:val="24"/>
          <w:lang w:val="en-US"/>
        </w:rPr>
        <w:t xml:space="preserve"> 356: 1389-1392</w:t>
      </w:r>
      <w:r w:rsidRPr="008A3C1E">
        <w:rPr>
          <w:rFonts w:ascii="Times New Roman" w:hAnsi="Times New Roman" w:cs="Times New Roman"/>
          <w:sz w:val="24"/>
          <w:szCs w:val="24"/>
          <w:lang w:val="en-US"/>
        </w:rPr>
        <w:t>.</w:t>
      </w:r>
      <w:r w:rsidR="001C7466" w:rsidRPr="008A3C1E">
        <w:rPr>
          <w:rFonts w:ascii="Times New Roman" w:hAnsi="Times New Roman" w:cs="Times New Roman"/>
          <w:sz w:val="24"/>
          <w:szCs w:val="24"/>
          <w:lang w:val="en-US"/>
        </w:rPr>
        <w:t xml:space="preserve"> </w:t>
      </w:r>
      <w:hyperlink r:id="rId20" w:history="1">
        <w:r w:rsidR="00234ABA" w:rsidRPr="002362DE">
          <w:rPr>
            <w:rFonts w:ascii="Times New Roman" w:hAnsi="Times New Roman" w:cs="Times New Roman"/>
            <w:sz w:val="24"/>
            <w:szCs w:val="24"/>
            <w:lang w:val="en-US"/>
          </w:rPr>
          <w:t>LINK</w:t>
        </w:r>
      </w:hyperlink>
      <w:r w:rsidR="00234ABA" w:rsidRPr="008A3C1E">
        <w:rPr>
          <w:rFonts w:ascii="Times New Roman" w:hAnsi="Times New Roman" w:cs="Times New Roman"/>
          <w:sz w:val="24"/>
          <w:szCs w:val="24"/>
          <w:lang w:val="en-US"/>
        </w:rPr>
        <w:t>.</w:t>
      </w:r>
    </w:p>
    <w:p w14:paraId="345BB60E" w14:textId="37A0763D" w:rsidR="001C7466" w:rsidRPr="008A3C1E" w:rsidRDefault="00234ABA"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 xml:space="preserve">Schliep, E.M., Gelfand, A.E., Clark, J.S., Tomasek, B.J. 2017. Biomass prediction using a density-dependent diameter distribution model. The Annals of Applied Statistics 11: 340-361. </w:t>
      </w:r>
      <w:hyperlink r:id="rId21" w:history="1">
        <w:r w:rsidRPr="002362DE">
          <w:rPr>
            <w:rStyle w:val="Hyperlink"/>
            <w:rFonts w:ascii="Times New Roman" w:hAnsi="Times New Roman" w:cs="Times New Roman"/>
            <w:sz w:val="24"/>
            <w:szCs w:val="24"/>
            <w:lang w:val="en-US"/>
          </w:rPr>
          <w:t>LINK</w:t>
        </w:r>
        <w:r w:rsidRPr="008A3C1E">
          <w:rPr>
            <w:rStyle w:val="Hyperlink"/>
            <w:rFonts w:ascii="Times New Roman" w:hAnsi="Times New Roman" w:cs="Times New Roman"/>
            <w:sz w:val="24"/>
            <w:szCs w:val="24"/>
            <w:lang w:val="en-US"/>
          </w:rPr>
          <w:t>.</w:t>
        </w:r>
      </w:hyperlink>
    </w:p>
    <w:p w14:paraId="3D6403D0" w14:textId="7555350E" w:rsidR="00600EDF" w:rsidRPr="008A3C1E" w:rsidRDefault="001C7466" w:rsidP="003D7230">
      <w:pPr>
        <w:pStyle w:val="Footer"/>
        <w:spacing w:line="360" w:lineRule="auto"/>
        <w:ind w:left="851" w:hanging="851"/>
        <w:jc w:val="both"/>
        <w:rPr>
          <w:rFonts w:ascii="Times New Roman" w:hAnsi="Times New Roman" w:cs="Times New Roman"/>
          <w:sz w:val="24"/>
          <w:szCs w:val="24"/>
          <w:lang w:val="en-US"/>
        </w:rPr>
      </w:pPr>
      <w:r w:rsidRPr="008A3C1E">
        <w:rPr>
          <w:rFonts w:ascii="Times New Roman" w:hAnsi="Times New Roman" w:cs="Times New Roman"/>
          <w:sz w:val="24"/>
          <w:szCs w:val="24"/>
          <w:lang w:val="en-US"/>
        </w:rPr>
        <w:t xml:space="preserve">Steidinger et al. </w:t>
      </w:r>
      <w:r w:rsidR="00850A21" w:rsidRPr="008A3C1E">
        <w:rPr>
          <w:rFonts w:ascii="Times New Roman" w:hAnsi="Times New Roman" w:cs="Times New Roman"/>
          <w:sz w:val="24"/>
          <w:szCs w:val="24"/>
          <w:lang w:val="en-US"/>
        </w:rPr>
        <w:t>2019. Climatic controls of decomposition drive the global biogeography of forest-tree symbioses. Nature 569: 404-408.</w:t>
      </w:r>
      <w:r w:rsidR="00234ABA" w:rsidRPr="008A3C1E">
        <w:rPr>
          <w:rFonts w:ascii="Times New Roman" w:hAnsi="Times New Roman" w:cs="Times New Roman"/>
          <w:sz w:val="24"/>
          <w:szCs w:val="24"/>
          <w:lang w:val="en-US"/>
        </w:rPr>
        <w:t xml:space="preserve"> </w:t>
      </w:r>
      <w:hyperlink r:id="rId22" w:history="1">
        <w:r w:rsidR="00234ABA" w:rsidRPr="008A3C1E">
          <w:rPr>
            <w:rStyle w:val="Hyperlink"/>
            <w:rFonts w:ascii="Times New Roman" w:hAnsi="Times New Roman" w:cs="Times New Roman"/>
            <w:sz w:val="24"/>
            <w:szCs w:val="24"/>
          </w:rPr>
          <w:t>LINK</w:t>
        </w:r>
        <w:r w:rsidR="00234ABA" w:rsidRPr="008A3C1E">
          <w:rPr>
            <w:rStyle w:val="Hyperlink"/>
            <w:rFonts w:ascii="Times New Roman" w:hAnsi="Times New Roman" w:cs="Times New Roman"/>
            <w:sz w:val="24"/>
            <w:szCs w:val="24"/>
            <w:lang w:val="en-US"/>
          </w:rPr>
          <w:t>.</w:t>
        </w:r>
      </w:hyperlink>
    </w:p>
    <w:sectPr w:rsidR="00600EDF" w:rsidRPr="008A3C1E">
      <w:footerReference w:type="even"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8BFB8" w14:textId="77777777" w:rsidR="00D26597" w:rsidRDefault="00D26597" w:rsidP="009A257D">
      <w:pPr>
        <w:spacing w:after="0" w:line="240" w:lineRule="auto"/>
      </w:pPr>
      <w:r>
        <w:separator/>
      </w:r>
    </w:p>
  </w:endnote>
  <w:endnote w:type="continuationSeparator" w:id="0">
    <w:p w14:paraId="0B230213" w14:textId="77777777" w:rsidR="00D26597" w:rsidRDefault="00D26597" w:rsidP="009A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3579607"/>
      <w:docPartObj>
        <w:docPartGallery w:val="Page Numbers (Bottom of Page)"/>
        <w:docPartUnique/>
      </w:docPartObj>
    </w:sdtPr>
    <w:sdtEndPr>
      <w:rPr>
        <w:rStyle w:val="PageNumber"/>
      </w:rPr>
    </w:sdtEndPr>
    <w:sdtContent>
      <w:p w14:paraId="4CEF1815" w14:textId="24C721EE" w:rsidR="00B177AB" w:rsidRDefault="00B177AB" w:rsidP="003856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1CAD5" w14:textId="77777777" w:rsidR="00B177AB" w:rsidRDefault="00B177AB" w:rsidP="00B177A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4645735"/>
      <w:docPartObj>
        <w:docPartGallery w:val="Page Numbers (Bottom of Page)"/>
        <w:docPartUnique/>
      </w:docPartObj>
    </w:sdtPr>
    <w:sdtEndPr>
      <w:rPr>
        <w:rStyle w:val="PageNumber"/>
      </w:rPr>
    </w:sdtEndPr>
    <w:sdtContent>
      <w:p w14:paraId="1BFBD777" w14:textId="3236A8A9" w:rsidR="00B177AB" w:rsidRDefault="00B177AB" w:rsidP="0038563C">
        <w:pPr>
          <w:pStyle w:val="Footer"/>
          <w:framePr w:wrap="none" w:vAnchor="text" w:hAnchor="margin" w:xAlign="right" w:y="1"/>
          <w:rPr>
            <w:rStyle w:val="PageNumber"/>
          </w:rPr>
        </w:pPr>
        <w:r w:rsidRPr="00B177AB">
          <w:rPr>
            <w:rStyle w:val="PageNumber"/>
            <w:rFonts w:ascii="Times New Roman" w:hAnsi="Times New Roman" w:cs="Times New Roman"/>
            <w:b/>
            <w:bCs/>
            <w:color w:val="000000" w:themeColor="text1"/>
            <w:sz w:val="24"/>
            <w:szCs w:val="24"/>
          </w:rPr>
          <w:fldChar w:fldCharType="begin"/>
        </w:r>
        <w:r w:rsidRPr="00B177AB">
          <w:rPr>
            <w:rStyle w:val="PageNumber"/>
            <w:rFonts w:ascii="Times New Roman" w:hAnsi="Times New Roman" w:cs="Times New Roman"/>
            <w:b/>
            <w:bCs/>
            <w:color w:val="000000" w:themeColor="text1"/>
            <w:sz w:val="24"/>
            <w:szCs w:val="24"/>
          </w:rPr>
          <w:instrText xml:space="preserve"> PAGE </w:instrText>
        </w:r>
        <w:r w:rsidRPr="00B177AB">
          <w:rPr>
            <w:rStyle w:val="PageNumber"/>
            <w:rFonts w:ascii="Times New Roman" w:hAnsi="Times New Roman" w:cs="Times New Roman"/>
            <w:b/>
            <w:bCs/>
            <w:color w:val="000000" w:themeColor="text1"/>
            <w:sz w:val="24"/>
            <w:szCs w:val="24"/>
          </w:rPr>
          <w:fldChar w:fldCharType="separate"/>
        </w:r>
        <w:r w:rsidR="005C5233">
          <w:rPr>
            <w:rStyle w:val="PageNumber"/>
            <w:rFonts w:ascii="Times New Roman" w:hAnsi="Times New Roman" w:cs="Times New Roman"/>
            <w:b/>
            <w:bCs/>
            <w:noProof/>
            <w:color w:val="000000" w:themeColor="text1"/>
            <w:sz w:val="24"/>
            <w:szCs w:val="24"/>
          </w:rPr>
          <w:t>2</w:t>
        </w:r>
        <w:r w:rsidRPr="00B177AB">
          <w:rPr>
            <w:rStyle w:val="PageNumber"/>
            <w:rFonts w:ascii="Times New Roman" w:hAnsi="Times New Roman" w:cs="Times New Roman"/>
            <w:b/>
            <w:bCs/>
            <w:color w:val="000000" w:themeColor="text1"/>
            <w:sz w:val="24"/>
            <w:szCs w:val="24"/>
          </w:rPr>
          <w:fldChar w:fldCharType="end"/>
        </w:r>
      </w:p>
    </w:sdtContent>
  </w:sdt>
  <w:p w14:paraId="63A3BFA4" w14:textId="77777777" w:rsidR="00B177AB" w:rsidRDefault="00B177AB" w:rsidP="00B177A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C9E5E" w14:textId="77777777" w:rsidR="00D26597" w:rsidRDefault="00D26597" w:rsidP="009A257D">
      <w:pPr>
        <w:spacing w:after="0" w:line="240" w:lineRule="auto"/>
      </w:pPr>
      <w:r>
        <w:separator/>
      </w:r>
    </w:p>
  </w:footnote>
  <w:footnote w:type="continuationSeparator" w:id="0">
    <w:p w14:paraId="3489BDBF" w14:textId="77777777" w:rsidR="00D26597" w:rsidRDefault="00D26597" w:rsidP="009A2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3A40"/>
    <w:multiLevelType w:val="hybridMultilevel"/>
    <w:tmpl w:val="0584D9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A76C8A"/>
    <w:multiLevelType w:val="multilevel"/>
    <w:tmpl w:val="9322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93962"/>
    <w:multiLevelType w:val="multilevel"/>
    <w:tmpl w:val="2592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C4C77"/>
    <w:multiLevelType w:val="multilevel"/>
    <w:tmpl w:val="54B4D0A0"/>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872D4"/>
    <w:multiLevelType w:val="hybridMultilevel"/>
    <w:tmpl w:val="24BA5242"/>
    <w:lvl w:ilvl="0" w:tplc="CBB8DAA2">
      <w:start w:val="1"/>
      <w:numFmt w:val="decimal"/>
      <w:lvlText w:val="%1)"/>
      <w:lvlJc w:val="left"/>
      <w:pPr>
        <w:ind w:left="720" w:hanging="360"/>
      </w:pPr>
      <w:rPr>
        <w:rFonts w:ascii="Times New Roman" w:hAnsi="Times New Roman" w:cs="Times New Roman" w:hint="default"/>
        <w:b w:val="0"/>
        <w:i w:val="0"/>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337475"/>
    <w:multiLevelType w:val="multilevel"/>
    <w:tmpl w:val="DBE47CE6"/>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66A03"/>
    <w:multiLevelType w:val="hybridMultilevel"/>
    <w:tmpl w:val="A37C4BE6"/>
    <w:lvl w:ilvl="0" w:tplc="08070001">
      <w:start w:val="1"/>
      <w:numFmt w:val="bullet"/>
      <w:lvlText w:val=""/>
      <w:lvlJc w:val="left"/>
      <w:pPr>
        <w:ind w:left="900" w:hanging="360"/>
      </w:pPr>
      <w:rPr>
        <w:rFonts w:ascii="Symbol" w:hAnsi="Symbol" w:hint="default"/>
      </w:rPr>
    </w:lvl>
    <w:lvl w:ilvl="1" w:tplc="08070003" w:tentative="1">
      <w:start w:val="1"/>
      <w:numFmt w:val="bullet"/>
      <w:lvlText w:val="o"/>
      <w:lvlJc w:val="left"/>
      <w:pPr>
        <w:ind w:left="1620" w:hanging="360"/>
      </w:pPr>
      <w:rPr>
        <w:rFonts w:ascii="Courier New" w:hAnsi="Courier New" w:cs="Courier New" w:hint="default"/>
      </w:rPr>
    </w:lvl>
    <w:lvl w:ilvl="2" w:tplc="08070005" w:tentative="1">
      <w:start w:val="1"/>
      <w:numFmt w:val="bullet"/>
      <w:lvlText w:val=""/>
      <w:lvlJc w:val="left"/>
      <w:pPr>
        <w:ind w:left="2340" w:hanging="360"/>
      </w:pPr>
      <w:rPr>
        <w:rFonts w:ascii="Wingdings" w:hAnsi="Wingdings" w:hint="default"/>
      </w:rPr>
    </w:lvl>
    <w:lvl w:ilvl="3" w:tplc="08070001" w:tentative="1">
      <w:start w:val="1"/>
      <w:numFmt w:val="bullet"/>
      <w:lvlText w:val=""/>
      <w:lvlJc w:val="left"/>
      <w:pPr>
        <w:ind w:left="3060" w:hanging="360"/>
      </w:pPr>
      <w:rPr>
        <w:rFonts w:ascii="Symbol" w:hAnsi="Symbol" w:hint="default"/>
      </w:rPr>
    </w:lvl>
    <w:lvl w:ilvl="4" w:tplc="08070003" w:tentative="1">
      <w:start w:val="1"/>
      <w:numFmt w:val="bullet"/>
      <w:lvlText w:val="o"/>
      <w:lvlJc w:val="left"/>
      <w:pPr>
        <w:ind w:left="3780" w:hanging="360"/>
      </w:pPr>
      <w:rPr>
        <w:rFonts w:ascii="Courier New" w:hAnsi="Courier New" w:cs="Courier New" w:hint="default"/>
      </w:rPr>
    </w:lvl>
    <w:lvl w:ilvl="5" w:tplc="08070005" w:tentative="1">
      <w:start w:val="1"/>
      <w:numFmt w:val="bullet"/>
      <w:lvlText w:val=""/>
      <w:lvlJc w:val="left"/>
      <w:pPr>
        <w:ind w:left="4500" w:hanging="360"/>
      </w:pPr>
      <w:rPr>
        <w:rFonts w:ascii="Wingdings" w:hAnsi="Wingdings" w:hint="default"/>
      </w:rPr>
    </w:lvl>
    <w:lvl w:ilvl="6" w:tplc="08070001" w:tentative="1">
      <w:start w:val="1"/>
      <w:numFmt w:val="bullet"/>
      <w:lvlText w:val=""/>
      <w:lvlJc w:val="left"/>
      <w:pPr>
        <w:ind w:left="5220" w:hanging="360"/>
      </w:pPr>
      <w:rPr>
        <w:rFonts w:ascii="Symbol" w:hAnsi="Symbol" w:hint="default"/>
      </w:rPr>
    </w:lvl>
    <w:lvl w:ilvl="7" w:tplc="08070003" w:tentative="1">
      <w:start w:val="1"/>
      <w:numFmt w:val="bullet"/>
      <w:lvlText w:val="o"/>
      <w:lvlJc w:val="left"/>
      <w:pPr>
        <w:ind w:left="5940" w:hanging="360"/>
      </w:pPr>
      <w:rPr>
        <w:rFonts w:ascii="Courier New" w:hAnsi="Courier New" w:cs="Courier New" w:hint="default"/>
      </w:rPr>
    </w:lvl>
    <w:lvl w:ilvl="8" w:tplc="08070005" w:tentative="1">
      <w:start w:val="1"/>
      <w:numFmt w:val="bullet"/>
      <w:lvlText w:val=""/>
      <w:lvlJc w:val="left"/>
      <w:pPr>
        <w:ind w:left="666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B1"/>
    <w:rsid w:val="000455E5"/>
    <w:rsid w:val="00114CF7"/>
    <w:rsid w:val="00152C8B"/>
    <w:rsid w:val="00186769"/>
    <w:rsid w:val="001C7466"/>
    <w:rsid w:val="00203FFC"/>
    <w:rsid w:val="00234ABA"/>
    <w:rsid w:val="002362DE"/>
    <w:rsid w:val="002A0BEE"/>
    <w:rsid w:val="002A2980"/>
    <w:rsid w:val="002A3F1A"/>
    <w:rsid w:val="002B38E6"/>
    <w:rsid w:val="002C08D4"/>
    <w:rsid w:val="002D38C0"/>
    <w:rsid w:val="002E0FCF"/>
    <w:rsid w:val="00331F1F"/>
    <w:rsid w:val="003434B7"/>
    <w:rsid w:val="00352304"/>
    <w:rsid w:val="003542E7"/>
    <w:rsid w:val="00354668"/>
    <w:rsid w:val="003D7230"/>
    <w:rsid w:val="004979BF"/>
    <w:rsid w:val="004D69D4"/>
    <w:rsid w:val="004F56CA"/>
    <w:rsid w:val="00503AC4"/>
    <w:rsid w:val="00582A7A"/>
    <w:rsid w:val="005A62DA"/>
    <w:rsid w:val="005C3F52"/>
    <w:rsid w:val="005C5233"/>
    <w:rsid w:val="00600EDF"/>
    <w:rsid w:val="006479CB"/>
    <w:rsid w:val="006C379E"/>
    <w:rsid w:val="0076348C"/>
    <w:rsid w:val="007C28E1"/>
    <w:rsid w:val="00850A21"/>
    <w:rsid w:val="00853A6D"/>
    <w:rsid w:val="00890DFA"/>
    <w:rsid w:val="008A3C1E"/>
    <w:rsid w:val="008E0054"/>
    <w:rsid w:val="00956DA2"/>
    <w:rsid w:val="0097470D"/>
    <w:rsid w:val="009A257D"/>
    <w:rsid w:val="009A764F"/>
    <w:rsid w:val="009E0294"/>
    <w:rsid w:val="009E5ED4"/>
    <w:rsid w:val="00A440B1"/>
    <w:rsid w:val="00A9694C"/>
    <w:rsid w:val="00AA2A37"/>
    <w:rsid w:val="00AB6A85"/>
    <w:rsid w:val="00B177AB"/>
    <w:rsid w:val="00B46645"/>
    <w:rsid w:val="00B47B96"/>
    <w:rsid w:val="00B64BAA"/>
    <w:rsid w:val="00B85DC5"/>
    <w:rsid w:val="00BB4558"/>
    <w:rsid w:val="00C056EA"/>
    <w:rsid w:val="00C6079C"/>
    <w:rsid w:val="00CB0A24"/>
    <w:rsid w:val="00CB33A3"/>
    <w:rsid w:val="00CE59CB"/>
    <w:rsid w:val="00CF79DD"/>
    <w:rsid w:val="00D26597"/>
    <w:rsid w:val="00D72844"/>
    <w:rsid w:val="00D815D0"/>
    <w:rsid w:val="00DF5B1E"/>
    <w:rsid w:val="00E57101"/>
    <w:rsid w:val="00E571FE"/>
    <w:rsid w:val="00EA634B"/>
    <w:rsid w:val="00EB37CA"/>
    <w:rsid w:val="00ED17A7"/>
    <w:rsid w:val="00F01F62"/>
    <w:rsid w:val="00F43D35"/>
    <w:rsid w:val="00F51F84"/>
    <w:rsid w:val="00FD53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0C05"/>
  <w15:chartTrackingRefBased/>
  <w15:docId w15:val="{E9763F2B-1BE3-42EE-9989-A542E684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257D"/>
  </w:style>
  <w:style w:type="paragraph" w:styleId="Footer">
    <w:name w:val="footer"/>
    <w:basedOn w:val="Normal"/>
    <w:link w:val="FooterChar"/>
    <w:uiPriority w:val="99"/>
    <w:unhideWhenUsed/>
    <w:rsid w:val="009A2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257D"/>
  </w:style>
  <w:style w:type="paragraph" w:styleId="ListParagraph">
    <w:name w:val="List Paragraph"/>
    <w:basedOn w:val="Normal"/>
    <w:uiPriority w:val="34"/>
    <w:qFormat/>
    <w:rsid w:val="00EA634B"/>
    <w:pPr>
      <w:ind w:left="720"/>
      <w:contextualSpacing/>
    </w:pPr>
  </w:style>
  <w:style w:type="character" w:styleId="Hyperlink">
    <w:name w:val="Hyperlink"/>
    <w:basedOn w:val="DefaultParagraphFont"/>
    <w:uiPriority w:val="99"/>
    <w:unhideWhenUsed/>
    <w:rsid w:val="00234ABA"/>
    <w:rPr>
      <w:color w:val="0563C1" w:themeColor="hyperlink"/>
      <w:u w:val="single"/>
    </w:rPr>
  </w:style>
  <w:style w:type="character" w:styleId="PageNumber">
    <w:name w:val="page number"/>
    <w:basedOn w:val="DefaultParagraphFont"/>
    <w:uiPriority w:val="99"/>
    <w:semiHidden/>
    <w:unhideWhenUsed/>
    <w:rsid w:val="00B177AB"/>
  </w:style>
  <w:style w:type="character" w:styleId="FollowedHyperlink">
    <w:name w:val="FollowedHyperlink"/>
    <w:basedOn w:val="DefaultParagraphFont"/>
    <w:uiPriority w:val="99"/>
    <w:semiHidden/>
    <w:unhideWhenUsed/>
    <w:rsid w:val="006C379E"/>
    <w:rPr>
      <w:color w:val="954F72" w:themeColor="followedHyperlink"/>
      <w:u w:val="single"/>
    </w:rPr>
  </w:style>
  <w:style w:type="character" w:customStyle="1" w:styleId="UnresolvedMention">
    <w:name w:val="Unresolved Mention"/>
    <w:basedOn w:val="DefaultParagraphFont"/>
    <w:uiPriority w:val="99"/>
    <w:semiHidden/>
    <w:unhideWhenUsed/>
    <w:rsid w:val="008A3C1E"/>
    <w:rPr>
      <w:color w:val="605E5C"/>
      <w:shd w:val="clear" w:color="auto" w:fill="E1DFDD"/>
    </w:rPr>
  </w:style>
  <w:style w:type="character" w:styleId="CommentReference">
    <w:name w:val="annotation reference"/>
    <w:basedOn w:val="DefaultParagraphFont"/>
    <w:uiPriority w:val="99"/>
    <w:semiHidden/>
    <w:unhideWhenUsed/>
    <w:rsid w:val="00186769"/>
    <w:rPr>
      <w:sz w:val="16"/>
      <w:szCs w:val="16"/>
    </w:rPr>
  </w:style>
  <w:style w:type="paragraph" w:styleId="CommentText">
    <w:name w:val="annotation text"/>
    <w:basedOn w:val="Normal"/>
    <w:link w:val="CommentTextChar"/>
    <w:uiPriority w:val="99"/>
    <w:semiHidden/>
    <w:unhideWhenUsed/>
    <w:rsid w:val="00186769"/>
    <w:pPr>
      <w:spacing w:line="240" w:lineRule="auto"/>
    </w:pPr>
    <w:rPr>
      <w:sz w:val="20"/>
      <w:szCs w:val="20"/>
    </w:rPr>
  </w:style>
  <w:style w:type="character" w:customStyle="1" w:styleId="CommentTextChar">
    <w:name w:val="Comment Text Char"/>
    <w:basedOn w:val="DefaultParagraphFont"/>
    <w:link w:val="CommentText"/>
    <w:uiPriority w:val="99"/>
    <w:semiHidden/>
    <w:rsid w:val="00186769"/>
    <w:rPr>
      <w:sz w:val="20"/>
      <w:szCs w:val="20"/>
    </w:rPr>
  </w:style>
  <w:style w:type="paragraph" w:styleId="CommentSubject">
    <w:name w:val="annotation subject"/>
    <w:basedOn w:val="CommentText"/>
    <w:next w:val="CommentText"/>
    <w:link w:val="CommentSubjectChar"/>
    <w:uiPriority w:val="99"/>
    <w:semiHidden/>
    <w:unhideWhenUsed/>
    <w:rsid w:val="00186769"/>
    <w:rPr>
      <w:b/>
      <w:bCs/>
    </w:rPr>
  </w:style>
  <w:style w:type="character" w:customStyle="1" w:styleId="CommentSubjectChar">
    <w:name w:val="Comment Subject Char"/>
    <w:basedOn w:val="CommentTextChar"/>
    <w:link w:val="CommentSubject"/>
    <w:uiPriority w:val="99"/>
    <w:semiHidden/>
    <w:rsid w:val="00186769"/>
    <w:rPr>
      <w:b/>
      <w:bCs/>
      <w:sz w:val="20"/>
      <w:szCs w:val="20"/>
    </w:rPr>
  </w:style>
  <w:style w:type="paragraph" w:styleId="BalloonText">
    <w:name w:val="Balloon Text"/>
    <w:basedOn w:val="Normal"/>
    <w:link w:val="BalloonTextChar"/>
    <w:uiPriority w:val="99"/>
    <w:semiHidden/>
    <w:unhideWhenUsed/>
    <w:rsid w:val="00186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7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0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library.wiley.com/doi/full/10.1111/ele.13372" TargetMode="External"/><Relationship Id="rId18" Type="http://schemas.openxmlformats.org/officeDocument/2006/relationships/hyperlink" Target="https://science.sciencemag.org/content/360/6391/eaar2435.abstra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jecteuclid.org/journals/annals-of-applied-statistics/volume-11/issue-1/Biomass-prediction-using-a-density-dependent-diameter-distribution-model/10.1214/16-AOAS1007.full" TargetMode="External"/><Relationship Id="rId7" Type="http://schemas.openxmlformats.org/officeDocument/2006/relationships/image" Target="media/image1.png"/><Relationship Id="rId12" Type="http://schemas.openxmlformats.org/officeDocument/2006/relationships/hyperlink" Target="https://science.sciencemag.org/content/360/6391/eaar4685.abstract" TargetMode="External"/><Relationship Id="rId17" Type="http://schemas.openxmlformats.org/officeDocument/2006/relationships/hyperlink" Target="https://www.sciencedirect.com/science/article/pii/S016953472030263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ence.sciencemag.org/content/336/6083/904.abstract" TargetMode="External"/><Relationship Id="rId20" Type="http://schemas.openxmlformats.org/officeDocument/2006/relationships/hyperlink" Target="https://science.sciencemag.org/content/356/6345/1389.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ence.sciencemag.org/content/355/6321/181.abstrac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ature.com/articles/s41559-018-0622-3"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nature.com/articles/s41559-017-022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ence.sciencemag.org/content/338/6106/469.2.abstract" TargetMode="External"/><Relationship Id="rId22" Type="http://schemas.openxmlformats.org/officeDocument/2006/relationships/hyperlink" Target="https://www.nature.com/articles/s41586-019-11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1566</Words>
  <Characters>9873</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Zurich, Department of Geography</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Eppinga</dc:creator>
  <cp:keywords/>
  <dc:description/>
  <cp:lastModifiedBy>Maarten Eppinga</cp:lastModifiedBy>
  <cp:revision>2</cp:revision>
  <dcterms:created xsi:type="dcterms:W3CDTF">2021-10-03T15:17:00Z</dcterms:created>
  <dcterms:modified xsi:type="dcterms:W3CDTF">2021-10-03T15:17:00Z</dcterms:modified>
</cp:coreProperties>
</file>