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DFA" w:rsidRPr="003A6DFA" w:rsidRDefault="003A6DFA" w:rsidP="00E0510E">
      <w:pPr>
        <w:pStyle w:val="Default"/>
        <w:spacing w:line="276" w:lineRule="auto"/>
        <w:jc w:val="both"/>
        <w:rPr>
          <w:sz w:val="28"/>
          <w:szCs w:val="28"/>
          <w:lang w:val="en-US"/>
        </w:rPr>
      </w:pPr>
      <w:r w:rsidRPr="003A6DFA">
        <w:rPr>
          <w:sz w:val="28"/>
          <w:szCs w:val="28"/>
          <w:lang w:val="en-US"/>
        </w:rPr>
        <w:t xml:space="preserve">Description of the data file </w:t>
      </w:r>
    </w:p>
    <w:p w:rsidR="00216E1C" w:rsidRDefault="00216E1C" w:rsidP="00E0510E">
      <w:pPr>
        <w:pStyle w:val="Default"/>
        <w:spacing w:line="276" w:lineRule="auto"/>
        <w:jc w:val="both"/>
        <w:rPr>
          <w:sz w:val="23"/>
          <w:szCs w:val="23"/>
          <w:lang w:val="en-US"/>
        </w:rPr>
      </w:pPr>
    </w:p>
    <w:p w:rsidR="003B461B" w:rsidRDefault="003B461B" w:rsidP="00E0510E">
      <w:pPr>
        <w:pStyle w:val="Default"/>
        <w:spacing w:line="276" w:lineRule="auto"/>
        <w:jc w:val="both"/>
        <w:rPr>
          <w:lang w:val="en-US"/>
        </w:rPr>
      </w:pPr>
      <w:r w:rsidRPr="003B461B">
        <w:rPr>
          <w:b/>
          <w:lang w:val="en-US"/>
        </w:rPr>
        <w:t>Background of the dataset</w:t>
      </w:r>
    </w:p>
    <w:p w:rsidR="003B461B" w:rsidRDefault="003B461B" w:rsidP="003B461B">
      <w:pPr>
        <w:pStyle w:val="Default"/>
        <w:spacing w:line="276" w:lineRule="auto"/>
        <w:jc w:val="both"/>
        <w:rPr>
          <w:lang w:val="en-US"/>
        </w:rPr>
      </w:pPr>
      <w:r>
        <w:rPr>
          <w:lang w:val="en-US"/>
        </w:rPr>
        <w:t>The dataset comprises a subset of the USDA’s Forest Inventory and Analysis (FIA) census from 2009. Details regarding the preparation of the dataset can be found in:</w:t>
      </w:r>
    </w:p>
    <w:p w:rsidR="003B461B" w:rsidRDefault="003B461B" w:rsidP="003B461B">
      <w:pPr>
        <w:pStyle w:val="Default"/>
        <w:spacing w:line="276" w:lineRule="auto"/>
        <w:jc w:val="both"/>
        <w:rPr>
          <w:lang w:val="en-US"/>
        </w:rPr>
      </w:pPr>
    </w:p>
    <w:p w:rsidR="003B461B" w:rsidRPr="003B461B" w:rsidRDefault="003B461B" w:rsidP="003B461B">
      <w:pPr>
        <w:pStyle w:val="Default"/>
        <w:spacing w:line="276" w:lineRule="auto"/>
        <w:jc w:val="both"/>
        <w:rPr>
          <w:lang w:val="en-US"/>
        </w:rPr>
      </w:pPr>
      <w:r w:rsidRPr="003B461B">
        <w:rPr>
          <w:lang w:val="en-US"/>
        </w:rPr>
        <w:t xml:space="preserve">Johnson, D.J., Beaulieu, W., Bever, J.D., Clay, K. 2012. Conspecific negative density dependence and forest diversity. Science 336: 904-907. </w:t>
      </w:r>
    </w:p>
    <w:p w:rsidR="003B461B" w:rsidRDefault="003B461B" w:rsidP="003B461B">
      <w:pPr>
        <w:pStyle w:val="Footer"/>
        <w:jc w:val="both"/>
        <w:rPr>
          <w:rFonts w:ascii="Times New Roman" w:hAnsi="Times New Roman" w:cs="Times New Roman"/>
          <w:sz w:val="24"/>
          <w:szCs w:val="24"/>
          <w:lang w:val="en-US"/>
        </w:rPr>
      </w:pPr>
    </w:p>
    <w:p w:rsidR="003B461B" w:rsidRPr="003B461B" w:rsidRDefault="003B461B" w:rsidP="003B461B">
      <w:pPr>
        <w:pStyle w:val="Footer"/>
        <w:jc w:val="both"/>
        <w:rPr>
          <w:rFonts w:ascii="Times New Roman" w:hAnsi="Times New Roman" w:cs="Times New Roman"/>
          <w:sz w:val="24"/>
          <w:szCs w:val="24"/>
          <w:lang w:val="en-US"/>
        </w:rPr>
      </w:pPr>
      <w:r w:rsidRPr="003B461B">
        <w:rPr>
          <w:rFonts w:ascii="Times New Roman" w:hAnsi="Times New Roman" w:cs="Times New Roman"/>
          <w:sz w:val="24"/>
          <w:szCs w:val="24"/>
          <w:lang w:val="en-US"/>
        </w:rPr>
        <w:t>Eppinga, M.B., Baudena, M., Johnson, D.J., Jiang, J., Mack, K.M.L., Strand, A.E., Bever, J.D. 2018. Frequency-dependent feedback constrains plant community coexistence. Nature Ecology and Evolution 2: 1403-1407</w:t>
      </w:r>
      <w:r w:rsidRPr="003B461B">
        <w:rPr>
          <w:rFonts w:ascii="Times New Roman" w:hAnsi="Times New Roman" w:cs="Times New Roman"/>
          <w:sz w:val="24"/>
          <w:szCs w:val="24"/>
          <w:lang w:val="en-US"/>
        </w:rPr>
        <w:t>.</w:t>
      </w:r>
    </w:p>
    <w:p w:rsidR="003A6DFA" w:rsidRPr="008E46E2" w:rsidRDefault="003A6DFA" w:rsidP="00E0510E">
      <w:pPr>
        <w:pStyle w:val="Default"/>
        <w:spacing w:line="276" w:lineRule="auto"/>
        <w:jc w:val="both"/>
        <w:rPr>
          <w:b/>
          <w:bCs/>
          <w:lang w:val="en-US"/>
        </w:rPr>
      </w:pPr>
    </w:p>
    <w:p w:rsidR="00EA1C89" w:rsidRPr="008E46E2" w:rsidRDefault="00EA1C89" w:rsidP="00E0510E">
      <w:pPr>
        <w:pStyle w:val="Default"/>
        <w:spacing w:line="276" w:lineRule="auto"/>
        <w:jc w:val="both"/>
        <w:rPr>
          <w:b/>
          <w:bCs/>
          <w:lang w:val="en-US"/>
        </w:rPr>
      </w:pPr>
    </w:p>
    <w:p w:rsidR="003A6DFA" w:rsidRPr="008E46E2" w:rsidRDefault="003A6DFA" w:rsidP="00E0510E">
      <w:pPr>
        <w:pStyle w:val="Default"/>
        <w:spacing w:line="276" w:lineRule="auto"/>
        <w:jc w:val="both"/>
        <w:rPr>
          <w:lang w:val="en-US"/>
        </w:rPr>
      </w:pPr>
      <w:r w:rsidRPr="008E46E2">
        <w:rPr>
          <w:b/>
          <w:bCs/>
          <w:lang w:val="en-US"/>
        </w:rPr>
        <w:t xml:space="preserve">Overview of the data </w:t>
      </w:r>
      <w:r w:rsidR="00E0510E" w:rsidRPr="008E46E2">
        <w:rPr>
          <w:b/>
          <w:bCs/>
          <w:lang w:val="en-US"/>
        </w:rPr>
        <w:t>folder</w:t>
      </w:r>
    </w:p>
    <w:p w:rsidR="003A6DFA" w:rsidRPr="008E46E2" w:rsidRDefault="003A6DFA" w:rsidP="00E0510E">
      <w:pPr>
        <w:pStyle w:val="Default"/>
        <w:spacing w:line="276" w:lineRule="auto"/>
        <w:jc w:val="both"/>
        <w:rPr>
          <w:lang w:val="en-US"/>
        </w:rPr>
      </w:pPr>
    </w:p>
    <w:p w:rsidR="003A6DFA" w:rsidRPr="008E46E2" w:rsidRDefault="003A6DFA" w:rsidP="00E0510E">
      <w:pPr>
        <w:pStyle w:val="Default"/>
        <w:spacing w:line="276" w:lineRule="auto"/>
        <w:jc w:val="both"/>
        <w:rPr>
          <w:lang w:val="en-US"/>
        </w:rPr>
      </w:pPr>
      <w:r w:rsidRPr="008E46E2">
        <w:rPr>
          <w:lang w:val="en-US"/>
        </w:rPr>
        <w:t xml:space="preserve">The </w:t>
      </w:r>
      <w:r w:rsidR="003B461B">
        <w:rPr>
          <w:lang w:val="en-US"/>
        </w:rPr>
        <w:t>data has been saved as a single file</w:t>
      </w:r>
      <w:r w:rsidRPr="008E46E2">
        <w:rPr>
          <w:lang w:val="en-US"/>
        </w:rPr>
        <w:t>:</w:t>
      </w:r>
    </w:p>
    <w:p w:rsidR="003A6DFA" w:rsidRPr="008E46E2" w:rsidRDefault="003A6DFA" w:rsidP="00E0510E">
      <w:pPr>
        <w:pStyle w:val="Default"/>
        <w:spacing w:line="276" w:lineRule="auto"/>
        <w:jc w:val="both"/>
        <w:rPr>
          <w:lang w:val="en-US"/>
        </w:rPr>
      </w:pPr>
    </w:p>
    <w:p w:rsidR="003A6DFA" w:rsidRPr="008E46E2" w:rsidRDefault="003B461B" w:rsidP="00E0510E">
      <w:pPr>
        <w:pStyle w:val="Default"/>
        <w:numPr>
          <w:ilvl w:val="0"/>
          <w:numId w:val="10"/>
        </w:numPr>
        <w:spacing w:line="276" w:lineRule="auto"/>
        <w:jc w:val="both"/>
        <w:rPr>
          <w:rFonts w:ascii="Courier New" w:hAnsi="Courier New" w:cs="Courier New"/>
          <w:sz w:val="20"/>
          <w:szCs w:val="20"/>
          <w:lang w:val="en-US"/>
        </w:rPr>
      </w:pPr>
      <w:r>
        <w:rPr>
          <w:rFonts w:ascii="Courier New" w:hAnsi="Courier New" w:cs="Courier New"/>
          <w:sz w:val="20"/>
          <w:szCs w:val="20"/>
          <w:lang w:val="en-US"/>
        </w:rPr>
        <w:t>FIAData</w:t>
      </w:r>
      <w:r w:rsidR="003A6DFA" w:rsidRPr="008E46E2">
        <w:rPr>
          <w:rFonts w:ascii="Courier New" w:hAnsi="Courier New" w:cs="Courier New"/>
          <w:sz w:val="20"/>
          <w:szCs w:val="20"/>
          <w:lang w:val="en-US"/>
        </w:rPr>
        <w:t>.txt</w:t>
      </w:r>
    </w:p>
    <w:p w:rsidR="003A6DFA" w:rsidRPr="008E46E2" w:rsidRDefault="003A6DFA" w:rsidP="00E0510E">
      <w:pPr>
        <w:pStyle w:val="Default"/>
        <w:spacing w:line="276" w:lineRule="auto"/>
        <w:jc w:val="both"/>
        <w:rPr>
          <w:lang w:val="en-US"/>
        </w:rPr>
      </w:pPr>
    </w:p>
    <w:p w:rsidR="003A6DFA" w:rsidRPr="008E46E2" w:rsidRDefault="006B25E0" w:rsidP="00E0510E">
      <w:pPr>
        <w:pStyle w:val="Default"/>
        <w:spacing w:line="276" w:lineRule="auto"/>
        <w:jc w:val="both"/>
        <w:rPr>
          <w:lang w:val="en-US"/>
        </w:rPr>
      </w:pPr>
      <w:r>
        <w:rPr>
          <w:lang w:val="en-US"/>
        </w:rPr>
        <w:t xml:space="preserve">This file contains no headers. </w:t>
      </w:r>
      <w:r w:rsidR="003A6DFA" w:rsidRPr="008E46E2">
        <w:rPr>
          <w:lang w:val="en-US"/>
        </w:rPr>
        <w:t xml:space="preserve">The </w:t>
      </w:r>
      <w:r w:rsidR="003B461B">
        <w:rPr>
          <w:lang w:val="en-US"/>
        </w:rPr>
        <w:t>dataset</w:t>
      </w:r>
      <w:r w:rsidR="003A6DFA" w:rsidRPr="008E46E2">
        <w:rPr>
          <w:lang w:val="en-US"/>
        </w:rPr>
        <w:t xml:space="preserve"> contains information on </w:t>
      </w:r>
      <w:r w:rsidR="003B461B">
        <w:rPr>
          <w:lang w:val="en-US"/>
        </w:rPr>
        <w:t>more than 200,000 forest plots within the contiguous United States, all situated east of the 100</w:t>
      </w:r>
      <w:r w:rsidR="003B461B" w:rsidRPr="003B461B">
        <w:rPr>
          <w:vertAlign w:val="superscript"/>
          <w:lang w:val="en-US"/>
        </w:rPr>
        <w:t>th</w:t>
      </w:r>
      <w:r w:rsidR="003B461B">
        <w:rPr>
          <w:lang w:val="en-US"/>
        </w:rPr>
        <w:t xml:space="preserve"> meridian. The plots are divided over ~ 65,000 </w:t>
      </w:r>
      <w:r w:rsidR="003A6DFA" w:rsidRPr="008E46E2">
        <w:rPr>
          <w:lang w:val="en-US"/>
        </w:rPr>
        <w:t>locations</w:t>
      </w:r>
      <w:r w:rsidR="003B461B">
        <w:rPr>
          <w:lang w:val="en-US"/>
        </w:rPr>
        <w:t xml:space="preserve">, meaning that at each location, 3-4 plots have been recorded (referred to as subplots). </w:t>
      </w:r>
      <w:r w:rsidR="003A6DFA" w:rsidRPr="008E46E2">
        <w:rPr>
          <w:lang w:val="en-US"/>
        </w:rPr>
        <w:t xml:space="preserve"> </w:t>
      </w:r>
      <w:r w:rsidR="003B461B">
        <w:rPr>
          <w:lang w:val="en-US"/>
        </w:rPr>
        <w:t xml:space="preserve">For each plot, all adult trees have been identified within a 24-foot (about 7.32 m) radius. Within each plot, seedlings have been recorded within a </w:t>
      </w:r>
      <w:r w:rsidR="00262551">
        <w:rPr>
          <w:lang w:val="en-US"/>
        </w:rPr>
        <w:t>subsection with a 6.8 foot radius (about 2.07 m), referred to as a microplot. The unit of observation within the dataset is species, that is, each row indicates the number and size of adults and seedlings of a species within a certain (sub)plot. More specifically, the data contains the following 9 variables:</w:t>
      </w:r>
      <w:r w:rsidR="003A6DFA" w:rsidRPr="008E46E2">
        <w:rPr>
          <w:lang w:val="en-US"/>
        </w:rPr>
        <w:t xml:space="preserve"> </w:t>
      </w:r>
    </w:p>
    <w:p w:rsidR="003A6DFA" w:rsidRPr="008E46E2" w:rsidRDefault="003A6DFA" w:rsidP="00E0510E">
      <w:pPr>
        <w:pStyle w:val="Default"/>
        <w:spacing w:line="276" w:lineRule="auto"/>
        <w:jc w:val="both"/>
        <w:rPr>
          <w:lang w:val="en-US"/>
        </w:rPr>
      </w:pPr>
    </w:p>
    <w:p w:rsidR="00E0510E" w:rsidRPr="008E46E2" w:rsidRDefault="00262551" w:rsidP="00E0510E">
      <w:pPr>
        <w:pStyle w:val="Default"/>
        <w:numPr>
          <w:ilvl w:val="0"/>
          <w:numId w:val="13"/>
        </w:numPr>
        <w:spacing w:line="276" w:lineRule="auto"/>
        <w:jc w:val="both"/>
        <w:rPr>
          <w:lang w:val="en-US"/>
        </w:rPr>
      </w:pPr>
      <w:r>
        <w:rPr>
          <w:i/>
          <w:iCs/>
          <w:lang w:val="en-US"/>
        </w:rPr>
        <w:t>Latitude</w:t>
      </w:r>
      <w:r w:rsidR="003A6DFA" w:rsidRPr="008E46E2">
        <w:rPr>
          <w:i/>
          <w:iCs/>
          <w:lang w:val="en-US"/>
        </w:rPr>
        <w:t xml:space="preserve">: </w:t>
      </w:r>
      <w:r>
        <w:rPr>
          <w:iCs/>
          <w:lang w:val="en-US"/>
        </w:rPr>
        <w:t>Part of the GPS location of the plot</w:t>
      </w:r>
      <w:r w:rsidR="00CD2198">
        <w:rPr>
          <w:iCs/>
          <w:lang w:val="en-US"/>
        </w:rPr>
        <w:t xml:space="preserve"> (i.e. the same for all subplots within a location)</w:t>
      </w:r>
      <w:r>
        <w:rPr>
          <w:iCs/>
          <w:lang w:val="en-US"/>
        </w:rPr>
        <w:t>, in decimal degrees.</w:t>
      </w:r>
      <w:r w:rsidR="00CD2198">
        <w:rPr>
          <w:iCs/>
          <w:lang w:val="en-US"/>
        </w:rPr>
        <w:t xml:space="preserve"> </w:t>
      </w:r>
      <w:r w:rsidR="003A6DFA" w:rsidRPr="008E46E2">
        <w:rPr>
          <w:lang w:val="en-US"/>
        </w:rPr>
        <w:t xml:space="preserve"> </w:t>
      </w:r>
    </w:p>
    <w:p w:rsidR="00E0510E" w:rsidRPr="008E46E2" w:rsidRDefault="00E0510E" w:rsidP="00E0510E">
      <w:pPr>
        <w:pStyle w:val="Default"/>
        <w:spacing w:line="276" w:lineRule="auto"/>
        <w:ind w:left="720"/>
        <w:jc w:val="both"/>
        <w:rPr>
          <w:lang w:val="en-US"/>
        </w:rPr>
      </w:pPr>
    </w:p>
    <w:p w:rsidR="00262551" w:rsidRPr="008E46E2" w:rsidRDefault="00262551" w:rsidP="00262551">
      <w:pPr>
        <w:pStyle w:val="Default"/>
        <w:numPr>
          <w:ilvl w:val="0"/>
          <w:numId w:val="13"/>
        </w:numPr>
        <w:spacing w:line="276" w:lineRule="auto"/>
        <w:jc w:val="both"/>
        <w:rPr>
          <w:lang w:val="en-US"/>
        </w:rPr>
      </w:pPr>
      <w:r w:rsidRPr="00262551">
        <w:rPr>
          <w:i/>
          <w:iCs/>
          <w:lang w:val="en-US"/>
        </w:rPr>
        <w:t>Longitude</w:t>
      </w:r>
      <w:r>
        <w:rPr>
          <w:i/>
          <w:iCs/>
          <w:lang w:val="en-US"/>
        </w:rPr>
        <w:t xml:space="preserve">: </w:t>
      </w:r>
      <w:r>
        <w:rPr>
          <w:iCs/>
          <w:lang w:val="en-US"/>
        </w:rPr>
        <w:t>Part of the GPS location of the plot</w:t>
      </w:r>
      <w:r w:rsidR="00CD2198">
        <w:rPr>
          <w:iCs/>
          <w:lang w:val="en-US"/>
        </w:rPr>
        <w:t xml:space="preserve"> </w:t>
      </w:r>
      <w:r w:rsidR="00CD2198">
        <w:rPr>
          <w:iCs/>
          <w:lang w:val="en-US"/>
        </w:rPr>
        <w:t>(i.e. same for all subplots within a location)</w:t>
      </w:r>
      <w:bookmarkStart w:id="0" w:name="_GoBack"/>
      <w:bookmarkEnd w:id="0"/>
      <w:r>
        <w:rPr>
          <w:iCs/>
          <w:lang w:val="en-US"/>
        </w:rPr>
        <w:t>, in decimal degrees.</w:t>
      </w:r>
      <w:r>
        <w:rPr>
          <w:iCs/>
          <w:lang w:val="en-US"/>
        </w:rPr>
        <w:t xml:space="preserve"> Note that values are negative, as all locations are on the western hemisphere. </w:t>
      </w:r>
      <w:r w:rsidRPr="008E46E2">
        <w:rPr>
          <w:lang w:val="en-US"/>
        </w:rPr>
        <w:t xml:space="preserve"> </w:t>
      </w:r>
    </w:p>
    <w:p w:rsidR="00E0510E" w:rsidRPr="00262551" w:rsidRDefault="00E0510E" w:rsidP="00262551">
      <w:pPr>
        <w:pStyle w:val="Default"/>
        <w:spacing w:line="276" w:lineRule="auto"/>
        <w:ind w:left="720"/>
        <w:jc w:val="both"/>
        <w:rPr>
          <w:lang w:val="en-US"/>
        </w:rPr>
      </w:pPr>
    </w:p>
    <w:p w:rsidR="00364A9C" w:rsidRDefault="00262551" w:rsidP="00E07BB6">
      <w:pPr>
        <w:pStyle w:val="Default"/>
        <w:numPr>
          <w:ilvl w:val="0"/>
          <w:numId w:val="13"/>
        </w:numPr>
        <w:spacing w:line="276" w:lineRule="auto"/>
        <w:jc w:val="both"/>
        <w:rPr>
          <w:lang w:val="en-US"/>
        </w:rPr>
      </w:pPr>
      <w:r w:rsidRPr="00262551">
        <w:rPr>
          <w:i/>
          <w:iCs/>
          <w:lang w:val="en-US"/>
        </w:rPr>
        <w:t>CellID</w:t>
      </w:r>
      <w:r w:rsidR="003A6DFA" w:rsidRPr="00262551">
        <w:rPr>
          <w:i/>
          <w:iCs/>
          <w:lang w:val="en-US"/>
        </w:rPr>
        <w:t xml:space="preserve">: </w:t>
      </w:r>
      <w:r w:rsidRPr="00262551">
        <w:rPr>
          <w:lang w:val="en-US"/>
        </w:rPr>
        <w:t>ID that divides the dataset up into 2 by 2 degree grid cells</w:t>
      </w:r>
      <w:r>
        <w:rPr>
          <w:lang w:val="en-US"/>
        </w:rPr>
        <w:t xml:space="preserve">. Counting starts </w:t>
      </w:r>
      <w:r w:rsidR="00364A9C">
        <w:rPr>
          <w:lang w:val="en-US"/>
        </w:rPr>
        <w:t xml:space="preserve">(with 0) in the southwest (Texas), moving northwards within the westernmost column of grid cells until the Canadian border is reached. Then, counting continues in the next column, starting with the southernmost cell. The last cell (203) is in the most northeastern region of Maine. </w:t>
      </w:r>
    </w:p>
    <w:p w:rsidR="00E0510E" w:rsidRPr="00262551" w:rsidRDefault="00262551" w:rsidP="00364A9C">
      <w:pPr>
        <w:pStyle w:val="Default"/>
        <w:spacing w:line="276" w:lineRule="auto"/>
        <w:jc w:val="both"/>
        <w:rPr>
          <w:lang w:val="en-US"/>
        </w:rPr>
      </w:pPr>
      <w:r>
        <w:rPr>
          <w:lang w:val="en-US"/>
        </w:rPr>
        <w:t xml:space="preserve"> </w:t>
      </w:r>
    </w:p>
    <w:p w:rsidR="00E0510E" w:rsidRPr="008E46E2" w:rsidRDefault="00364A9C" w:rsidP="00E0510E">
      <w:pPr>
        <w:pStyle w:val="Default"/>
        <w:numPr>
          <w:ilvl w:val="0"/>
          <w:numId w:val="13"/>
        </w:numPr>
        <w:spacing w:line="276" w:lineRule="auto"/>
        <w:jc w:val="both"/>
        <w:rPr>
          <w:lang w:val="en-US"/>
        </w:rPr>
      </w:pPr>
      <w:r>
        <w:rPr>
          <w:i/>
          <w:iCs/>
          <w:lang w:val="en-US"/>
        </w:rPr>
        <w:t>PlotID</w:t>
      </w:r>
      <w:r w:rsidR="003A6DFA" w:rsidRPr="008E46E2">
        <w:rPr>
          <w:i/>
          <w:iCs/>
          <w:lang w:val="en-US"/>
        </w:rPr>
        <w:t xml:space="preserve">: </w:t>
      </w:r>
      <w:r>
        <w:rPr>
          <w:lang w:val="en-US"/>
        </w:rPr>
        <w:t xml:space="preserve">A fourteen-digit code that identifies a location, where 1-4 subplots have been measured. </w:t>
      </w:r>
      <w:r w:rsidR="003A6DFA" w:rsidRPr="008E46E2">
        <w:rPr>
          <w:lang w:val="en-US"/>
        </w:rPr>
        <w:t xml:space="preserve"> </w:t>
      </w:r>
    </w:p>
    <w:p w:rsidR="00E0510E" w:rsidRPr="008E46E2" w:rsidRDefault="00E0510E" w:rsidP="00E0510E">
      <w:pPr>
        <w:pStyle w:val="Default"/>
        <w:spacing w:line="276" w:lineRule="auto"/>
        <w:jc w:val="both"/>
        <w:rPr>
          <w:lang w:val="en-US"/>
        </w:rPr>
      </w:pPr>
    </w:p>
    <w:p w:rsidR="00E0510E" w:rsidRPr="008E46E2" w:rsidRDefault="00364A9C" w:rsidP="00E0510E">
      <w:pPr>
        <w:pStyle w:val="Default"/>
        <w:numPr>
          <w:ilvl w:val="0"/>
          <w:numId w:val="13"/>
        </w:numPr>
        <w:spacing w:line="276" w:lineRule="auto"/>
        <w:jc w:val="both"/>
        <w:rPr>
          <w:lang w:val="en-US"/>
        </w:rPr>
      </w:pPr>
      <w:r>
        <w:rPr>
          <w:i/>
          <w:iCs/>
          <w:lang w:val="en-US"/>
        </w:rPr>
        <w:lastRenderedPageBreak/>
        <w:t>Subplot</w:t>
      </w:r>
      <w:r w:rsidR="003A6DFA" w:rsidRPr="008E46E2">
        <w:rPr>
          <w:i/>
          <w:iCs/>
          <w:lang w:val="en-US"/>
        </w:rPr>
        <w:t xml:space="preserve">: </w:t>
      </w:r>
      <w:r>
        <w:rPr>
          <w:lang w:val="en-US"/>
        </w:rPr>
        <w:t xml:space="preserve">The subplot number of the location, subplots are labeled: 1, 2, 3 or 4. </w:t>
      </w:r>
      <w:r w:rsidR="00E0510E" w:rsidRPr="008E46E2">
        <w:rPr>
          <w:lang w:val="en-US"/>
        </w:rPr>
        <w:t xml:space="preserve"> </w:t>
      </w:r>
      <w:r w:rsidR="003A6DFA" w:rsidRPr="008E46E2">
        <w:rPr>
          <w:lang w:val="en-US"/>
        </w:rPr>
        <w:t xml:space="preserve"> </w:t>
      </w:r>
    </w:p>
    <w:p w:rsidR="00E0510E" w:rsidRPr="008E46E2" w:rsidRDefault="00E0510E" w:rsidP="00E0510E">
      <w:pPr>
        <w:pStyle w:val="Default"/>
        <w:spacing w:line="276" w:lineRule="auto"/>
        <w:jc w:val="both"/>
        <w:rPr>
          <w:lang w:val="en-US"/>
        </w:rPr>
      </w:pPr>
    </w:p>
    <w:p w:rsidR="00E0510E" w:rsidRPr="008E46E2" w:rsidRDefault="00364A9C" w:rsidP="00364A9C">
      <w:pPr>
        <w:pStyle w:val="Default"/>
        <w:numPr>
          <w:ilvl w:val="0"/>
          <w:numId w:val="13"/>
        </w:numPr>
        <w:spacing w:line="276" w:lineRule="auto"/>
        <w:jc w:val="both"/>
        <w:rPr>
          <w:lang w:val="en-US"/>
        </w:rPr>
      </w:pPr>
      <w:r>
        <w:rPr>
          <w:i/>
          <w:iCs/>
          <w:lang w:val="en-US"/>
        </w:rPr>
        <w:t>Species</w:t>
      </w:r>
      <w:r w:rsidR="003A6DFA" w:rsidRPr="008E46E2">
        <w:rPr>
          <w:i/>
          <w:iCs/>
          <w:lang w:val="en-US"/>
        </w:rPr>
        <w:t xml:space="preserve">: </w:t>
      </w:r>
      <w:r>
        <w:rPr>
          <w:lang w:val="en-US"/>
        </w:rPr>
        <w:t xml:space="preserve">A two to four digit species code (i.e. ranging from 12 to 8513), identifying the tree species measured. Species codes correspond to the FIA’s coding scheme for species, see the fourth and sixth columns of the following table: </w:t>
      </w:r>
      <w:hyperlink r:id="rId5" w:history="1">
        <w:r w:rsidRPr="00E9597B">
          <w:rPr>
            <w:rStyle w:val="Hyperlink"/>
            <w:lang w:val="en-US"/>
          </w:rPr>
          <w:t>https://www.nrs.fs.fed.us/fia/data-collection/field-guides/ver6.0/Appendix%203.pdf</w:t>
        </w:r>
      </w:hyperlink>
      <w:r w:rsidR="006B25E0">
        <w:rPr>
          <w:lang w:val="en-US"/>
        </w:rPr>
        <w:t xml:space="preserve">. (Note that ‘0012’ in this Table refers to ’12’ in the dataset, etc.). </w:t>
      </w:r>
      <w:r>
        <w:rPr>
          <w:lang w:val="en-US"/>
        </w:rPr>
        <w:t xml:space="preserve">  </w:t>
      </w:r>
    </w:p>
    <w:p w:rsidR="00E0510E" w:rsidRPr="008E46E2" w:rsidRDefault="00E0510E" w:rsidP="00E0510E">
      <w:pPr>
        <w:pStyle w:val="Default"/>
        <w:spacing w:line="276" w:lineRule="auto"/>
        <w:jc w:val="both"/>
        <w:rPr>
          <w:lang w:val="en-US"/>
        </w:rPr>
      </w:pPr>
    </w:p>
    <w:p w:rsidR="00420550" w:rsidRPr="008E46E2" w:rsidRDefault="00420550" w:rsidP="00420550">
      <w:pPr>
        <w:pStyle w:val="Default"/>
        <w:numPr>
          <w:ilvl w:val="0"/>
          <w:numId w:val="13"/>
        </w:numPr>
        <w:spacing w:line="276" w:lineRule="auto"/>
        <w:jc w:val="both"/>
        <w:rPr>
          <w:lang w:val="en-US"/>
        </w:rPr>
      </w:pPr>
      <w:r>
        <w:rPr>
          <w:i/>
          <w:iCs/>
          <w:lang w:val="en-US"/>
        </w:rPr>
        <w:t>ad</w:t>
      </w:r>
      <w:r w:rsidRPr="008E46E2">
        <w:rPr>
          <w:i/>
          <w:iCs/>
          <w:lang w:val="en-US"/>
        </w:rPr>
        <w:t xml:space="preserve">: </w:t>
      </w:r>
      <w:r>
        <w:rPr>
          <w:lang w:val="en-US"/>
        </w:rPr>
        <w:t>The number of adults of a particular species that were observed in the subplot.</w:t>
      </w:r>
      <w:r w:rsidRPr="008E46E2">
        <w:rPr>
          <w:lang w:val="en-US"/>
        </w:rPr>
        <w:t xml:space="preserve">  </w:t>
      </w:r>
    </w:p>
    <w:p w:rsidR="00420550" w:rsidRPr="008E46E2" w:rsidRDefault="00420550" w:rsidP="00420550">
      <w:pPr>
        <w:pStyle w:val="Default"/>
        <w:spacing w:line="276" w:lineRule="auto"/>
        <w:jc w:val="both"/>
        <w:rPr>
          <w:lang w:val="en-US"/>
        </w:rPr>
      </w:pPr>
    </w:p>
    <w:p w:rsidR="00420550" w:rsidRDefault="00420550" w:rsidP="00420550">
      <w:pPr>
        <w:pStyle w:val="Default"/>
        <w:numPr>
          <w:ilvl w:val="0"/>
          <w:numId w:val="13"/>
        </w:numPr>
        <w:spacing w:line="276" w:lineRule="auto"/>
        <w:jc w:val="both"/>
        <w:rPr>
          <w:lang w:val="en-US"/>
        </w:rPr>
      </w:pPr>
      <w:r>
        <w:rPr>
          <w:i/>
          <w:iCs/>
          <w:lang w:val="en-US"/>
        </w:rPr>
        <w:t>ba</w:t>
      </w:r>
      <w:r w:rsidRPr="008E46E2">
        <w:rPr>
          <w:i/>
          <w:iCs/>
          <w:lang w:val="en-US"/>
        </w:rPr>
        <w:t xml:space="preserve">: </w:t>
      </w:r>
      <w:r>
        <w:rPr>
          <w:lang w:val="en-US"/>
        </w:rPr>
        <w:t>The cumulative basal area, expressed in m</w:t>
      </w:r>
      <w:r w:rsidRPr="00364A9C">
        <w:rPr>
          <w:vertAlign w:val="superscript"/>
          <w:lang w:val="en-US"/>
        </w:rPr>
        <w:t>2</w:t>
      </w:r>
      <w:r>
        <w:rPr>
          <w:lang w:val="en-US"/>
        </w:rPr>
        <w:t xml:space="preserve">, of the adult trees </w:t>
      </w:r>
      <w:r>
        <w:rPr>
          <w:lang w:val="en-US"/>
        </w:rPr>
        <w:t xml:space="preserve">of a particular species </w:t>
      </w:r>
      <w:r>
        <w:rPr>
          <w:lang w:val="en-US"/>
        </w:rPr>
        <w:t>observed in the subplot.</w:t>
      </w:r>
    </w:p>
    <w:p w:rsidR="00420550" w:rsidRDefault="00420550" w:rsidP="00420550">
      <w:pPr>
        <w:pStyle w:val="ListParagraph"/>
        <w:rPr>
          <w:lang w:val="en-US"/>
        </w:rPr>
      </w:pPr>
    </w:p>
    <w:p w:rsidR="00420550" w:rsidRPr="008E46E2" w:rsidRDefault="00420550" w:rsidP="00420550">
      <w:pPr>
        <w:pStyle w:val="Default"/>
        <w:numPr>
          <w:ilvl w:val="0"/>
          <w:numId w:val="13"/>
        </w:numPr>
        <w:spacing w:line="276" w:lineRule="auto"/>
        <w:jc w:val="both"/>
        <w:rPr>
          <w:lang w:val="en-US"/>
        </w:rPr>
      </w:pPr>
      <w:r>
        <w:rPr>
          <w:i/>
          <w:lang w:val="en-US"/>
        </w:rPr>
        <w:t xml:space="preserve">Seed: </w:t>
      </w:r>
      <w:r>
        <w:rPr>
          <w:lang w:val="en-US"/>
        </w:rPr>
        <w:t>The number of seedlings of a particular species that were observed in the microplot.</w:t>
      </w:r>
      <w:r>
        <w:rPr>
          <w:lang w:val="en-US"/>
        </w:rPr>
        <w:t xml:space="preserve"> </w:t>
      </w:r>
    </w:p>
    <w:p w:rsidR="006D4B46" w:rsidRPr="008E46E2" w:rsidRDefault="006D4B46" w:rsidP="00420550">
      <w:pPr>
        <w:pStyle w:val="Default"/>
        <w:spacing w:line="276" w:lineRule="auto"/>
        <w:jc w:val="both"/>
        <w:rPr>
          <w:lang w:val="en-US"/>
        </w:rPr>
      </w:pPr>
    </w:p>
    <w:sectPr w:rsidR="006D4B46" w:rsidRPr="008E46E2" w:rsidSect="0013386A">
      <w:pgSz w:w="11906" w:h="17338"/>
      <w:pgMar w:top="1845" w:right="831" w:bottom="1411" w:left="163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FE720C"/>
    <w:multiLevelType w:val="hybridMultilevel"/>
    <w:tmpl w:val="D0C9BC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403F63C"/>
    <w:multiLevelType w:val="hybridMultilevel"/>
    <w:tmpl w:val="E6FF09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4766902"/>
    <w:multiLevelType w:val="hybridMultilevel"/>
    <w:tmpl w:val="CB00F7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CB1F66"/>
    <w:multiLevelType w:val="hybridMultilevel"/>
    <w:tmpl w:val="ACFA7A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44F777"/>
    <w:multiLevelType w:val="hybridMultilevel"/>
    <w:tmpl w:val="4D3875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59DCDDF"/>
    <w:multiLevelType w:val="hybridMultilevel"/>
    <w:tmpl w:val="6A144E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8E07841"/>
    <w:multiLevelType w:val="hybridMultilevel"/>
    <w:tmpl w:val="3A30D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387033C"/>
    <w:multiLevelType w:val="hybridMultilevel"/>
    <w:tmpl w:val="6902D0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A4D3643"/>
    <w:multiLevelType w:val="hybridMultilevel"/>
    <w:tmpl w:val="F2B6E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AB240F3"/>
    <w:multiLevelType w:val="hybridMultilevel"/>
    <w:tmpl w:val="3005D9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766077C"/>
    <w:multiLevelType w:val="hybridMultilevel"/>
    <w:tmpl w:val="B3EDAA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39EFF39"/>
    <w:multiLevelType w:val="hybridMultilevel"/>
    <w:tmpl w:val="85B0F3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C29426C"/>
    <w:multiLevelType w:val="hybridMultilevel"/>
    <w:tmpl w:val="4F73DC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5"/>
  </w:num>
  <w:num w:numId="4">
    <w:abstractNumId w:val="12"/>
  </w:num>
  <w:num w:numId="5">
    <w:abstractNumId w:val="4"/>
  </w:num>
  <w:num w:numId="6">
    <w:abstractNumId w:val="9"/>
  </w:num>
  <w:num w:numId="7">
    <w:abstractNumId w:val="10"/>
  </w:num>
  <w:num w:numId="8">
    <w:abstractNumId w:val="1"/>
  </w:num>
  <w:num w:numId="9">
    <w:abstractNumId w:val="11"/>
  </w:num>
  <w:num w:numId="10">
    <w:abstractNumId w:val="7"/>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FA"/>
    <w:rsid w:val="000002A6"/>
    <w:rsid w:val="00216E1C"/>
    <w:rsid w:val="00262551"/>
    <w:rsid w:val="00364A9C"/>
    <w:rsid w:val="003A6DFA"/>
    <w:rsid w:val="003B461B"/>
    <w:rsid w:val="003D4C91"/>
    <w:rsid w:val="00420550"/>
    <w:rsid w:val="006B25E0"/>
    <w:rsid w:val="006D4B46"/>
    <w:rsid w:val="008E46E2"/>
    <w:rsid w:val="00A9694C"/>
    <w:rsid w:val="00B85DC5"/>
    <w:rsid w:val="00BA021E"/>
    <w:rsid w:val="00CD2198"/>
    <w:rsid w:val="00E0510E"/>
    <w:rsid w:val="00EA1C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12E8"/>
  <w15:chartTrackingRefBased/>
  <w15:docId w15:val="{4AE9AD18-F867-40FC-B757-94D0169D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10E"/>
    <w:pPr>
      <w:spacing w:after="200" w:line="276" w:lineRule="auto"/>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6DF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0510E"/>
    <w:pPr>
      <w:ind w:left="720"/>
      <w:contextualSpacing/>
    </w:pPr>
  </w:style>
  <w:style w:type="paragraph" w:styleId="Header">
    <w:name w:val="header"/>
    <w:basedOn w:val="Normal"/>
    <w:link w:val="HeaderChar"/>
    <w:uiPriority w:val="99"/>
    <w:unhideWhenUsed/>
    <w:rsid w:val="003B461B"/>
    <w:pPr>
      <w:tabs>
        <w:tab w:val="center" w:pos="4536"/>
        <w:tab w:val="right" w:pos="9072"/>
      </w:tabs>
      <w:spacing w:after="0" w:line="240" w:lineRule="auto"/>
    </w:pPr>
    <w:rPr>
      <w:lang w:val="de-CH"/>
    </w:rPr>
  </w:style>
  <w:style w:type="character" w:customStyle="1" w:styleId="HeaderChar">
    <w:name w:val="Header Char"/>
    <w:basedOn w:val="DefaultParagraphFont"/>
    <w:link w:val="Header"/>
    <w:uiPriority w:val="99"/>
    <w:rsid w:val="003B461B"/>
  </w:style>
  <w:style w:type="paragraph" w:styleId="Footer">
    <w:name w:val="footer"/>
    <w:basedOn w:val="Normal"/>
    <w:link w:val="FooterChar"/>
    <w:uiPriority w:val="99"/>
    <w:unhideWhenUsed/>
    <w:rsid w:val="003B461B"/>
    <w:pPr>
      <w:tabs>
        <w:tab w:val="center" w:pos="4536"/>
        <w:tab w:val="right" w:pos="9072"/>
      </w:tabs>
      <w:spacing w:after="0" w:line="240" w:lineRule="auto"/>
    </w:pPr>
    <w:rPr>
      <w:lang w:val="de-CH"/>
    </w:rPr>
  </w:style>
  <w:style w:type="character" w:customStyle="1" w:styleId="FooterChar">
    <w:name w:val="Footer Char"/>
    <w:basedOn w:val="DefaultParagraphFont"/>
    <w:link w:val="Footer"/>
    <w:uiPriority w:val="99"/>
    <w:rsid w:val="003B461B"/>
  </w:style>
  <w:style w:type="character" w:styleId="Hyperlink">
    <w:name w:val="Hyperlink"/>
    <w:basedOn w:val="DefaultParagraphFont"/>
    <w:uiPriority w:val="99"/>
    <w:unhideWhenUsed/>
    <w:rsid w:val="003B46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rs.fs.fed.us/fia/data-collection/field-guides/ver6.0/Appendix%20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Zurich, Department of Geography</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Eppinga</dc:creator>
  <cp:keywords/>
  <dc:description/>
  <cp:lastModifiedBy>Maarten Eppinga</cp:lastModifiedBy>
  <cp:revision>6</cp:revision>
  <dcterms:created xsi:type="dcterms:W3CDTF">2021-04-14T06:36:00Z</dcterms:created>
  <dcterms:modified xsi:type="dcterms:W3CDTF">2021-04-14T06:39:00Z</dcterms:modified>
</cp:coreProperties>
</file>