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706AF" w14:textId="77777777" w:rsidR="000F1D9A" w:rsidRPr="00E37FEB" w:rsidRDefault="007224B6">
      <w:pPr>
        <w:pStyle w:val="Ttulo"/>
      </w:pPr>
      <w:r w:rsidRPr="00E37FEB">
        <w:t>CabotageLens: sistema computacional auditável para comparação porta a porta entre rodovia e cabotagem no Brasil</w:t>
      </w:r>
    </w:p>
    <w:p w14:paraId="5A782683" w14:textId="77777777" w:rsidR="000F1D9A" w:rsidRPr="00E37FEB" w:rsidRDefault="007224B6">
      <w:pPr>
        <w:pStyle w:val="Author"/>
      </w:pPr>
      <w:r w:rsidRPr="00E37FEB">
        <w:t>Felipe de Sá Proença</w:t>
      </w:r>
    </w:p>
    <w:sdt>
      <w:sdtPr>
        <w:rPr>
          <w:rFonts w:eastAsiaTheme="minorHAnsi"/>
          <w:szCs w:val="24"/>
        </w:rPr>
        <w:id w:val="-1633470522"/>
        <w:docPartObj>
          <w:docPartGallery w:val="Table of Contents"/>
          <w:docPartUnique/>
        </w:docPartObj>
      </w:sdtPr>
      <w:sdtEndPr>
        <w:rPr>
          <w:rFonts w:ascii="Calibri" w:hAnsi="Calibri" w:cs="Calibri"/>
          <w:color w:val="142131"/>
          <w:sz w:val="22"/>
        </w:rPr>
      </w:sdtEndPr>
      <w:sdtContent>
        <w:p w14:paraId="310F058D" w14:textId="77777777" w:rsidR="00E37FEB" w:rsidRPr="00E37FEB" w:rsidRDefault="00E37FEB" w:rsidP="00E37FEB">
          <w:pPr>
            <w:pStyle w:val="CabealhodoSumrio"/>
            <w:pageBreakBefore/>
          </w:pPr>
          <w:r w:rsidRPr="00E37FEB">
            <w:t>Sumário</w:t>
          </w:r>
        </w:p>
        <w:p w14:paraId="4E5FEEC9" w14:textId="6EA48951" w:rsidR="00E37FEB" w:rsidRDefault="007224B6">
          <w:pPr>
            <w:pStyle w:val="Sumrio1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lang w:eastAsia="pt-BR"/>
              <w14:ligatures w14:val="standardContextual"/>
              <w:szCs w:val="20"/>
            </w:rPr>
          </w:pPr>
          <w:r w:rsidRPr="00E37FEB">
            <w:fldChar w:fldCharType="begin"/>
          </w:r>
          <w:r w:rsidRPr="00E37FEB">
            <w:instrText>TOC \o "1-4" \h \z \u</w:instrText>
          </w:r>
          <w:r w:rsidRPr="00E37FEB">
            <w:fldChar w:fldCharType="separate"/>
          </w:r>
          <w:hyperlink w:anchor="_Toc235532497" w:history="1">
            <w:r w:rsidR="00E37FEB" w:rsidRPr="00327233">
              <w:rPr>
                <w:rStyle w:val="Hyperlink"/>
                <w:noProof/>
              </w:rPr>
              <w:t>Dicionário de termos</w:t>
            </w:r>
            <w:r w:rsidR="00E37FEB">
              <w:rPr>
                <w:noProof/>
                <w:webHidden/>
              </w:rPr>
              <w:tab/>
            </w:r>
            <w:r w:rsidR="00E37FEB">
              <w:rPr>
                <w:noProof/>
                <w:webHidden/>
              </w:rPr>
              <w:fldChar w:fldCharType="begin"/>
            </w:r>
            <w:r w:rsidR="00E37FEB">
              <w:rPr>
                <w:noProof/>
                <w:webHidden/>
              </w:rPr>
              <w:instrText xml:space="preserve"> PAGEREF _Toc235532497 \h </w:instrText>
            </w:r>
            <w:r w:rsidR="00E37FEB">
              <w:rPr>
                <w:noProof/>
                <w:webHidden/>
              </w:rPr>
            </w:r>
            <w:r w:rsidR="00E37FEB">
              <w:rPr>
                <w:noProof/>
                <w:webHidden/>
              </w:rPr>
              <w:fldChar w:fldCharType="separate"/>
            </w:r>
            <w:r w:rsidR="00E37FEB">
              <w:rPr>
                <w:noProof/>
                <w:webHidden/>
              </w:rPr>
              <w:t>4</w:t>
            </w:r>
            <w:r w:rsidR="00E37FEB">
              <w:rPr>
                <w:noProof/>
                <w:webHidden/>
              </w:rPr>
              <w:fldChar w:fldCharType="end"/>
            </w:r>
          </w:hyperlink>
        </w:p>
        <w:p w14:paraId="5158718E" w14:textId="3D575F9D" w:rsidR="00E37FEB" w:rsidRDefault="00E37FEB">
          <w:pPr>
            <w:pStyle w:val="Sumrio1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lang w:eastAsia="pt-BR"/>
              <w14:ligatures w14:val="standardContextual"/>
              <w:szCs w:val="20"/>
            </w:rPr>
          </w:pPr>
          <w:hyperlink w:anchor="_Toc235532498" w:history="1">
            <w:r w:rsidRPr="00327233">
              <w:rPr>
                <w:rStyle w:val="Hyperlink"/>
                <w:noProof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93AF0" w14:textId="67FA8A36" w:rsidR="00E37FEB" w:rsidRDefault="00E37FEB">
          <w:pPr>
            <w:pStyle w:val="Sumrio1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lang w:eastAsia="pt-BR"/>
              <w14:ligatures w14:val="standardContextual"/>
              <w:szCs w:val="20"/>
            </w:rPr>
          </w:pPr>
          <w:hyperlink w:anchor="_Toc235532499" w:history="1">
            <w:r w:rsidRPr="00327233">
              <w:rPr>
                <w:rStyle w:val="Hyperlink"/>
                <w:noProof/>
              </w:rPr>
              <w:t>2. Revisão da literatura e fundamentação metodológica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6E7AD" w14:textId="217C85A2" w:rsidR="00E37FEB" w:rsidRDefault="00E37FEB">
          <w:pPr>
            <w:pStyle w:val="Sumrio1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lang w:eastAsia="pt-BR"/>
              <w14:ligatures w14:val="standardContextual"/>
              <w:szCs w:val="20"/>
            </w:rPr>
          </w:pPr>
          <w:hyperlink w:anchor="_Toc235532500" w:history="1">
            <w:r w:rsidRPr="00327233">
              <w:rPr>
                <w:rStyle w:val="Hyperlink"/>
                <w:noProof/>
              </w:rPr>
              <w:t>3.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28D33" w14:textId="6937C013" w:rsidR="00E37FEB" w:rsidRDefault="00E37FEB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9"/>
              <w:lang w:eastAsia="pt-BR"/>
              <w14:ligatures w14:val="standardContextual"/>
              <w:szCs w:val="19"/>
            </w:rPr>
          </w:pPr>
          <w:hyperlink w:anchor="_Toc235532501" w:history="1">
            <w:r w:rsidRPr="00327233">
              <w:rPr>
                <w:rStyle w:val="Hyperlink"/>
                <w:noProof/>
              </w:rPr>
              <w:t>3.1 Serviço comparado e alternativas logísticas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F9D97" w14:textId="4A448F65" w:rsidR="00E37FEB" w:rsidRDefault="00E37FEB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9"/>
              <w:lang w:eastAsia="pt-BR"/>
              <w14:ligatures w14:val="standardContextual"/>
              <w:szCs w:val="19"/>
            </w:rPr>
          </w:pPr>
          <w:hyperlink w:anchor="_Toc235532502" w:history="1">
            <w:r w:rsidRPr="00327233">
              <w:rPr>
                <w:rStyle w:val="Hyperlink"/>
                <w:noProof/>
              </w:rPr>
              <w:t>3.2 Alternativa rodoviária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DA651" w14:textId="37B6C1A0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03" w:history="1">
            <w:r w:rsidRPr="00327233">
              <w:rPr>
                <w:rStyle w:val="Hyperlink"/>
                <w:noProof/>
              </w:rPr>
              <w:t>3.2.1 Escolha do veículo e consumo de diesel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219AA" w14:textId="181E6E12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04" w:history="1">
            <w:r w:rsidRPr="00327233">
              <w:rPr>
                <w:rStyle w:val="Hyperlink"/>
                <w:noProof/>
              </w:rPr>
              <w:t>3.2.2 Custo estimado do combustível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F56FD" w14:textId="32F7CAB6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05" w:history="1">
            <w:r w:rsidRPr="00327233">
              <w:rPr>
                <w:rStyle w:val="Hyperlink"/>
                <w:noProof/>
              </w:rPr>
              <w:t>3.2.3 Emissões operacionais da perna rodoviária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91126" w14:textId="16313B26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06" w:history="1">
            <w:r w:rsidRPr="00327233">
              <w:rPr>
                <w:rStyle w:val="Hyperlink"/>
                <w:noProof/>
              </w:rPr>
              <w:t>3.2.4 Resultado consolidado da alternativa rodoviária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3A9E2" w14:textId="74F22BB9" w:rsidR="00E37FEB" w:rsidRDefault="00E37FEB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9"/>
              <w:lang w:eastAsia="pt-BR"/>
              <w14:ligatures w14:val="standardContextual"/>
              <w:szCs w:val="19"/>
            </w:rPr>
          </w:pPr>
          <w:hyperlink w:anchor="_Toc235532507" w:history="1">
            <w:r w:rsidRPr="00327233">
              <w:rPr>
                <w:rStyle w:val="Hyperlink"/>
                <w:noProof/>
              </w:rPr>
              <w:t>3.3 Alternativa multimodal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91D17" w14:textId="34888E2B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08" w:history="1">
            <w:r w:rsidRPr="00327233">
              <w:rPr>
                <w:rStyle w:val="Hyperlink"/>
                <w:noProof/>
              </w:rPr>
              <w:t>3.3.1 Escolha dos portos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DDAF6" w14:textId="50925A90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09" w:history="1">
            <w:r w:rsidRPr="00327233">
              <w:rPr>
                <w:rStyle w:val="Hyperlink"/>
                <w:noProof/>
              </w:rPr>
              <w:t xml:space="preserve">3.3.2 Acessos rodoviários: </w:t>
            </w:r>
            <w:r w:rsidRPr="00327233">
              <w:rPr>
                <w:rStyle w:val="Hyperlink"/>
                <w:i/>
                <w:noProof/>
              </w:rPr>
              <w:t>first mile</w:t>
            </w:r>
            <w:r w:rsidRPr="00327233">
              <w:rPr>
                <w:rStyle w:val="Hyperlink"/>
                <w:noProof/>
              </w:rPr>
              <w:t xml:space="preserve"> e </w:t>
            </w:r>
            <w:r w:rsidRPr="00327233">
              <w:rPr>
                <w:rStyle w:val="Hyperlink"/>
                <w:i/>
                <w:noProof/>
              </w:rPr>
              <w:t>last mile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606E1" w14:textId="0B3FE771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10" w:history="1">
            <w:r w:rsidRPr="00327233">
              <w:rPr>
                <w:rStyle w:val="Hyperlink"/>
                <w:noProof/>
              </w:rPr>
              <w:t>3.3.3 Operações portuárias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2B4B6" w14:textId="3909AA4C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11" w:history="1">
            <w:r w:rsidRPr="00327233">
              <w:rPr>
                <w:rStyle w:val="Hyperlink"/>
                <w:noProof/>
              </w:rPr>
              <w:t>3.3.4 Consumo de combustível na perna marítima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B9531" w14:textId="4E4EE239" w:rsidR="00E37FEB" w:rsidRDefault="00E37FEB">
          <w:pPr>
            <w:pStyle w:val="Sumrio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7"/>
              <w:lang w:eastAsia="pt-BR"/>
              <w14:ligatures w14:val="standardContextual"/>
              <w:szCs w:val="17"/>
            </w:rPr>
          </w:pPr>
          <w:hyperlink w:anchor="_Toc235532512" w:history="1">
            <w:r w:rsidRPr="00327233">
              <w:rPr>
                <w:rStyle w:val="Hyperlink"/>
                <w:noProof/>
              </w:rPr>
              <w:t>3.3.4.1 Atividade observada na ANTAQ e reconstrução das viagens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741EF" w14:textId="76858726" w:rsidR="00E37FEB" w:rsidRDefault="00E37FEB">
          <w:pPr>
            <w:pStyle w:val="Sumrio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7"/>
              <w:lang w:eastAsia="pt-BR"/>
              <w14:ligatures w14:val="standardContextual"/>
              <w:szCs w:val="17"/>
            </w:rPr>
          </w:pPr>
          <w:hyperlink w:anchor="_Toc235532513" w:history="1">
            <w:r w:rsidRPr="00327233">
              <w:rPr>
                <w:rStyle w:val="Hyperlink"/>
                <w:noProof/>
              </w:rPr>
              <w:t>3.3.4.1.3 Reconstrução das viagens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92C18" w14:textId="1119A642" w:rsidR="00E37FEB" w:rsidRDefault="00E37FEB">
          <w:pPr>
            <w:pStyle w:val="Sumrio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7"/>
              <w:lang w:eastAsia="pt-BR"/>
              <w14:ligatures w14:val="standardContextual"/>
              <w:szCs w:val="17"/>
            </w:rPr>
          </w:pPr>
          <w:hyperlink w:anchor="_Toc235532514" w:history="1">
            <w:r w:rsidRPr="00327233">
              <w:rPr>
                <w:rStyle w:val="Hyperlink"/>
                <w:noProof/>
              </w:rPr>
              <w:t>3.3.4.2 Intensidade de combustível do navio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D4605" w14:textId="01ED3625" w:rsidR="00E37FEB" w:rsidRDefault="00E37FEB">
          <w:pPr>
            <w:pStyle w:val="Sumrio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7"/>
              <w:lang w:eastAsia="pt-BR"/>
              <w14:ligatures w14:val="standardContextual"/>
              <w:szCs w:val="17"/>
            </w:rPr>
          </w:pPr>
          <w:hyperlink w:anchor="_Toc235532515" w:history="1">
            <w:r w:rsidRPr="00327233">
              <w:rPr>
                <w:rStyle w:val="Hyperlink"/>
                <w:noProof/>
              </w:rPr>
              <w:t>3.3.4.3 Trabalho de transporte e intensidade da ligação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41B96" w14:textId="16555BB3" w:rsidR="00E37FEB" w:rsidRDefault="00E37FEB">
          <w:pPr>
            <w:pStyle w:val="Sumrio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7"/>
              <w:lang w:eastAsia="pt-BR"/>
              <w14:ligatures w14:val="standardContextual"/>
              <w:szCs w:val="17"/>
            </w:rPr>
          </w:pPr>
          <w:hyperlink w:anchor="_Toc235532516" w:history="1">
            <w:r w:rsidRPr="00327233">
              <w:rPr>
                <w:rStyle w:val="Hyperlink"/>
                <w:noProof/>
              </w:rPr>
              <w:t>3.3.4.4 Distância marítima representativa entre os portos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32760" w14:textId="4BA3A841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17" w:history="1">
            <w:r w:rsidRPr="00327233">
              <w:rPr>
                <w:rStyle w:val="Hyperlink"/>
                <w:noProof/>
              </w:rPr>
              <w:t>3.3.5 Emissões da alternativa multimodal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A7E91" w14:textId="5C6649C0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18" w:history="1">
            <w:r w:rsidRPr="00327233">
              <w:rPr>
                <w:rStyle w:val="Hyperlink"/>
                <w:noProof/>
              </w:rPr>
              <w:t>3.3.6 Custo do combustível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661B6" w14:textId="2EDC9D59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19" w:history="1">
            <w:r w:rsidRPr="00327233">
              <w:rPr>
                <w:rStyle w:val="Hyperlink"/>
                <w:noProof/>
              </w:rPr>
              <w:t>3.3.7 Resultado consolidado da alternativa multimodal do exemplo São Paulo–Rio Branco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F3F36" w14:textId="212B28F3" w:rsidR="00E37FEB" w:rsidRDefault="00E37FEB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9"/>
              <w:lang w:eastAsia="pt-BR"/>
              <w14:ligatures w14:val="standardContextual"/>
              <w:szCs w:val="19"/>
            </w:rPr>
          </w:pPr>
          <w:hyperlink w:anchor="_Toc235532520" w:history="1">
            <w:r w:rsidRPr="00327233">
              <w:rPr>
                <w:rStyle w:val="Hyperlink"/>
                <w:noProof/>
              </w:rPr>
              <w:t>3.4 Resultado final do exemplo São Paulo–Rio Branco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8C804" w14:textId="06634729" w:rsidR="00E37FEB" w:rsidRDefault="00E37FEB">
          <w:pPr>
            <w:pStyle w:val="Sumrio1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lang w:eastAsia="pt-BR"/>
              <w14:ligatures w14:val="standardContextual"/>
              <w:szCs w:val="20"/>
            </w:rPr>
          </w:pPr>
          <w:hyperlink w:anchor="_Toc235532521" w:history="1">
            <w:r w:rsidRPr="00327233">
              <w:rPr>
                <w:rStyle w:val="Hyperlink"/>
                <w:noProof/>
              </w:rPr>
              <w:t>4. Implementação computacional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E33A4" w14:textId="035EBC56" w:rsidR="00E37FEB" w:rsidRDefault="00E37FEB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9"/>
              <w:lang w:eastAsia="pt-BR"/>
              <w14:ligatures w14:val="standardContextual"/>
              <w:szCs w:val="19"/>
            </w:rPr>
          </w:pPr>
          <w:hyperlink w:anchor="_Toc235532522" w:history="1">
            <w:r w:rsidRPr="00327233">
              <w:rPr>
                <w:rStyle w:val="Hyperlink"/>
                <w:noProof/>
              </w:rPr>
              <w:t>4.1 Arquitetura do sistema e 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013E3" w14:textId="1B24902A" w:rsidR="00E37FEB" w:rsidRDefault="00E37FEB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9"/>
              <w:lang w:eastAsia="pt-BR"/>
              <w14:ligatures w14:val="standardContextual"/>
              <w:szCs w:val="19"/>
            </w:rPr>
          </w:pPr>
          <w:hyperlink w:anchor="_Toc235532523" w:history="1">
            <w:r w:rsidRPr="00327233">
              <w:rPr>
                <w:rStyle w:val="Hyperlink"/>
                <w:noProof/>
              </w:rPr>
              <w:t>4.2 Dados de entrada, tratamento de endereços e geocodificação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7C83A" w14:textId="01272FB5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24" w:history="1">
            <w:r w:rsidRPr="00327233">
              <w:rPr>
                <w:rStyle w:val="Hyperlink"/>
                <w:noProof/>
              </w:rPr>
              <w:t>4.2.1 Dados recebidos pelo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92DF7" w14:textId="4522FBF7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25" w:history="1">
            <w:r w:rsidRPr="00327233">
              <w:rPr>
                <w:rStyle w:val="Hyperlink"/>
                <w:noProof/>
              </w:rPr>
              <w:t>4.2.2 Do texto às coordenadas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52EDA" w14:textId="4344552D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26" w:history="1">
            <w:r w:rsidRPr="00327233">
              <w:rPr>
                <w:rStyle w:val="Hyperlink"/>
                <w:noProof/>
              </w:rPr>
              <w:t>4.2.3 Consulta aos serviços de localização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33E08" w14:textId="0A3AE051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27" w:history="1">
            <w:r w:rsidRPr="00327233">
              <w:rPr>
                <w:rStyle w:val="Hyperlink"/>
                <w:noProof/>
              </w:rPr>
              <w:t>4.2.4 Fluxograma explicativo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F94C5" w14:textId="43DABED9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28" w:history="1">
            <w:r w:rsidRPr="00327233">
              <w:rPr>
                <w:rStyle w:val="Hyperlink"/>
                <w:noProof/>
              </w:rPr>
              <w:t>4.2.5 Validação das coordenadas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B1791" w14:textId="3C1F7D3A" w:rsidR="00E37FEB" w:rsidRDefault="00E37FEB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9"/>
              <w:lang w:eastAsia="pt-BR"/>
              <w14:ligatures w14:val="standardContextual"/>
              <w:szCs w:val="19"/>
            </w:rPr>
          </w:pPr>
          <w:hyperlink w:anchor="_Toc235532529" w:history="1">
            <w:r w:rsidRPr="00327233">
              <w:rPr>
                <w:rStyle w:val="Hyperlink"/>
                <w:noProof/>
              </w:rPr>
              <w:t>4.3 Implementação da alternativa rodoviária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3F2E2" w14:textId="5C783831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30" w:history="1">
            <w:r w:rsidRPr="00327233">
              <w:rPr>
                <w:rStyle w:val="Hyperlink"/>
                <w:noProof/>
              </w:rPr>
              <w:t>4.3.1 Consulta de rota rodoviária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9C6CE" w14:textId="18CCF897" w:rsidR="00E37FEB" w:rsidRDefault="00E37FEB">
          <w:pPr>
            <w:pStyle w:val="Sumrio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7"/>
              <w:lang w:eastAsia="pt-BR"/>
              <w14:ligatures w14:val="standardContextual"/>
              <w:szCs w:val="17"/>
            </w:rPr>
          </w:pPr>
          <w:hyperlink w:anchor="_Toc235532531" w:history="1">
            <w:r w:rsidRPr="00327233">
              <w:rPr>
                <w:rStyle w:val="Hyperlink"/>
                <w:noProof/>
              </w:rPr>
              <w:t>4.3.1.1 Validação da distância rodoviária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CACAB" w14:textId="0DAC59AB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32" w:history="1">
            <w:r w:rsidRPr="00327233">
              <w:rPr>
                <w:rStyle w:val="Hyperlink"/>
                <w:noProof/>
              </w:rPr>
              <w:t>4.3.2 Consulta do preço do diesel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9022C" w14:textId="0B9C2DE9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33" w:history="1">
            <w:r w:rsidRPr="00327233">
              <w:rPr>
                <w:rStyle w:val="Hyperlink"/>
                <w:noProof/>
              </w:rPr>
              <w:t>4.3.3 Consumo, custo e emissões rodoviárias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53AF6" w14:textId="0A487656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34" w:history="1">
            <w:r w:rsidRPr="00327233">
              <w:rPr>
                <w:rStyle w:val="Hyperlink"/>
                <w:noProof/>
              </w:rPr>
              <w:t>4.3.4 Resumo do pipeline da alternativa direta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3B533" w14:textId="59A9ABD0" w:rsidR="00E37FEB" w:rsidRDefault="00E37FEB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9"/>
              <w:lang w:eastAsia="pt-BR"/>
              <w14:ligatures w14:val="standardContextual"/>
              <w:szCs w:val="19"/>
            </w:rPr>
          </w:pPr>
          <w:hyperlink w:anchor="_Toc235532535" w:history="1">
            <w:r w:rsidRPr="00327233">
              <w:rPr>
                <w:rStyle w:val="Hyperlink"/>
                <w:noProof/>
              </w:rPr>
              <w:t>4.4 Montagem da alternativa multimodal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B4A75" w14:textId="42161C24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36" w:history="1">
            <w:r w:rsidRPr="00327233">
              <w:rPr>
                <w:rStyle w:val="Hyperlink"/>
                <w:noProof/>
              </w:rPr>
              <w:t>4.4.1 Consulta e conversão do preço do VLSFO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437AD" w14:textId="3DD364A6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37" w:history="1">
            <w:r w:rsidRPr="00327233">
              <w:rPr>
                <w:rStyle w:val="Hyperlink"/>
                <w:noProof/>
              </w:rPr>
              <w:t>4.4.2 Matriz marítima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8EB80" w14:textId="4AABE20B" w:rsidR="00E37FEB" w:rsidRDefault="00E37FEB">
          <w:pPr>
            <w:pStyle w:val="Sumrio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7"/>
              <w:lang w:eastAsia="pt-BR"/>
              <w14:ligatures w14:val="standardContextual"/>
              <w:szCs w:val="17"/>
            </w:rPr>
          </w:pPr>
          <w:hyperlink w:anchor="_Toc235532538" w:history="1">
            <w:r w:rsidRPr="00327233">
              <w:rPr>
                <w:rStyle w:val="Hyperlink"/>
                <w:noProof/>
              </w:rPr>
              <w:t>4.4.2.1 Dados da ANTAQ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F4684" w14:textId="3A0584D4" w:rsidR="00E37FEB" w:rsidRDefault="00E37FEB">
          <w:pPr>
            <w:pStyle w:val="Sumrio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7"/>
              <w:lang w:eastAsia="pt-BR"/>
              <w14:ligatures w14:val="standardContextual"/>
              <w:szCs w:val="17"/>
            </w:rPr>
          </w:pPr>
          <w:hyperlink w:anchor="_Toc235532539" w:history="1">
            <w:r w:rsidRPr="00327233">
              <w:rPr>
                <w:rStyle w:val="Hyperlink"/>
                <w:noProof/>
              </w:rPr>
              <w:t>4.4.2.2 Reconstrução das viagens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13EEB" w14:textId="385A5951" w:rsidR="00E37FEB" w:rsidRDefault="00E37FEB">
          <w:pPr>
            <w:pStyle w:val="Sumrio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7"/>
              <w:lang w:eastAsia="pt-BR"/>
              <w14:ligatures w14:val="standardContextual"/>
              <w:szCs w:val="17"/>
            </w:rPr>
          </w:pPr>
          <w:hyperlink w:anchor="_Toc235532540" w:history="1">
            <w:r w:rsidRPr="00327233">
              <w:rPr>
                <w:rStyle w:val="Hyperlink"/>
                <w:noProof/>
              </w:rPr>
              <w:t>4.4.2.3 Dados da EU MRV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7BF12" w14:textId="7F2D7C90" w:rsidR="00E37FEB" w:rsidRDefault="00E37FEB">
          <w:pPr>
            <w:pStyle w:val="Sumrio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7"/>
              <w:lang w:eastAsia="pt-BR"/>
              <w14:ligatures w14:val="standardContextual"/>
              <w:szCs w:val="17"/>
            </w:rPr>
          </w:pPr>
          <w:hyperlink w:anchor="_Toc235532541" w:history="1">
            <w:r w:rsidRPr="00327233">
              <w:rPr>
                <w:rStyle w:val="Hyperlink"/>
                <w:noProof/>
              </w:rPr>
              <w:t>4.4.2.4 Cálculo do trabalho de transporte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9FF90" w14:textId="0D942690" w:rsidR="00E37FEB" w:rsidRDefault="00E37FEB">
          <w:pPr>
            <w:pStyle w:val="Sumrio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7"/>
              <w:lang w:eastAsia="pt-BR"/>
              <w14:ligatures w14:val="standardContextual"/>
              <w:szCs w:val="17"/>
            </w:rPr>
          </w:pPr>
          <w:hyperlink w:anchor="_Toc235532542" w:history="1">
            <w:r w:rsidRPr="00327233">
              <w:rPr>
                <w:rStyle w:val="Hyperlink"/>
                <w:noProof/>
              </w:rPr>
              <w:t>4.4.2.5 Compilação na estrutura matricial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E120E" w14:textId="72184613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43" w:history="1">
            <w:r w:rsidRPr="00327233">
              <w:rPr>
                <w:rStyle w:val="Hyperlink"/>
                <w:noProof/>
              </w:rPr>
              <w:t>4.4.3 Escolha dos portos e acessos rodoviários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75549" w14:textId="051904BC" w:rsidR="00E37FEB" w:rsidRDefault="00E37FEB">
          <w:pPr>
            <w:pStyle w:val="Sumrio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7"/>
              <w:lang w:eastAsia="pt-BR"/>
              <w14:ligatures w14:val="standardContextual"/>
              <w:szCs w:val="17"/>
            </w:rPr>
          </w:pPr>
          <w:hyperlink w:anchor="_Toc235532544" w:history="1">
            <w:r w:rsidRPr="00327233">
              <w:rPr>
                <w:rStyle w:val="Hyperlink"/>
                <w:noProof/>
              </w:rPr>
              <w:t>4.4.3.1 Escolha dos portos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FC62F" w14:textId="7DFACD01" w:rsidR="00E37FEB" w:rsidRDefault="00E37FEB">
          <w:pPr>
            <w:pStyle w:val="Sumrio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7"/>
              <w:lang w:eastAsia="pt-BR"/>
              <w14:ligatures w14:val="standardContextual"/>
              <w:szCs w:val="17"/>
            </w:rPr>
          </w:pPr>
          <w:hyperlink w:anchor="_Toc235532545" w:history="1">
            <w:r w:rsidRPr="00327233">
              <w:rPr>
                <w:rStyle w:val="Hyperlink"/>
                <w:noProof/>
              </w:rPr>
              <w:t xml:space="preserve">4.4.3.2 Acessos rodoviários: </w:t>
            </w:r>
            <w:r w:rsidRPr="00327233">
              <w:rPr>
                <w:rStyle w:val="Hyperlink"/>
                <w:i/>
                <w:noProof/>
              </w:rPr>
              <w:t>first mile</w:t>
            </w:r>
            <w:r w:rsidRPr="00327233">
              <w:rPr>
                <w:rStyle w:val="Hyperlink"/>
                <w:noProof/>
              </w:rPr>
              <w:t xml:space="preserve"> e </w:t>
            </w:r>
            <w:r w:rsidRPr="00327233">
              <w:rPr>
                <w:rStyle w:val="Hyperlink"/>
                <w:i/>
                <w:noProof/>
              </w:rPr>
              <w:t>last mile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2CBCC" w14:textId="68A63149" w:rsidR="00E37FEB" w:rsidRDefault="00E37FEB">
          <w:pPr>
            <w:pStyle w:val="Sumrio4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7"/>
              <w:lang w:eastAsia="pt-BR"/>
              <w14:ligatures w14:val="standardContextual"/>
              <w:szCs w:val="17"/>
            </w:rPr>
          </w:pPr>
          <w:hyperlink w:anchor="_Toc235532546" w:history="1">
            <w:r w:rsidRPr="00327233">
              <w:rPr>
                <w:rStyle w:val="Hyperlink"/>
                <w:noProof/>
              </w:rPr>
              <w:t>4.4.3.3 Resultado consolidado do exemplo São Paulo–Rio Branco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118F8" w14:textId="69D6EE63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47" w:history="1">
            <w:r w:rsidRPr="00327233">
              <w:rPr>
                <w:rStyle w:val="Hyperlink"/>
                <w:noProof/>
              </w:rPr>
              <w:t>4.4.4 Operações portuárias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79CFC" w14:textId="6F793EA5" w:rsidR="00E37FEB" w:rsidRDefault="00E37FEB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9"/>
              <w:lang w:eastAsia="pt-BR"/>
              <w14:ligatures w14:val="standardContextual"/>
              <w:szCs w:val="19"/>
            </w:rPr>
          </w:pPr>
          <w:hyperlink w:anchor="_Toc235532548" w:history="1">
            <w:r w:rsidRPr="00327233">
              <w:rPr>
                <w:rStyle w:val="Hyperlink"/>
                <w:noProof/>
              </w:rPr>
              <w:t>4.5 Consulta da ligação marítima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E66E8" w14:textId="5935C166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49" w:history="1">
            <w:r w:rsidRPr="00327233">
              <w:rPr>
                <w:rStyle w:val="Hyperlink"/>
                <w:noProof/>
              </w:rPr>
              <w:t>4.5.1 Consulta da ligação marítima no cenário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EB9C2" w14:textId="5C921570" w:rsidR="00E37FEB" w:rsidRDefault="00E37FEB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9"/>
              <w:lang w:eastAsia="pt-BR"/>
              <w14:ligatures w14:val="standardContextual"/>
              <w:szCs w:val="19"/>
            </w:rPr>
          </w:pPr>
          <w:hyperlink w:anchor="_Toc235532550" w:history="1">
            <w:r w:rsidRPr="00327233">
              <w:rPr>
                <w:rStyle w:val="Hyperlink"/>
                <w:noProof/>
              </w:rPr>
              <w:t>4.6 Resultado final do cenário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91B65" w14:textId="10240CB3" w:rsidR="00E37FEB" w:rsidRDefault="00E37FEB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9"/>
              <w:lang w:eastAsia="pt-BR"/>
              <w14:ligatures w14:val="standardContextual"/>
              <w:szCs w:val="19"/>
            </w:rPr>
          </w:pPr>
          <w:hyperlink w:anchor="_Toc235532551" w:history="1">
            <w:r w:rsidRPr="00327233">
              <w:rPr>
                <w:rStyle w:val="Hyperlink"/>
                <w:noProof/>
              </w:rPr>
              <w:t>4.7 Rastreabilidade, auditoria e versionamento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CDC50" w14:textId="12C5C955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52" w:history="1">
            <w:r w:rsidRPr="00327233">
              <w:rPr>
                <w:rStyle w:val="Hyperlink"/>
                <w:noProof/>
              </w:rPr>
              <w:t>4.7.1 Versionamento e reprodução do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CD51D" w14:textId="75572254" w:rsidR="00E37FEB" w:rsidRDefault="00E37FEB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9"/>
              <w:lang w:eastAsia="pt-BR"/>
              <w14:ligatures w14:val="standardContextual"/>
              <w:szCs w:val="19"/>
            </w:rPr>
          </w:pPr>
          <w:hyperlink w:anchor="_Toc235532553" w:history="1">
            <w:r w:rsidRPr="00327233">
              <w:rPr>
                <w:rStyle w:val="Hyperlink"/>
                <w:noProof/>
              </w:rPr>
              <w:t>4.8 Aplicação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86A51" w14:textId="12839CDF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54" w:history="1">
            <w:r w:rsidRPr="00327233">
              <w:rPr>
                <w:rStyle w:val="Hyperlink"/>
                <w:noProof/>
              </w:rPr>
              <w:t>4.8.1 Página 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3626B" w14:textId="6B180C1B" w:rsidR="00E37FEB" w:rsidRDefault="00E37FEB">
          <w:pPr>
            <w:pStyle w:val="Sumrio3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8"/>
              <w:lang w:eastAsia="pt-BR"/>
              <w14:ligatures w14:val="standardContextual"/>
              <w:szCs w:val="18"/>
            </w:rPr>
          </w:pPr>
          <w:hyperlink w:anchor="_Toc235532555" w:history="1">
            <w:r w:rsidRPr="00327233">
              <w:rPr>
                <w:rStyle w:val="Hyperlink"/>
                <w:noProof/>
              </w:rPr>
              <w:t>4.8.2 Página Mapa de calor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3772A" w14:textId="3FFE0CB5" w:rsidR="00E37FEB" w:rsidRDefault="00E37FEB">
          <w:pPr>
            <w:pStyle w:val="Sumrio1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lang w:eastAsia="pt-BR"/>
              <w14:ligatures w14:val="standardContextual"/>
              <w:szCs w:val="20"/>
            </w:rPr>
          </w:pPr>
          <w:hyperlink w:anchor="_Toc235532556" w:history="1">
            <w:r w:rsidRPr="00327233">
              <w:rPr>
                <w:rStyle w:val="Hyperlink"/>
                <w:noProof/>
              </w:rPr>
              <w:t>5. Comparações com ferramentas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F6D5D" w14:textId="26323994" w:rsidR="00E37FEB" w:rsidRDefault="00E37FEB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9"/>
              <w:lang w:eastAsia="pt-BR"/>
              <w14:ligatures w14:val="standardContextual"/>
              <w:szCs w:val="19"/>
            </w:rPr>
          </w:pPr>
          <w:hyperlink w:anchor="_Toc235532557" w:history="1">
            <w:r w:rsidRPr="00327233">
              <w:rPr>
                <w:rStyle w:val="Hyperlink"/>
                <w:noProof/>
              </w:rPr>
              <w:t>5.1 Calculadora de emissões da Aliança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339DD" w14:textId="3E6EE5E4" w:rsidR="00E37FEB" w:rsidRDefault="00E37FEB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9"/>
              <w:lang w:eastAsia="pt-BR"/>
              <w14:ligatures w14:val="standardContextual"/>
              <w:szCs w:val="19"/>
            </w:rPr>
          </w:pPr>
          <w:hyperlink w:anchor="_Toc235532558" w:history="1">
            <w:r w:rsidRPr="00327233">
              <w:rPr>
                <w:rStyle w:val="Hyperlink"/>
                <w:noProof/>
              </w:rPr>
              <w:t>5.2 Calculadora de emissões da Log-In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FAC26" w14:textId="35ADAA84" w:rsidR="00E37FEB" w:rsidRDefault="00E37FEB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9"/>
              <w:lang w:eastAsia="pt-BR"/>
              <w14:ligatures w14:val="standardContextual"/>
              <w:szCs w:val="19"/>
            </w:rPr>
          </w:pPr>
          <w:hyperlink w:anchor="_Toc235532559" w:history="1">
            <w:r w:rsidRPr="00327233">
              <w:rPr>
                <w:rStyle w:val="Hyperlink"/>
                <w:noProof/>
              </w:rPr>
              <w:t>5.3 Calculadora de piso mínimo de frete da 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C17FB" w14:textId="006EECEC" w:rsidR="00E37FEB" w:rsidRDefault="00E37FEB">
          <w:pPr>
            <w:pStyle w:val="Sumrio1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lang w:eastAsia="pt-BR"/>
              <w14:ligatures w14:val="standardContextual"/>
              <w:szCs w:val="20"/>
            </w:rPr>
          </w:pPr>
          <w:hyperlink w:anchor="_Toc235532560" w:history="1">
            <w:r w:rsidRPr="00327233">
              <w:rPr>
                <w:rStyle w:val="Hyperlink"/>
                <w:noProof/>
              </w:rPr>
              <w:t>6. 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0BA7F" w14:textId="6BFFF253" w:rsidR="00E37FEB" w:rsidRDefault="00E37FEB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9"/>
              <w:lang w:eastAsia="pt-BR"/>
              <w14:ligatures w14:val="standardContextual"/>
              <w:szCs w:val="19"/>
            </w:rPr>
          </w:pPr>
          <w:hyperlink w:anchor="_Toc235532561" w:history="1">
            <w:r w:rsidRPr="00327233">
              <w:rPr>
                <w:rStyle w:val="Hyperlink"/>
                <w:noProof/>
              </w:rPr>
              <w:t>6.1 Resultados da comparação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F6A75" w14:textId="075560E1" w:rsidR="00E37FEB" w:rsidRDefault="00E37FEB">
          <w:pPr>
            <w:pStyle w:val="Sumrio2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19"/>
              <w:lang w:eastAsia="pt-BR"/>
              <w14:ligatures w14:val="standardContextual"/>
              <w:szCs w:val="19"/>
            </w:rPr>
          </w:pPr>
          <w:hyperlink w:anchor="_Toc235532562" w:history="1">
            <w:r w:rsidRPr="00327233">
              <w:rPr>
                <w:rStyle w:val="Hyperlink"/>
                <w:noProof/>
              </w:rPr>
              <w:t>6.2 Contribuição metodológica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40B6C" w14:textId="4868F267" w:rsidR="00E37FEB" w:rsidRDefault="00E37FEB">
          <w:pPr>
            <w:pStyle w:val="Sumrio1"/>
            <w:tabs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lang w:eastAsia="pt-BR"/>
              <w14:ligatures w14:val="standardContextual"/>
              <w:szCs w:val="20"/>
            </w:rPr>
          </w:pPr>
          <w:hyperlink w:anchor="_Toc235532563" w:history="1">
            <w:r w:rsidRPr="00327233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EC530" w14:textId="4716E24F" w:rsidR="000F1D9A" w:rsidRPr="00E37FEB" w:rsidRDefault="007224B6">
          <w:r w:rsidRPr="00E37FEB">
            <w:fldChar w:fldCharType="end"/>
          </w:r>
        </w:p>
      </w:sdtContent>
    </w:sdt>
    <w:p w14:paraId="1D2F9D2E" w14:textId="77777777" w:rsidR="000F1D9A" w:rsidRPr="00E37FEB" w:rsidRDefault="007224B6" w:rsidP="00E37FEB">
      <w:pPr>
        <w:pStyle w:val="Ttulo1"/>
        <w:pageBreakBefore/>
      </w:pPr>
      <w:bookmarkStart w:id="0" w:name="dicionário-de-termos"/>
      <w:bookmarkStart w:id="1" w:name="_Toc235532497"/>
      <w:r w:rsidRPr="00E37FEB">
        <w:lastRenderedPageBreak/>
        <w:t>D</w:t>
      </w:r>
      <w:r w:rsidRPr="00E37FEB">
        <w:t>icionário de termos</w:t>
      </w:r>
      <w:bookmarkEnd w:id="0"/>
      <w:bookmarkEnd w:id="1"/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1896"/>
        <w:gridCol w:w="7177"/>
      </w:tblGrid>
      <w:tr w:rsidR="000F1D9A" w:rsidRPr="00E37FEB" w14:paraId="644B836B" w14:textId="77777777" w:rsidTr="00E37FEB">
        <w:trPr>
          <w:tblHeader/>
          <w:jc w:val="center"/>
        </w:trPr>
        <w:tc>
          <w:tcPr>
            <w:tcW w:w="1045" w:type="pct"/>
            <w:shd w:val="clear" w:color="auto" w:fill="E8EEF5"/>
            <w:vAlign w:val="center"/>
          </w:tcPr>
          <w:p w14:paraId="46AD9FEA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Termo ou sigla</w:t>
            </w:r>
          </w:p>
        </w:tc>
        <w:tc>
          <w:tcPr>
            <w:tcW w:w="3955" w:type="pct"/>
            <w:shd w:val="clear" w:color="auto" w:fill="E8EEF5"/>
            <w:vAlign w:val="center"/>
          </w:tcPr>
          <w:p w14:paraId="0DDCA25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Significado no estudo</w:t>
            </w:r>
          </w:p>
        </w:tc>
      </w:tr>
      <w:tr w:rsidR="000F1D9A" w:rsidRPr="00E37FEB" w14:paraId="3E4EFD08" w14:textId="77777777" w:rsidTr="00E37FEB">
        <w:trPr>
          <w:jc w:val="center"/>
        </w:trPr>
        <w:tc>
          <w:tcPr>
            <w:tcW w:w="1045" w:type="pct"/>
            <w:vAlign w:val="center"/>
          </w:tcPr>
          <w:p w14:paraId="3FFD8E1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ANP</w:t>
            </w:r>
          </w:p>
        </w:tc>
        <w:tc>
          <w:tcPr>
            <w:tcW w:w="3955" w:type="pct"/>
            <w:vAlign w:val="center"/>
          </w:tcPr>
          <w:p w14:paraId="7D40E99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Agência Nacional do Petróleo, Gás Natural e Biocombustíveis; publica os preços de Diesel S10 usados no cálculo de custo.</w:t>
            </w:r>
          </w:p>
        </w:tc>
      </w:tr>
      <w:tr w:rsidR="000F1D9A" w:rsidRPr="00E37FEB" w14:paraId="0B08CAF1" w14:textId="77777777" w:rsidTr="00E37FEB">
        <w:trPr>
          <w:jc w:val="center"/>
        </w:trPr>
        <w:tc>
          <w:tcPr>
            <w:tcW w:w="1045" w:type="pct"/>
            <w:vAlign w:val="center"/>
          </w:tcPr>
          <w:p w14:paraId="774E036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ANTAQ</w:t>
            </w:r>
          </w:p>
        </w:tc>
        <w:tc>
          <w:tcPr>
            <w:tcW w:w="3955" w:type="pct"/>
            <w:vAlign w:val="center"/>
          </w:tcPr>
          <w:p w14:paraId="06E49A86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Agência Nacional de Transportes Aquaviários; fornece os registros observados de atracação e movimentação de carga.</w:t>
            </w:r>
          </w:p>
        </w:tc>
      </w:tr>
      <w:tr w:rsidR="000F1D9A" w:rsidRPr="00E37FEB" w14:paraId="10864BE1" w14:textId="77777777" w:rsidTr="00E37FEB">
        <w:trPr>
          <w:jc w:val="center"/>
        </w:trPr>
        <w:tc>
          <w:tcPr>
            <w:tcW w:w="1045" w:type="pct"/>
            <w:vAlign w:val="center"/>
          </w:tcPr>
          <w:p w14:paraId="6B5E453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ANTT</w:t>
            </w:r>
          </w:p>
        </w:tc>
        <w:tc>
          <w:tcPr>
            <w:tcW w:w="3955" w:type="pct"/>
            <w:vAlign w:val="center"/>
          </w:tcPr>
          <w:p w14:paraId="1A92E5C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Agência Nacional de Transportes Terrestres; publica os rendimentos rodoviários por número de eixos usados na estimativa de consumo.</w:t>
            </w:r>
          </w:p>
        </w:tc>
      </w:tr>
      <w:tr w:rsidR="000F1D9A" w:rsidRPr="00E37FEB" w14:paraId="232A28F4" w14:textId="77777777" w:rsidTr="00E37FEB">
        <w:trPr>
          <w:jc w:val="center"/>
        </w:trPr>
        <w:tc>
          <w:tcPr>
            <w:tcW w:w="1045" w:type="pct"/>
            <w:vAlign w:val="center"/>
          </w:tcPr>
          <w:p w14:paraId="0B19B3E2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Cabotagem</w:t>
            </w:r>
          </w:p>
        </w:tc>
        <w:tc>
          <w:tcPr>
            <w:tcW w:w="3955" w:type="pct"/>
            <w:vAlign w:val="center"/>
          </w:tcPr>
          <w:p w14:paraId="7416A0F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Transporte aquaviário de cargas entre portos do mesmo país.</w:t>
            </w:r>
          </w:p>
        </w:tc>
      </w:tr>
      <w:tr w:rsidR="000F1D9A" w:rsidRPr="00E37FEB" w14:paraId="7D9578A2" w14:textId="77777777" w:rsidTr="00E37FEB">
        <w:trPr>
          <w:jc w:val="center"/>
        </w:trPr>
        <w:tc>
          <w:tcPr>
            <w:tcW w:w="1045" w:type="pct"/>
            <w:vAlign w:val="center"/>
          </w:tcPr>
          <w:p w14:paraId="2371F0F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CO₂e</w:t>
            </w:r>
          </w:p>
        </w:tc>
        <w:tc>
          <w:tcPr>
            <w:tcW w:w="3955" w:type="pct"/>
            <w:vAlign w:val="center"/>
          </w:tcPr>
          <w:p w14:paraId="6536ACF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Dióxido de carbono equivalente; unidade que expressa emissões de gases de efeito estufa em uma mesma base.</w:t>
            </w:r>
          </w:p>
        </w:tc>
      </w:tr>
      <w:tr w:rsidR="000F1D9A" w:rsidRPr="00E37FEB" w14:paraId="3E888ABF" w14:textId="77777777" w:rsidTr="00E37FEB">
        <w:trPr>
          <w:jc w:val="center"/>
        </w:trPr>
        <w:tc>
          <w:tcPr>
            <w:tcW w:w="1045" w:type="pct"/>
            <w:vAlign w:val="center"/>
          </w:tcPr>
          <w:p w14:paraId="6A41CBF2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EU MRV</w:t>
            </w:r>
          </w:p>
        </w:tc>
        <w:tc>
          <w:tcPr>
            <w:tcW w:w="3955" w:type="pct"/>
            <w:vAlign w:val="center"/>
          </w:tcPr>
          <w:p w14:paraId="7939EEB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Sistema europeu de Monitoramento, Reporte e Verificação; fornece indicadores anuais de atividade e consumo dos navios.</w:t>
            </w:r>
          </w:p>
        </w:tc>
      </w:tr>
      <w:tr w:rsidR="000F1D9A" w:rsidRPr="00E37FEB" w14:paraId="0459EB9C" w14:textId="77777777" w:rsidTr="00E37FEB">
        <w:trPr>
          <w:jc w:val="center"/>
        </w:trPr>
        <w:tc>
          <w:tcPr>
            <w:tcW w:w="1045" w:type="pct"/>
            <w:vAlign w:val="center"/>
          </w:tcPr>
          <w:p w14:paraId="173FA352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i/>
                <w:sz w:val="18"/>
              </w:rPr>
              <w:t>First mile</w:t>
            </w:r>
            <w:r w:rsidRPr="00E37FEB">
              <w:rPr>
                <w:sz w:val="18"/>
              </w:rPr>
              <w:t xml:space="preserve"> e </w:t>
            </w:r>
            <w:r w:rsidRPr="00E37FEB">
              <w:rPr>
                <w:i/>
                <w:sz w:val="18"/>
              </w:rPr>
              <w:t>last mile</w:t>
            </w:r>
          </w:p>
        </w:tc>
        <w:tc>
          <w:tcPr>
            <w:tcW w:w="3955" w:type="pct"/>
            <w:vAlign w:val="center"/>
          </w:tcPr>
          <w:p w14:paraId="7F6943C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Acessos rodoviários entre a origem e o porto de embarque, e entre o porto de desembarque e o destino, respectivamente.</w:t>
            </w:r>
          </w:p>
        </w:tc>
      </w:tr>
      <w:tr w:rsidR="000F1D9A" w:rsidRPr="00E37FEB" w14:paraId="4E13E57C" w14:textId="77777777" w:rsidTr="00E37FEB">
        <w:trPr>
          <w:jc w:val="center"/>
        </w:trPr>
        <w:tc>
          <w:tcPr>
            <w:tcW w:w="1045" w:type="pct"/>
            <w:vAlign w:val="center"/>
          </w:tcPr>
          <w:p w14:paraId="08B069B6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Geocodificação</w:t>
            </w:r>
          </w:p>
        </w:tc>
        <w:tc>
          <w:tcPr>
            <w:tcW w:w="3955" w:type="pct"/>
            <w:vAlign w:val="center"/>
          </w:tcPr>
          <w:p w14:paraId="72D41AC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Conversão de um endereço ou local informado em coordenadas geográficas.</w:t>
            </w:r>
          </w:p>
        </w:tc>
      </w:tr>
      <w:tr w:rsidR="000F1D9A" w:rsidRPr="00E37FEB" w14:paraId="330BF304" w14:textId="77777777" w:rsidTr="00E37FEB">
        <w:trPr>
          <w:jc w:val="center"/>
        </w:trPr>
        <w:tc>
          <w:tcPr>
            <w:tcW w:w="1045" w:type="pct"/>
            <w:vAlign w:val="center"/>
          </w:tcPr>
          <w:p w14:paraId="6C57B1D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Distância de Haversine</w:t>
            </w:r>
          </w:p>
        </w:tc>
        <w:tc>
          <w:tcPr>
            <w:tcW w:w="3955" w:type="pct"/>
            <w:vAlign w:val="center"/>
          </w:tcPr>
          <w:p w14:paraId="7B4F7A1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Distância geométrica entre dois pontos calculada a partir de latitude e longitude; usada somente para selecionar os portos mais próximos.</w:t>
            </w:r>
          </w:p>
        </w:tc>
      </w:tr>
      <w:tr w:rsidR="000F1D9A" w:rsidRPr="00E37FEB" w14:paraId="27ED7227" w14:textId="77777777" w:rsidTr="00E37FEB">
        <w:trPr>
          <w:jc w:val="center"/>
        </w:trPr>
        <w:tc>
          <w:tcPr>
            <w:tcW w:w="1045" w:type="pct"/>
            <w:vAlign w:val="center"/>
          </w:tcPr>
          <w:p w14:paraId="6C76A383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IMO</w:t>
            </w:r>
          </w:p>
        </w:tc>
        <w:tc>
          <w:tcPr>
            <w:tcW w:w="3955" w:type="pct"/>
            <w:vAlign w:val="center"/>
          </w:tcPr>
          <w:p w14:paraId="1E6BC83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Número de identificação permanente atribuído pela Organização Marítima Internacional a cada navio.</w:t>
            </w:r>
          </w:p>
        </w:tc>
      </w:tr>
      <w:tr w:rsidR="000F1D9A" w:rsidRPr="00E37FEB" w14:paraId="2F38AD4A" w14:textId="77777777" w:rsidTr="00E37FEB">
        <w:trPr>
          <w:jc w:val="center"/>
        </w:trPr>
        <w:tc>
          <w:tcPr>
            <w:tcW w:w="1045" w:type="pct"/>
            <w:vAlign w:val="center"/>
          </w:tcPr>
          <w:p w14:paraId="5B40F92A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Intensidade marítima</w:t>
            </w:r>
          </w:p>
        </w:tc>
        <w:tc>
          <w:tcPr>
            <w:tcW w:w="3955" w:type="pct"/>
            <w:vAlign w:val="center"/>
          </w:tcPr>
          <w:p w14:paraId="66A3A68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Combustível associado ao transporte de uma tonelada por uma milha náutica, expresso em g/(t·nm).</w:t>
            </w:r>
          </w:p>
        </w:tc>
      </w:tr>
      <w:tr w:rsidR="000F1D9A" w:rsidRPr="00E37FEB" w14:paraId="32D0D35D" w14:textId="77777777" w:rsidTr="00E37FEB">
        <w:trPr>
          <w:jc w:val="center"/>
        </w:trPr>
        <w:tc>
          <w:tcPr>
            <w:tcW w:w="1045" w:type="pct"/>
            <w:vAlign w:val="center"/>
          </w:tcPr>
          <w:p w14:paraId="2C5CA95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LCA</w:t>
            </w:r>
          </w:p>
        </w:tc>
        <w:tc>
          <w:tcPr>
            <w:tcW w:w="3955" w:type="pct"/>
            <w:vAlign w:val="center"/>
          </w:tcPr>
          <w:p w14:paraId="79D9C7B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i/>
                <w:sz w:val="18"/>
              </w:rPr>
              <w:t>Life-cycle assessment</w:t>
            </w:r>
            <w:r w:rsidRPr="00E37FEB">
              <w:rPr>
                <w:sz w:val="18"/>
              </w:rPr>
              <w:t>, ou avaliação de ciclo de vida; fronteira mais ampla que pode incluir veículos, infraestrutura e cadeia do combustível.</w:t>
            </w:r>
          </w:p>
        </w:tc>
      </w:tr>
      <w:tr w:rsidR="000F1D9A" w:rsidRPr="00E37FEB" w14:paraId="69DA1395" w14:textId="77777777" w:rsidTr="00E37FEB">
        <w:trPr>
          <w:jc w:val="center"/>
        </w:trPr>
        <w:tc>
          <w:tcPr>
            <w:tcW w:w="1045" w:type="pct"/>
            <w:vAlign w:val="center"/>
          </w:tcPr>
          <w:p w14:paraId="10495CB2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P95</w:t>
            </w:r>
          </w:p>
        </w:tc>
        <w:tc>
          <w:tcPr>
            <w:tcW w:w="3955" w:type="pct"/>
            <w:vAlign w:val="center"/>
          </w:tcPr>
          <w:p w14:paraId="6975DE32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Percentil 95; limite usado para identificar valores excepcionalmente altos em conjuntos de dados.</w:t>
            </w:r>
          </w:p>
        </w:tc>
      </w:tr>
      <w:tr w:rsidR="000F1D9A" w:rsidRPr="00E37FEB" w14:paraId="528D3417" w14:textId="77777777" w:rsidTr="00E37FEB">
        <w:trPr>
          <w:jc w:val="center"/>
        </w:trPr>
        <w:tc>
          <w:tcPr>
            <w:tcW w:w="1045" w:type="pct"/>
            <w:vAlign w:val="center"/>
          </w:tcPr>
          <w:p w14:paraId="6E2E18C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Perna marítima</w:t>
            </w:r>
          </w:p>
        </w:tc>
        <w:tc>
          <w:tcPr>
            <w:tcW w:w="3955" w:type="pct"/>
            <w:vAlign w:val="center"/>
          </w:tcPr>
          <w:p w14:paraId="7979D92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Trecho de cabotagem entre o porto de embarque e o porto de desembarque.</w:t>
            </w:r>
          </w:p>
        </w:tc>
      </w:tr>
      <w:tr w:rsidR="000F1D9A" w:rsidRPr="00E37FEB" w14:paraId="4BED8CEB" w14:textId="77777777" w:rsidTr="00E37FEB">
        <w:trPr>
          <w:jc w:val="center"/>
        </w:trPr>
        <w:tc>
          <w:tcPr>
            <w:tcW w:w="1045" w:type="pct"/>
            <w:vAlign w:val="center"/>
          </w:tcPr>
          <w:p w14:paraId="0E143EB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TEU e TKU</w:t>
            </w:r>
          </w:p>
        </w:tc>
        <w:tc>
          <w:tcPr>
            <w:tcW w:w="3955" w:type="pct"/>
            <w:vAlign w:val="center"/>
          </w:tcPr>
          <w:p w14:paraId="39B766B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Unidade equivalente a um contêiner de 20 pés e tonelada-quilômetro útil, respectivamente.</w:t>
            </w:r>
          </w:p>
        </w:tc>
      </w:tr>
      <w:tr w:rsidR="000F1D9A" w:rsidRPr="00E37FEB" w14:paraId="0AEBFF39" w14:textId="77777777" w:rsidTr="00E37FEB">
        <w:trPr>
          <w:jc w:val="center"/>
        </w:trPr>
        <w:tc>
          <w:tcPr>
            <w:tcW w:w="1045" w:type="pct"/>
            <w:vAlign w:val="center"/>
          </w:tcPr>
          <w:p w14:paraId="734403E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Trabalho de transporte</w:t>
            </w:r>
          </w:p>
        </w:tc>
        <w:tc>
          <w:tcPr>
            <w:tcW w:w="3955" w:type="pct"/>
            <w:vAlign w:val="center"/>
          </w:tcPr>
          <w:p w14:paraId="1356FB1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Produto da carga a bordo pela distância em cada subtrecho, expresso em t·nm.</w:t>
            </w:r>
          </w:p>
        </w:tc>
      </w:tr>
      <w:tr w:rsidR="000F1D9A" w:rsidRPr="00E37FEB" w14:paraId="1A7BB8DB" w14:textId="77777777" w:rsidTr="00E37FEB">
        <w:trPr>
          <w:jc w:val="center"/>
        </w:trPr>
        <w:tc>
          <w:tcPr>
            <w:tcW w:w="1045" w:type="pct"/>
            <w:vAlign w:val="center"/>
          </w:tcPr>
          <w:p w14:paraId="1AAADAF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TTW e WTW</w:t>
            </w:r>
          </w:p>
        </w:tc>
        <w:tc>
          <w:tcPr>
            <w:tcW w:w="3955" w:type="pct"/>
            <w:vAlign w:val="center"/>
          </w:tcPr>
          <w:p w14:paraId="279F047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i/>
                <w:sz w:val="18"/>
              </w:rPr>
              <w:t>Tank-to-wheel</w:t>
            </w:r>
            <w:r w:rsidRPr="00E37FEB">
              <w:rPr>
                <w:sz w:val="18"/>
              </w:rPr>
              <w:t xml:space="preserve">, que considera a queima do combustível durante o transporte, e </w:t>
            </w:r>
            <w:r w:rsidRPr="00E37FEB">
              <w:rPr>
                <w:i/>
                <w:sz w:val="18"/>
              </w:rPr>
              <w:t>well-to-wheel</w:t>
            </w:r>
            <w:r w:rsidRPr="00E37FEB">
              <w:rPr>
                <w:sz w:val="18"/>
              </w:rPr>
              <w:t>, que também inclui suas etapas anteriores.</w:t>
            </w:r>
          </w:p>
        </w:tc>
      </w:tr>
      <w:tr w:rsidR="000F1D9A" w:rsidRPr="00E37FEB" w14:paraId="0EB74049" w14:textId="77777777" w:rsidTr="00E37FEB">
        <w:trPr>
          <w:jc w:val="center"/>
        </w:trPr>
        <w:tc>
          <w:tcPr>
            <w:tcW w:w="1045" w:type="pct"/>
            <w:vAlign w:val="center"/>
          </w:tcPr>
          <w:p w14:paraId="176F58B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VLSFO</w:t>
            </w:r>
          </w:p>
        </w:tc>
        <w:tc>
          <w:tcPr>
            <w:tcW w:w="3955" w:type="pct"/>
            <w:vAlign w:val="center"/>
          </w:tcPr>
          <w:p w14:paraId="25AA3B72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i/>
                <w:sz w:val="18"/>
              </w:rPr>
              <w:t>Very low sulphur fuel oil</w:t>
            </w:r>
            <w:r w:rsidRPr="00E37FEB">
              <w:rPr>
                <w:sz w:val="18"/>
              </w:rPr>
              <w:t>, óleo combustível naval de baixíssimo teor de enxofre.</w:t>
            </w:r>
          </w:p>
        </w:tc>
      </w:tr>
    </w:tbl>
    <w:p w14:paraId="2729E904" w14:textId="77777777" w:rsidR="000F1D9A" w:rsidRPr="00E37FEB" w:rsidRDefault="007224B6">
      <w:pPr>
        <w:pStyle w:val="Ttulo1"/>
      </w:pPr>
      <w:bookmarkStart w:id="2" w:name="introdução"/>
      <w:bookmarkStart w:id="3" w:name="_Toc235532498"/>
      <w:r w:rsidRPr="00E37FEB">
        <w:t>1. Introdução</w:t>
      </w:r>
      <w:bookmarkEnd w:id="2"/>
      <w:bookmarkEnd w:id="3"/>
    </w:p>
    <w:p w14:paraId="0DDD16A6" w14:textId="77777777" w:rsidR="000F1D9A" w:rsidRPr="00E37FEB" w:rsidRDefault="007224B6">
      <w:pPr>
        <w:pStyle w:val="FirstParagraph"/>
      </w:pPr>
      <w:r w:rsidRPr="00E37FEB">
        <w:t>O transporte de cargas no Brasil é fortemente concentrado nas rodovias. Em 2015, o modal rodoviário respondeu por 65% da atividade de transporte de cargas, medida em toneladas-quilômetro úteis (TKU). No mesmo recorte, a ferrovia respondeu por 15% e a cabotagem por 11%. A distribuição ajuda a explicar por que o caminhão é a referência mais imediata para transportar cargas no país, inclusive em trajetos longos.</w:t>
      </w:r>
    </w:p>
    <w:p w14:paraId="75BA89C3" w14:textId="77777777" w:rsidR="000F1D9A" w:rsidRPr="00E37FEB" w:rsidRDefault="007224B6" w:rsidP="00E37FEB">
      <w:pPr>
        <w:pStyle w:val="Corpodetexto"/>
        <w:keepLines/>
        <w:spacing w:before="120" w:after="80"/>
        <w:jc w:val="center"/>
      </w:pPr>
      <w:r w:rsidRPr="00E37FEB">
        <w:rPr>
          <w:noProof/>
        </w:rPr>
        <w:lastRenderedPageBreak/>
        <w:drawing>
          <wp:inline distT="0" distB="0" distL="0" distR="0" wp14:anchorId="1B5F630D" wp14:editId="46A5007A">
            <wp:extent cx="5334000" cy="3556000"/>
            <wp:effectExtent l="0" t="0" r="0" b="0"/>
            <wp:docPr id="1" name="Picture" descr="Distribuição da atividade de transporte de cargas no Brasil em 201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Distribuição da atividade de transporte de cargas no Brasil em 2015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43E52B" w14:textId="77777777" w:rsidR="000F1D9A" w:rsidRPr="00E37FEB" w:rsidRDefault="007224B6" w:rsidP="00E37FEB">
      <w:pPr>
        <w:pStyle w:val="LegendadeFiguraCL"/>
      </w:pPr>
      <w:r w:rsidRPr="00E37FEB">
        <w:t xml:space="preserve">Figura 1 — Distribuição da atividade de transporte de cargas no Brasil em 2015, medida em TKU. Fonte: </w:t>
      </w:r>
      <w:hyperlink r:id="rId8">
        <w:r w:rsidRPr="00E37FEB">
          <w:rPr>
            <w:rStyle w:val="Hyperlink"/>
          </w:rPr>
          <w:t>Sindicato dos Bancários de São Paulo, Osasco e Região (2018)</w:t>
        </w:r>
      </w:hyperlink>
      <w:r w:rsidRPr="00E37FEB">
        <w:t>, com dados de 2015 do Plano Nacional de Logística, conforme informado pela publicação.</w:t>
      </w:r>
    </w:p>
    <w:p w14:paraId="17BB68AF" w14:textId="77777777" w:rsidR="000F1D9A" w:rsidRPr="00E37FEB" w:rsidRDefault="007224B6">
      <w:pPr>
        <w:pStyle w:val="Corpodetexto"/>
      </w:pPr>
      <w:r w:rsidRPr="00E37FEB">
        <w:t>A</w:t>
      </w:r>
      <w:r w:rsidRPr="00E37FEB">
        <w:t xml:space="preserve">lém do papel predominante na matriz, o transporte rodoviário de cargas depende, principalmente, do diesel e contribui para as emissões de gases de efeito estufa do setor. Por isso, políticas de transporte buscam transferir parte das viagens longas para modais mais eficientes. Tomemos de exemplo a </w:t>
      </w:r>
      <w:hyperlink r:id="rId9">
        <w:r w:rsidRPr="00E37FEB">
          <w:rPr>
            <w:rStyle w:val="Hyperlink"/>
          </w:rPr>
          <w:t>Comissão Europeia (2011)</w:t>
        </w:r>
      </w:hyperlink>
      <w:r w:rsidRPr="00E37FEB">
        <w:t>, que no Livro Branco dos Transportes definiu a meta de transferir, até 2030, 30% das cargas rodoviárias transportadas por mais de 300 km para ferrovias ou vias aquaviárias e, até 2050, mais de 50%. Nesse contexto, a cabotagem — o transporte marítimo entre portos do mesmo país utilizando a navegação pela costa nacional ou por vias interiores — é uma alternativa possível para parte das cargas de longa distância no Brasil (Carvalho, 2022).</w:t>
      </w:r>
    </w:p>
    <w:p w14:paraId="0BABAEAF" w14:textId="77777777" w:rsidR="000F1D9A" w:rsidRPr="00E37FEB" w:rsidRDefault="007224B6">
      <w:pPr>
        <w:pStyle w:val="Corpodetexto"/>
      </w:pPr>
      <w:r w:rsidRPr="00E37FEB">
        <w:t>Para saber se a cabotagem faz sentido em uma ligação específica, a comparação precisa ser porta a porta. Uma comparação porta a porta começa no local onde a carga está e termina no local em que ela será entregue. As duas alternativas precisam prestar exatamente o mesmo serviço: transportar a mesma massa entre esses dois pontos. No caminho rodoviário, o caminhão percorre todo o trajeto por estrada. Na alternativa com cabotagem, a carga segue de caminhão até o porto de embarque, é transportada pelo navio entr</w:t>
      </w:r>
      <w:r w:rsidRPr="00E37FEB">
        <w:t>e os portos e, em seguida, segue de caminhão do porto de desembarque até o destino final. Por isso, a análise soma distância, consumo, emissões e custo de todas essas etapas, em vez de comparar apenas o trecho marítimo com a viagem rodoviária completa. Os portos escolhidos, as distâncias de acesso, a carga e as operações de transbordo podem mudar o resultado (Svindland e Hjelle, 2019; Raza, Svanberg e Wiegmans, 2020).</w:t>
      </w:r>
    </w:p>
    <w:p w14:paraId="54593063" w14:textId="77777777" w:rsidR="000F1D9A" w:rsidRPr="00E37FEB" w:rsidRDefault="007224B6">
      <w:pPr>
        <w:pStyle w:val="Corpodetexto"/>
      </w:pPr>
      <w:r w:rsidRPr="00E37FEB">
        <w:lastRenderedPageBreak/>
        <w:t>É para tornar essa comparação possível que foi desenvolvido o CabotageLens. O usuário informa a origem, o destino e a massa da carga, e o sistema constrói as duas alternativas de transporte. Para cada uma, apresenta a distância total, o consumo de combustível, as emissões operacionais e o custo modelado do combustível. Ao reunir essas informações em uma mesma base de comparação, a ferramenta permite avaliar, para cada ligação, como a alternativa com cabotagem se diferencia da rota feita inteiramente por est</w:t>
      </w:r>
      <w:r w:rsidRPr="00E37FEB">
        <w:t>rada. Com isso, a comparação deixa de ser uma escolha abstrata entre caminhão e navio e passa a considerar a operação logística completa.</w:t>
      </w:r>
    </w:p>
    <w:p w14:paraId="7CA2245F" w14:textId="77777777" w:rsidR="000F1D9A" w:rsidRPr="00E37FEB" w:rsidRDefault="007224B6">
      <w:pPr>
        <w:pStyle w:val="Ttulo1"/>
      </w:pPr>
      <w:bookmarkStart w:id="4" w:name="revisão-da-literatura-e-fundamentação-me"/>
      <w:bookmarkStart w:id="5" w:name="_Toc235532499"/>
      <w:r w:rsidRPr="00E37FEB">
        <w:t>2. Revisão da literatura e fundamentação metodológica</w:t>
      </w:r>
      <w:bookmarkEnd w:id="4"/>
      <w:bookmarkEnd w:id="5"/>
    </w:p>
    <w:p w14:paraId="735A4B9E" w14:textId="77777777" w:rsidR="000F1D9A" w:rsidRPr="00E37FEB" w:rsidRDefault="007224B6">
      <w:pPr>
        <w:pStyle w:val="FirstParagraph"/>
      </w:pPr>
      <w:r w:rsidRPr="00E37FEB">
        <w:t>A literatura mostra que a cabotagem pode ser relevante em viagens longas, mas o resultado muda de uma ligação para outra (Carvalho, 2022). Uma rota pode ter uma longa navegação e acessos rodoviários curtos. Outra pode exigir muitos quilômetros por estrada até o porto. Frequência, tempo, confiabilidade, estoque e disponibilidade do serviço também influenciam a decisão real (Costa et al., 2025). O CabotageLens calcula rotas, combustível, emissões operacionais e custo modelado do combustível. Ele não represent</w:t>
      </w:r>
      <w:r w:rsidRPr="00E37FEB">
        <w:t>a por completo todas as condições comerciais.</w:t>
      </w:r>
    </w:p>
    <w:p w14:paraId="6A13D705" w14:textId="77777777" w:rsidR="000F1D9A" w:rsidRPr="00E37FEB" w:rsidRDefault="007224B6">
      <w:pPr>
        <w:pStyle w:val="Corpodetexto"/>
      </w:pPr>
      <w:r w:rsidRPr="00E37FEB">
        <w:t xml:space="preserve">Estudos de </w:t>
      </w:r>
      <w:r w:rsidRPr="00E37FEB">
        <w:rPr>
          <w:i/>
        </w:rPr>
        <w:t>short sea shipping</w:t>
      </w:r>
      <w:r w:rsidRPr="00E37FEB">
        <w:t xml:space="preserve"> (navegação marítima de curta distância) também mostram que a substituição do transporte rodoviário pelo transporte marítimo não significa uma vantagem ambiental automática. O resultado depende do tipo de navio, de sua utilização, das distâncias e da carga à qual o consumo é atribuído (Svindland e Hjelle, 2019). Por isso, a unidade analisada deve ser a remessa completa, e não um navio e um caminhão considerados isoladamente (Raza, Svanberg e Wiegmans, 2020).</w:t>
      </w:r>
    </w:p>
    <w:p w14:paraId="162CC6F1" w14:textId="77777777" w:rsidR="000F1D9A" w:rsidRPr="00E37FEB" w:rsidRDefault="007224B6">
      <w:pPr>
        <w:pStyle w:val="Corpodetexto"/>
      </w:pPr>
      <w:r w:rsidRPr="00E37FEB">
        <w:t>Um princípio metodológico do estudo é dar preferência a dados públicos, oficiais, observados e auditáveis. A Agência Nacional de Transportes Aquaviários (ANTAQ), órgão federal que regula e acompanha o transporte aquaviário brasileiro, fornece os registros de escalas e de movimentação de carga. A base europeia de Monitoramento, Reporte e Verificação da União Europeia (EU MRV) publica indicadores anuais de consumo e atividade dos navios. Essas fontes permitem relacionar uma operação registrada no Brasil ao de</w:t>
      </w:r>
      <w:r w:rsidRPr="00E37FEB">
        <w:t>sempenho do navio identificado pelo número da Organização Marítima Internacional (IMO), uma identificação permanente da embarcação. Os campos utilizados, os arquivos de origem e a forma de reconstruir as viagens são apresentados na Seção 3.3 (ANTAQ, 2025; EMSA, 2026).</w:t>
      </w:r>
    </w:p>
    <w:p w14:paraId="4ED8C326" w14:textId="77777777" w:rsidR="000F1D9A" w:rsidRPr="00E37FEB" w:rsidRDefault="007224B6">
      <w:pPr>
        <w:pStyle w:val="Corpodetexto"/>
      </w:pPr>
      <w:r w:rsidRPr="00E37FEB">
        <w:t xml:space="preserve">O cálculo de emissões adota a fronteira operacional </w:t>
      </w:r>
      <w:r w:rsidRPr="00E37FEB">
        <w:rPr>
          <w:i/>
        </w:rPr>
        <w:t>tank-to-wheel</w:t>
      </w:r>
      <w:r w:rsidRPr="00E37FEB">
        <w:t xml:space="preserve"> (TTW, do tanque à roda), pois o objetivo é comparar as emissões diretamente associadas ao transporte da mesma remessa. Em um caminhão a diesel, por exemplo, isso corresponde às emissões liberadas pelo escapamento durante a viagem. As fronteiras </w:t>
      </w:r>
      <w:r w:rsidRPr="00E37FEB">
        <w:rPr>
          <w:i/>
        </w:rPr>
        <w:t>well-to-wheel</w:t>
      </w:r>
      <w:r w:rsidRPr="00E37FEB">
        <w:t xml:space="preserve"> (WTW, do poço à roda) e de avaliação de ciclo de vida (</w:t>
      </w:r>
      <w:r w:rsidRPr="00E37FEB">
        <w:rPr>
          <w:i/>
        </w:rPr>
        <w:t>life-cycle assessment</w:t>
      </w:r>
      <w:r w:rsidRPr="00E37FEB">
        <w:t>, LCA) ampliariam a análise para etapas que ocorrem antes ou além do deslocamento (Costa, Mendes e Silva, 2024; Roux et al., 2024), mas não foram adotadas no presente estudo.</w:t>
      </w:r>
    </w:p>
    <w:p w14:paraId="6CC35A19" w14:textId="77777777" w:rsidR="000F1D9A" w:rsidRPr="00E37FEB" w:rsidRDefault="007224B6" w:rsidP="00E37FEB">
      <w:pPr>
        <w:pStyle w:val="TtulodeTabelaCL"/>
      </w:pPr>
      <w:r w:rsidRPr="00E37FEB">
        <w:lastRenderedPageBreak/>
        <w:t>Quadro 1 — Fronteiras de emissão e aplicação ao caminhão a diesel.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1780"/>
        <w:gridCol w:w="3223"/>
        <w:gridCol w:w="4070"/>
      </w:tblGrid>
      <w:tr w:rsidR="000F1D9A" w:rsidRPr="00E37FEB" w14:paraId="34085257" w14:textId="77777777" w:rsidTr="00E37FEB">
        <w:trPr>
          <w:tblHeader/>
          <w:jc w:val="center"/>
        </w:trPr>
        <w:tc>
          <w:tcPr>
            <w:tcW w:w="981" w:type="pct"/>
            <w:shd w:val="clear" w:color="auto" w:fill="E8EEF5"/>
            <w:vAlign w:val="center"/>
          </w:tcPr>
          <w:p w14:paraId="1D64745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F</w:t>
            </w:r>
            <w:r w:rsidRPr="00E37FEB">
              <w:rPr>
                <w:b/>
                <w:sz w:val="18"/>
              </w:rPr>
              <w:t>ronteira</w:t>
            </w:r>
          </w:p>
        </w:tc>
        <w:tc>
          <w:tcPr>
            <w:tcW w:w="1776" w:type="pct"/>
            <w:shd w:val="clear" w:color="auto" w:fill="E8EEF5"/>
            <w:vAlign w:val="center"/>
          </w:tcPr>
          <w:p w14:paraId="31D0A9E4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Conceito</w:t>
            </w:r>
          </w:p>
        </w:tc>
        <w:tc>
          <w:tcPr>
            <w:tcW w:w="2243" w:type="pct"/>
            <w:shd w:val="clear" w:color="auto" w:fill="E8EEF5"/>
            <w:vAlign w:val="center"/>
          </w:tcPr>
          <w:p w14:paraId="2D1259B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Aplicação prática ao caminhão</w:t>
            </w:r>
          </w:p>
        </w:tc>
      </w:tr>
      <w:tr w:rsidR="000F1D9A" w:rsidRPr="00E37FEB" w14:paraId="1D25B165" w14:textId="77777777" w:rsidTr="00E37FEB">
        <w:trPr>
          <w:jc w:val="center"/>
        </w:trPr>
        <w:tc>
          <w:tcPr>
            <w:tcW w:w="981" w:type="pct"/>
            <w:vAlign w:val="center"/>
          </w:tcPr>
          <w:p w14:paraId="3E4BA86D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TTW (</w:t>
            </w:r>
            <w:r w:rsidRPr="00E37FEB">
              <w:rPr>
                <w:i/>
                <w:sz w:val="18"/>
              </w:rPr>
              <w:t>tank-to-wheel</w:t>
            </w:r>
            <w:r w:rsidRPr="00E37FEB">
              <w:rPr>
                <w:sz w:val="18"/>
              </w:rPr>
              <w:t>)</w:t>
            </w:r>
          </w:p>
        </w:tc>
        <w:tc>
          <w:tcPr>
            <w:tcW w:w="1776" w:type="pct"/>
            <w:vAlign w:val="center"/>
          </w:tcPr>
          <w:p w14:paraId="778928B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Considera somente a queima do combustível durante o transporte.</w:t>
            </w:r>
          </w:p>
        </w:tc>
        <w:tc>
          <w:tcPr>
            <w:tcW w:w="2243" w:type="pct"/>
            <w:vAlign w:val="center"/>
          </w:tcPr>
          <w:p w14:paraId="63ED2EB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Emissões do escapamento ao longo da viagem.</w:t>
            </w:r>
          </w:p>
        </w:tc>
      </w:tr>
      <w:tr w:rsidR="000F1D9A" w:rsidRPr="00E37FEB" w14:paraId="33D302A6" w14:textId="77777777" w:rsidTr="00E37FEB">
        <w:trPr>
          <w:jc w:val="center"/>
        </w:trPr>
        <w:tc>
          <w:tcPr>
            <w:tcW w:w="981" w:type="pct"/>
            <w:vAlign w:val="center"/>
          </w:tcPr>
          <w:p w14:paraId="4A1328C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WTW (</w:t>
            </w:r>
            <w:r w:rsidRPr="00E37FEB">
              <w:rPr>
                <w:i/>
                <w:sz w:val="18"/>
              </w:rPr>
              <w:t>well-to-wheel</w:t>
            </w:r>
            <w:r w:rsidRPr="00E37FEB">
              <w:rPr>
                <w:sz w:val="18"/>
              </w:rPr>
              <w:t>)</w:t>
            </w:r>
          </w:p>
        </w:tc>
        <w:tc>
          <w:tcPr>
            <w:tcW w:w="1776" w:type="pct"/>
            <w:vAlign w:val="center"/>
          </w:tcPr>
          <w:p w14:paraId="5C10909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Inclui a queima e as etapas anteriores da cadeia do combustível.</w:t>
            </w:r>
          </w:p>
        </w:tc>
        <w:tc>
          <w:tcPr>
            <w:tcW w:w="2243" w:type="pct"/>
            <w:vAlign w:val="center"/>
          </w:tcPr>
          <w:p w14:paraId="0287EE7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Também inclui extração, refino, transporte e distribuição do diesel.</w:t>
            </w:r>
          </w:p>
        </w:tc>
      </w:tr>
      <w:tr w:rsidR="000F1D9A" w:rsidRPr="00E37FEB" w14:paraId="09E4FA9A" w14:textId="77777777" w:rsidTr="00E37FEB">
        <w:trPr>
          <w:jc w:val="center"/>
        </w:trPr>
        <w:tc>
          <w:tcPr>
            <w:tcW w:w="981" w:type="pct"/>
            <w:vAlign w:val="center"/>
          </w:tcPr>
          <w:p w14:paraId="41196A7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LCA (</w:t>
            </w:r>
            <w:r w:rsidRPr="00E37FEB">
              <w:rPr>
                <w:i/>
                <w:sz w:val="18"/>
              </w:rPr>
              <w:t>life-cycle assessment</w:t>
            </w:r>
            <w:r w:rsidRPr="00E37FEB">
              <w:rPr>
                <w:sz w:val="18"/>
              </w:rPr>
              <w:t>)</w:t>
            </w:r>
          </w:p>
        </w:tc>
        <w:tc>
          <w:tcPr>
            <w:tcW w:w="1776" w:type="pct"/>
            <w:vAlign w:val="center"/>
          </w:tcPr>
          <w:p w14:paraId="0716C8C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Avalia um escopo mais amplo do sistema de transporte.</w:t>
            </w:r>
          </w:p>
        </w:tc>
        <w:tc>
          <w:tcPr>
            <w:tcW w:w="2243" w:type="pct"/>
            <w:vAlign w:val="center"/>
          </w:tcPr>
          <w:p w14:paraId="10222B54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Pode incluir a fabricação, a manutenção e o fim de vida do caminhão e da infraestrutura.</w:t>
            </w:r>
          </w:p>
        </w:tc>
      </w:tr>
    </w:tbl>
    <w:p w14:paraId="306EAB8E" w14:textId="77777777" w:rsidR="000F1D9A" w:rsidRPr="00E37FEB" w:rsidRDefault="007224B6" w:rsidP="00E37FEB">
      <w:pPr>
        <w:pStyle w:val="FontedeTabelaCL"/>
      </w:pPr>
      <w:r w:rsidRPr="00E37FEB">
        <w:t>Fonte: elaboração própria com base em Costa, Mendes e Silva (2024) e Roux et al. (2024).</w:t>
      </w:r>
    </w:p>
    <w:p w14:paraId="20B8369D" w14:textId="77777777" w:rsidR="000F1D9A" w:rsidRPr="00E37FEB" w:rsidRDefault="007224B6">
      <w:pPr>
        <w:pStyle w:val="Corpodetexto"/>
      </w:pPr>
      <w:r w:rsidRPr="00E37FEB">
        <w:t>A</w:t>
      </w:r>
      <w:r w:rsidRPr="00E37FEB">
        <w:t>lém das emissões, o estudo delimita o custo e o serviço que serão comparados. O custo apresentado é uma estimativa do custo do combustível consumido nas etapas calculadas. Ele não representa frete comercial, tarifa contratada, negociação, seguro, estoque ou multas por permanência. O serviço comparado é o transporte da mesma remessa entre a mesma origem e o mesmo destino. As viagens observadas permitem reconstruir os percursos marítimos, mas não garantem frequência, espaço no navio ou disponibilidade comerci</w:t>
      </w:r>
      <w:r w:rsidRPr="00E37FEB">
        <w:t>al futura.</w:t>
      </w:r>
    </w:p>
    <w:p w14:paraId="5613D836" w14:textId="77777777" w:rsidR="000F1D9A" w:rsidRPr="00E37FEB" w:rsidRDefault="007224B6" w:rsidP="00E37FEB">
      <w:pPr>
        <w:pStyle w:val="TtulodeTabelaCL"/>
      </w:pPr>
      <w:r w:rsidRPr="00E37FEB">
        <w:t>Tabela 1 — O que está dentro e fora da comparação.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1085"/>
        <w:gridCol w:w="3105"/>
        <w:gridCol w:w="4883"/>
      </w:tblGrid>
      <w:tr w:rsidR="000F1D9A" w:rsidRPr="00E37FEB" w14:paraId="6201692B" w14:textId="77777777" w:rsidTr="00E37FEB">
        <w:trPr>
          <w:tblHeader/>
          <w:jc w:val="center"/>
        </w:trPr>
        <w:tc>
          <w:tcPr>
            <w:tcW w:w="598" w:type="pct"/>
            <w:shd w:val="clear" w:color="auto" w:fill="E8EEF5"/>
            <w:vAlign w:val="center"/>
          </w:tcPr>
          <w:p w14:paraId="525A6BC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D</w:t>
            </w:r>
            <w:r w:rsidRPr="00E37FEB">
              <w:rPr>
                <w:b/>
                <w:sz w:val="18"/>
              </w:rPr>
              <w:t>imensão</w:t>
            </w:r>
          </w:p>
        </w:tc>
        <w:tc>
          <w:tcPr>
            <w:tcW w:w="1711" w:type="pct"/>
            <w:shd w:val="clear" w:color="auto" w:fill="E8EEF5"/>
            <w:vAlign w:val="center"/>
          </w:tcPr>
          <w:p w14:paraId="71E59B2A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Incluído</w:t>
            </w:r>
          </w:p>
        </w:tc>
        <w:tc>
          <w:tcPr>
            <w:tcW w:w="2691" w:type="pct"/>
            <w:shd w:val="clear" w:color="auto" w:fill="E8EEF5"/>
            <w:vAlign w:val="center"/>
          </w:tcPr>
          <w:p w14:paraId="107E8D5A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Não incluído no cálculo</w:t>
            </w:r>
          </w:p>
        </w:tc>
      </w:tr>
      <w:tr w:rsidR="000F1D9A" w:rsidRPr="00E37FEB" w14:paraId="104EBF7E" w14:textId="77777777" w:rsidTr="00E37FEB">
        <w:trPr>
          <w:jc w:val="center"/>
        </w:trPr>
        <w:tc>
          <w:tcPr>
            <w:tcW w:w="598" w:type="pct"/>
            <w:vAlign w:val="center"/>
          </w:tcPr>
          <w:p w14:paraId="6B2C8EA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Emissões</w:t>
            </w:r>
          </w:p>
        </w:tc>
        <w:tc>
          <w:tcPr>
            <w:tcW w:w="1711" w:type="pct"/>
            <w:vAlign w:val="center"/>
          </w:tcPr>
          <w:p w14:paraId="27699C6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Emissões operacionais TTW de CO₂e por remessa</w:t>
            </w:r>
          </w:p>
        </w:tc>
        <w:tc>
          <w:tcPr>
            <w:tcW w:w="2691" w:type="pct"/>
            <w:vAlign w:val="center"/>
          </w:tcPr>
          <w:p w14:paraId="19A2A98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WTW, LCA, fabricação de caminhões, navios e equipamentos portuários e inventário completo de poluentes locais</w:t>
            </w:r>
          </w:p>
        </w:tc>
      </w:tr>
      <w:tr w:rsidR="000F1D9A" w:rsidRPr="00E37FEB" w14:paraId="6E5D4C00" w14:textId="77777777" w:rsidTr="00E37FEB">
        <w:trPr>
          <w:jc w:val="center"/>
        </w:trPr>
        <w:tc>
          <w:tcPr>
            <w:tcW w:w="598" w:type="pct"/>
            <w:vAlign w:val="center"/>
          </w:tcPr>
          <w:p w14:paraId="38150CA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Custo</w:t>
            </w:r>
          </w:p>
        </w:tc>
        <w:tc>
          <w:tcPr>
            <w:tcW w:w="1711" w:type="pct"/>
            <w:vAlign w:val="center"/>
          </w:tcPr>
          <w:p w14:paraId="1A925DB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Estimativa do custo modelado do combustível</w:t>
            </w:r>
          </w:p>
        </w:tc>
        <w:tc>
          <w:tcPr>
            <w:tcW w:w="2691" w:type="pct"/>
            <w:vAlign w:val="center"/>
          </w:tcPr>
          <w:p w14:paraId="7C23396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Frete comercial, negociação, seguro, estoque, multas por permanência e reserva de espaço no navio</w:t>
            </w:r>
          </w:p>
        </w:tc>
      </w:tr>
      <w:tr w:rsidR="000F1D9A" w:rsidRPr="00E37FEB" w14:paraId="7B326FA1" w14:textId="77777777" w:rsidTr="00E37FEB">
        <w:trPr>
          <w:jc w:val="center"/>
        </w:trPr>
        <w:tc>
          <w:tcPr>
            <w:tcW w:w="598" w:type="pct"/>
            <w:vAlign w:val="center"/>
          </w:tcPr>
          <w:p w14:paraId="0C398F5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Serviço</w:t>
            </w:r>
          </w:p>
        </w:tc>
        <w:tc>
          <w:tcPr>
            <w:tcW w:w="1711" w:type="pct"/>
            <w:vAlign w:val="center"/>
          </w:tcPr>
          <w:p w14:paraId="173BDEE2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Sequências de portos realmente registradas no período analisado</w:t>
            </w:r>
          </w:p>
        </w:tc>
        <w:tc>
          <w:tcPr>
            <w:tcW w:w="2691" w:type="pct"/>
            <w:vAlign w:val="center"/>
          </w:tcPr>
          <w:p w14:paraId="6EE2506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Garantia de frequência, espaço no navio ou disponibilidade comercial futura</w:t>
            </w:r>
          </w:p>
        </w:tc>
      </w:tr>
    </w:tbl>
    <w:p w14:paraId="58F15DF6" w14:textId="77777777" w:rsidR="000F1D9A" w:rsidRPr="00E37FEB" w:rsidRDefault="007224B6">
      <w:pPr>
        <w:pStyle w:val="Ttulo1"/>
      </w:pPr>
      <w:bookmarkStart w:id="6" w:name="metodologia"/>
      <w:bookmarkStart w:id="7" w:name="_Toc235532500"/>
      <w:r w:rsidRPr="00E37FEB">
        <w:t>3. Metodologia</w:t>
      </w:r>
      <w:bookmarkEnd w:id="6"/>
      <w:bookmarkEnd w:id="7"/>
    </w:p>
    <w:p w14:paraId="3EAE848D" w14:textId="77777777" w:rsidR="000F1D9A" w:rsidRPr="00E37FEB" w:rsidRDefault="007224B6">
      <w:pPr>
        <w:pStyle w:val="FirstParagraph"/>
      </w:pPr>
      <w:r w:rsidRPr="00E37FEB">
        <w:t>Esta seção descreve como o CabotageLens constrói e compara as alternativas de transporte. A Seção 3.1 define o serviço que as duas alternativas precisam atender. Em seguida, a Seção 3.2 calcula a alternativa rodoviária e a Seção 3.3 monta a alternativa com cabotagem, incluindo os acessos terrestres, as operações portuárias e a navegação. A Seção 3.4 reúne os resultados do exemplo. A Seção 4 apresenta a implementação dessas regras no sistema.</w:t>
      </w:r>
    </w:p>
    <w:p w14:paraId="481FFB6D" w14:textId="77777777" w:rsidR="000F1D9A" w:rsidRPr="00E37FEB" w:rsidRDefault="007224B6">
      <w:pPr>
        <w:pStyle w:val="Ttulo2"/>
      </w:pPr>
      <w:bookmarkStart w:id="8" w:name="serviço-comparado-e-alternativas-logísti"/>
      <w:bookmarkStart w:id="9" w:name="_Toc235532501"/>
      <w:r w:rsidRPr="00E37FEB">
        <w:t>3.1 Serviço comparado e alternativas logísticas</w:t>
      </w:r>
      <w:bookmarkEnd w:id="8"/>
      <w:bookmarkEnd w:id="9"/>
    </w:p>
    <w:p w14:paraId="0DFD5526" w14:textId="77777777" w:rsidR="000F1D9A" w:rsidRPr="00E37FEB" w:rsidRDefault="007224B6">
      <w:pPr>
        <w:pStyle w:val="FirstParagraph"/>
      </w:pPr>
      <w:r w:rsidRPr="00E37FEB">
        <w:t>Para que a comparação seja válida, as duas alternativas devem prestar o mesmo serviço: entregar uma remessa com massa definida entre a mesma origem e o mesmo destino. Esses três elementos formam a unidade funcional da avaliação. Assim, uma alternativa não pode apresentar resultado mais favorável apenas por transportar menos carga ou terminar em outro local.</w:t>
      </w:r>
    </w:p>
    <w:p w14:paraId="4AB85065" w14:textId="77777777" w:rsidR="000F1D9A" w:rsidRPr="00E37FEB" w:rsidRDefault="007224B6">
      <w:pPr>
        <w:pStyle w:val="Corpodetexto"/>
      </w:pPr>
      <w:r w:rsidRPr="00E37FEB">
        <w:lastRenderedPageBreak/>
        <w:t>Nos exemplos desta seção, a remessa tem 14 t e segue de São Paulo (SP) para Rio Branco (AC). Na alternativa rodoviária, ela percorre um único trecho por estrada, da origem ao destino. Na alternativa com cabotagem, a mesma remessa percorre três trechos:</w:t>
      </w:r>
    </w:p>
    <w:p w14:paraId="1BF1185F" w14:textId="77777777" w:rsidR="000F1D9A" w:rsidRPr="00E37FEB" w:rsidRDefault="007224B6">
      <w:pPr>
        <w:pStyle w:val="Compact"/>
        <w:numPr>
          <w:ilvl w:val="0"/>
          <w:numId w:val="3"/>
        </w:numPr>
      </w:pPr>
      <w:r w:rsidRPr="00E37FEB">
        <w:t>origem → porto de embarque;</w:t>
      </w:r>
    </w:p>
    <w:p w14:paraId="0B40BAA6" w14:textId="77777777" w:rsidR="000F1D9A" w:rsidRPr="00E37FEB" w:rsidRDefault="007224B6">
      <w:pPr>
        <w:pStyle w:val="Compact"/>
        <w:numPr>
          <w:ilvl w:val="0"/>
          <w:numId w:val="3"/>
        </w:numPr>
      </w:pPr>
      <w:r w:rsidRPr="00E37FEB">
        <w:t>porto de embarque → porto de desembarque; e</w:t>
      </w:r>
    </w:p>
    <w:p w14:paraId="4D452661" w14:textId="77777777" w:rsidR="000F1D9A" w:rsidRPr="00E37FEB" w:rsidRDefault="007224B6">
      <w:pPr>
        <w:pStyle w:val="Compact"/>
        <w:numPr>
          <w:ilvl w:val="0"/>
          <w:numId w:val="3"/>
        </w:numPr>
      </w:pPr>
      <w:r w:rsidRPr="00E37FEB">
        <w:t>porto de desembarque → destino.</w:t>
      </w:r>
    </w:p>
    <w:p w14:paraId="70DE3A4A" w14:textId="77777777" w:rsidR="000F1D9A" w:rsidRPr="00E37FEB" w:rsidRDefault="007224B6">
      <w:pPr>
        <w:pStyle w:val="FirstParagraph"/>
      </w:pPr>
      <w:r w:rsidRPr="00E37FEB">
        <w:t>As operações de movimentação de carga nos dois terminais também entram no cálculo. Dessa forma, a comparação considera a cadeia completa, e não apenas o trecho marítimo frente à viagem rodoviária inteira (Svindland e Hjelle, 2019; Costa et al., 2025).</w:t>
      </w:r>
    </w:p>
    <w:p w14:paraId="186F2E08" w14:textId="77777777" w:rsidR="000F1D9A" w:rsidRPr="00E37FEB" w:rsidRDefault="007224B6">
      <w:pPr>
        <w:pStyle w:val="Corpodetexto"/>
      </w:pPr>
      <w:r w:rsidRPr="00E37FEB">
        <w:t>Para estimar as operações portuárias, o sistema representa a remessa de 14 t como 1 TEU (</w:t>
      </w:r>
      <w:r w:rsidRPr="00E37FEB">
        <w:rPr>
          <w:i/>
        </w:rPr>
        <w:t>twenty-foot equivalent unit</w:t>
      </w:r>
      <w:r w:rsidRPr="00E37FEB">
        <w:t>, unidade equivalente a um contêiner de 20 pés). Essa conversão determina quantos contêineres precisam ser movimentados nos terminais.</w:t>
      </w:r>
    </w:p>
    <w:p w14:paraId="7C45BA33" w14:textId="77777777" w:rsidR="000F1D9A" w:rsidRPr="00E37FEB" w:rsidRDefault="007224B6" w:rsidP="00E37FEB">
      <w:pPr>
        <w:pStyle w:val="TtulodeTabelaCL"/>
      </w:pPr>
      <w:r w:rsidRPr="00E37FEB">
        <w:t>Quadro 2 — Principais símbolos usados nas fórmulas do sistema.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5614"/>
        <w:gridCol w:w="920"/>
        <w:gridCol w:w="2539"/>
      </w:tblGrid>
      <w:tr w:rsidR="000F1D9A" w:rsidRPr="00E37FEB" w14:paraId="52633D91" w14:textId="77777777" w:rsidTr="00E37FEB">
        <w:trPr>
          <w:tblHeader/>
          <w:jc w:val="center"/>
        </w:trPr>
        <w:tc>
          <w:tcPr>
            <w:tcW w:w="3094" w:type="pct"/>
            <w:shd w:val="clear" w:color="auto" w:fill="E8EEF5"/>
            <w:vAlign w:val="center"/>
          </w:tcPr>
          <w:p w14:paraId="1A0539C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G</w:t>
            </w:r>
            <w:r w:rsidRPr="00E37FEB">
              <w:rPr>
                <w:b/>
                <w:sz w:val="18"/>
              </w:rPr>
              <w:t>randeza</w:t>
            </w:r>
          </w:p>
        </w:tc>
        <w:tc>
          <w:tcPr>
            <w:tcW w:w="507" w:type="pct"/>
            <w:shd w:val="clear" w:color="auto" w:fill="E8EEF5"/>
            <w:vAlign w:val="center"/>
          </w:tcPr>
          <w:p w14:paraId="5587504D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Símbolo</w:t>
            </w:r>
          </w:p>
        </w:tc>
        <w:tc>
          <w:tcPr>
            <w:tcW w:w="1399" w:type="pct"/>
            <w:shd w:val="clear" w:color="auto" w:fill="E8EEF5"/>
            <w:vAlign w:val="center"/>
          </w:tcPr>
          <w:p w14:paraId="43208A3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Unidade usual</w:t>
            </w:r>
          </w:p>
        </w:tc>
      </w:tr>
      <w:tr w:rsidR="000F1D9A" w:rsidRPr="00E37FEB" w14:paraId="6E441197" w14:textId="77777777" w:rsidTr="00E37FEB">
        <w:trPr>
          <w:jc w:val="center"/>
        </w:trPr>
        <w:tc>
          <w:tcPr>
            <w:tcW w:w="3094" w:type="pct"/>
            <w:vAlign w:val="center"/>
          </w:tcPr>
          <w:p w14:paraId="443DB87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Distância</w:t>
            </w:r>
          </w:p>
        </w:tc>
        <w:tc>
          <w:tcPr>
            <w:tcW w:w="507" w:type="pct"/>
            <w:vAlign w:val="center"/>
          </w:tcPr>
          <w:p w14:paraId="0EDBAB4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m:oMathPara>
              <m:oMath>
                <m:r>
                  <w:rPr>
                    <w:sz w:val="18"/>
                  </w:rPr>
                  <m:t>D</m:t>
                </m:r>
              </m:oMath>
            </m:oMathPara>
          </w:p>
        </w:tc>
        <w:tc>
          <w:tcPr>
            <w:tcW w:w="1399" w:type="pct"/>
            <w:vAlign w:val="center"/>
          </w:tcPr>
          <w:p w14:paraId="1C4716D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km ou milhas náuticas (nm)</w:t>
            </w:r>
          </w:p>
        </w:tc>
      </w:tr>
      <w:tr w:rsidR="000F1D9A" w:rsidRPr="00E37FEB" w14:paraId="41623363" w14:textId="77777777" w:rsidTr="00E37FEB">
        <w:trPr>
          <w:jc w:val="center"/>
        </w:trPr>
        <w:tc>
          <w:tcPr>
            <w:tcW w:w="3094" w:type="pct"/>
            <w:vAlign w:val="center"/>
          </w:tcPr>
          <w:p w14:paraId="4463C5B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Volume de diesel</w:t>
            </w:r>
          </w:p>
        </w:tc>
        <w:tc>
          <w:tcPr>
            <w:tcW w:w="507" w:type="pct"/>
            <w:vAlign w:val="center"/>
          </w:tcPr>
          <w:p w14:paraId="42A5D57A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m:oMathPara>
              <m:oMath>
                <m:r>
                  <w:rPr>
                    <w:sz w:val="18"/>
                  </w:rPr>
                  <m:t>V</m:t>
                </m:r>
              </m:oMath>
            </m:oMathPara>
          </w:p>
        </w:tc>
        <w:tc>
          <w:tcPr>
            <w:tcW w:w="1399" w:type="pct"/>
            <w:vAlign w:val="center"/>
          </w:tcPr>
          <w:p w14:paraId="6EFB7FC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L</w:t>
            </w:r>
          </w:p>
        </w:tc>
      </w:tr>
      <w:tr w:rsidR="000F1D9A" w:rsidRPr="00E37FEB" w14:paraId="28B70B74" w14:textId="77777777" w:rsidTr="00E37FEB">
        <w:trPr>
          <w:jc w:val="center"/>
        </w:trPr>
        <w:tc>
          <w:tcPr>
            <w:tcW w:w="3094" w:type="pct"/>
            <w:vAlign w:val="center"/>
          </w:tcPr>
          <w:p w14:paraId="6F5A300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Massa de VLSFO (óleo combustível naval de baixo teor de enxofre)</w:t>
            </w:r>
          </w:p>
        </w:tc>
        <w:tc>
          <w:tcPr>
            <w:tcW w:w="507" w:type="pct"/>
            <w:vAlign w:val="center"/>
          </w:tcPr>
          <w:p w14:paraId="71F29A2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m:oMathPara>
              <m:oMath>
                <m:r>
                  <w:rPr>
                    <w:sz w:val="18"/>
                  </w:rPr>
                  <m:t>M</m:t>
                </m:r>
              </m:oMath>
            </m:oMathPara>
          </w:p>
        </w:tc>
        <w:tc>
          <w:tcPr>
            <w:tcW w:w="1399" w:type="pct"/>
            <w:vAlign w:val="center"/>
          </w:tcPr>
          <w:p w14:paraId="03107076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kg</w:t>
            </w:r>
          </w:p>
        </w:tc>
      </w:tr>
      <w:tr w:rsidR="000F1D9A" w:rsidRPr="00E37FEB" w14:paraId="19CF4708" w14:textId="77777777" w:rsidTr="00E37FEB">
        <w:trPr>
          <w:jc w:val="center"/>
        </w:trPr>
        <w:tc>
          <w:tcPr>
            <w:tcW w:w="3094" w:type="pct"/>
            <w:vAlign w:val="center"/>
          </w:tcPr>
          <w:p w14:paraId="113F178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Massa da carga</w:t>
            </w:r>
          </w:p>
        </w:tc>
        <w:tc>
          <w:tcPr>
            <w:tcW w:w="507" w:type="pct"/>
            <w:vAlign w:val="center"/>
          </w:tcPr>
          <w:p w14:paraId="3C76F50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m:oMathPara>
              <m:oMath>
                <m:r>
                  <w:rPr>
                    <w:sz w:val="18"/>
                  </w:rPr>
                  <m:t>m</m:t>
                </m:r>
              </m:oMath>
            </m:oMathPara>
          </w:p>
        </w:tc>
        <w:tc>
          <w:tcPr>
            <w:tcW w:w="1399" w:type="pct"/>
            <w:vAlign w:val="center"/>
          </w:tcPr>
          <w:p w14:paraId="3AA2FCF6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t</w:t>
            </w:r>
          </w:p>
        </w:tc>
      </w:tr>
      <w:tr w:rsidR="000F1D9A" w:rsidRPr="00E37FEB" w14:paraId="61BF67C9" w14:textId="77777777" w:rsidTr="00E37FEB">
        <w:trPr>
          <w:jc w:val="center"/>
        </w:trPr>
        <w:tc>
          <w:tcPr>
            <w:tcW w:w="3094" w:type="pct"/>
            <w:vAlign w:val="center"/>
          </w:tcPr>
          <w:p w14:paraId="3FE4B35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Preço do combustível</w:t>
            </w:r>
          </w:p>
        </w:tc>
        <w:tc>
          <w:tcPr>
            <w:tcW w:w="507" w:type="pct"/>
            <w:vAlign w:val="center"/>
          </w:tcPr>
          <w:p w14:paraId="43C08AE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m:oMathPara>
              <m:oMath>
                <m:r>
                  <w:rPr>
                    <w:sz w:val="18"/>
                  </w:rPr>
                  <m:t>P</m:t>
                </m:r>
              </m:oMath>
            </m:oMathPara>
          </w:p>
        </w:tc>
        <w:tc>
          <w:tcPr>
            <w:tcW w:w="1399" w:type="pct"/>
            <w:vAlign w:val="center"/>
          </w:tcPr>
          <w:p w14:paraId="4C9DEDFA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>
              <w:t>R$/L ou R$/kg</w:t>
            </w:r>
          </w:p>
        </w:tc>
      </w:tr>
      <w:tr w:rsidR="000F1D9A" w:rsidRPr="00E37FEB" w14:paraId="2D078872" w14:textId="77777777" w:rsidTr="00E37FEB">
        <w:trPr>
          <w:jc w:val="center"/>
        </w:trPr>
        <w:tc>
          <w:tcPr>
            <w:tcW w:w="3094" w:type="pct"/>
            <w:vAlign w:val="center"/>
          </w:tcPr>
          <w:p w14:paraId="06FD6D4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Custo modelado do combustível</w:t>
            </w:r>
          </w:p>
        </w:tc>
        <w:tc>
          <w:tcPr>
            <w:tcW w:w="507" w:type="pct"/>
            <w:vAlign w:val="center"/>
          </w:tcPr>
          <w:p w14:paraId="4356F04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m:oMathPara>
              <m:oMath>
                <m:r>
                  <w:rPr>
                    <w:sz w:val="18"/>
                  </w:rPr>
                  <m:t>C</m:t>
                </m:r>
              </m:oMath>
            </m:oMathPara>
          </w:p>
        </w:tc>
        <w:tc>
          <w:tcPr>
            <w:tcW w:w="1399" w:type="pct"/>
            <w:vAlign w:val="center"/>
          </w:tcPr>
          <w:p w14:paraId="794D7ED4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R$</w:t>
            </w:r>
          </w:p>
        </w:tc>
      </w:tr>
      <w:tr w:rsidR="000F1D9A" w:rsidRPr="00E37FEB" w14:paraId="40D9FF2B" w14:textId="77777777" w:rsidTr="00E37FEB">
        <w:trPr>
          <w:jc w:val="center"/>
        </w:trPr>
        <w:tc>
          <w:tcPr>
            <w:tcW w:w="3094" w:type="pct"/>
            <w:vAlign w:val="center"/>
          </w:tcPr>
          <w:p w14:paraId="150A59F4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Emissão operacional</w:t>
            </w:r>
          </w:p>
        </w:tc>
        <w:tc>
          <w:tcPr>
            <w:tcW w:w="507" w:type="pct"/>
            <w:vAlign w:val="center"/>
          </w:tcPr>
          <w:p w14:paraId="4929A5A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m:oMathPara>
              <m:oMath>
                <m:r>
                  <w:rPr>
                    <w:sz w:val="18"/>
                  </w:rPr>
                  <m:t>E</m:t>
                </m:r>
              </m:oMath>
            </m:oMathPara>
          </w:p>
        </w:tc>
        <w:tc>
          <w:tcPr>
            <w:tcW w:w="1399" w:type="pct"/>
            <w:vAlign w:val="center"/>
          </w:tcPr>
          <w:p w14:paraId="5DC3EFF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kg CO₂e</w:t>
            </w:r>
          </w:p>
        </w:tc>
      </w:tr>
      <w:tr w:rsidR="000F1D9A" w:rsidRPr="00E37FEB" w14:paraId="5C6AB60B" w14:textId="77777777" w:rsidTr="00E37FEB">
        <w:trPr>
          <w:jc w:val="center"/>
        </w:trPr>
        <w:tc>
          <w:tcPr>
            <w:tcW w:w="3094" w:type="pct"/>
            <w:vAlign w:val="center"/>
          </w:tcPr>
          <w:p w14:paraId="061EFB0D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Fator de emissão</w:t>
            </w:r>
          </w:p>
        </w:tc>
        <w:tc>
          <w:tcPr>
            <w:tcW w:w="507" w:type="pct"/>
            <w:vAlign w:val="center"/>
          </w:tcPr>
          <w:p w14:paraId="6D91E0C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m:oMathPara>
              <m:oMath>
                <m:r>
                  <w:rPr>
                    <w:sz w:val="18"/>
                  </w:rPr>
                  <m:t>FE</m:t>
                </m:r>
              </m:oMath>
            </m:oMathPara>
          </w:p>
        </w:tc>
        <w:tc>
          <w:tcPr>
            <w:tcW w:w="1399" w:type="pct"/>
            <w:vAlign w:val="center"/>
          </w:tcPr>
          <w:p w14:paraId="106A632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kg CO₂e/L</w:t>
            </w:r>
          </w:p>
        </w:tc>
      </w:tr>
      <w:tr w:rsidR="000F1D9A" w:rsidRPr="00E37FEB" w14:paraId="4FFA7989" w14:textId="77777777" w:rsidTr="00E37FEB">
        <w:trPr>
          <w:jc w:val="center"/>
        </w:trPr>
        <w:tc>
          <w:tcPr>
            <w:tcW w:w="3094" w:type="pct"/>
            <w:vAlign w:val="center"/>
          </w:tcPr>
          <w:p w14:paraId="04D6ACE6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Eficiência do veículo</w:t>
            </w:r>
          </w:p>
        </w:tc>
        <w:tc>
          <w:tcPr>
            <w:tcW w:w="507" w:type="pct"/>
            <w:vAlign w:val="center"/>
          </w:tcPr>
          <w:p w14:paraId="3AB3B26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m:oMathPara>
              <m:oMath>
                <m:r>
                  <w:rPr>
                    <w:sz w:val="18"/>
                  </w:rPr>
                  <m:t>η</m:t>
                </m:r>
              </m:oMath>
            </m:oMathPara>
          </w:p>
        </w:tc>
        <w:tc>
          <w:tcPr>
            <w:tcW w:w="1399" w:type="pct"/>
            <w:vAlign w:val="center"/>
          </w:tcPr>
          <w:p w14:paraId="1AD09BE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km/L</w:t>
            </w:r>
          </w:p>
        </w:tc>
      </w:tr>
      <w:tr w:rsidR="000F1D9A" w:rsidRPr="00E37FEB" w14:paraId="1A8EEF82" w14:textId="77777777" w:rsidTr="00E37FEB">
        <w:trPr>
          <w:jc w:val="center"/>
        </w:trPr>
        <w:tc>
          <w:tcPr>
            <w:tcW w:w="3094" w:type="pct"/>
            <w:vAlign w:val="center"/>
          </w:tcPr>
          <w:p w14:paraId="57155D93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Intensidade marítima</w:t>
            </w:r>
          </w:p>
        </w:tc>
        <w:tc>
          <w:tcPr>
            <w:tcW w:w="507" w:type="pct"/>
            <w:vAlign w:val="center"/>
          </w:tcPr>
          <w:p w14:paraId="69B3C45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m:oMathPara>
              <m:oMath>
                <m:r>
                  <w:rPr>
                    <w:sz w:val="18"/>
                  </w:rPr>
                  <m:t>I</m:t>
                </m:r>
              </m:oMath>
            </m:oMathPara>
          </w:p>
        </w:tc>
        <w:tc>
          <w:tcPr>
            <w:tcW w:w="1399" w:type="pct"/>
            <w:vAlign w:val="center"/>
          </w:tcPr>
          <w:p w14:paraId="307F313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g/(t·nm)</w:t>
            </w:r>
          </w:p>
        </w:tc>
      </w:tr>
      <w:tr w:rsidR="000F1D9A" w:rsidRPr="00E37FEB" w14:paraId="231F1E00" w14:textId="77777777" w:rsidTr="00E37FEB">
        <w:trPr>
          <w:jc w:val="center"/>
        </w:trPr>
        <w:tc>
          <w:tcPr>
            <w:tcW w:w="3094" w:type="pct"/>
            <w:vAlign w:val="center"/>
          </w:tcPr>
          <w:p w14:paraId="7887055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Trabalho de transporte</w:t>
            </w:r>
          </w:p>
        </w:tc>
        <w:tc>
          <w:tcPr>
            <w:tcW w:w="507" w:type="pct"/>
            <w:vAlign w:val="center"/>
          </w:tcPr>
          <w:p w14:paraId="6EE601B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m:oMathPara>
              <m:oMath>
                <m:r>
                  <w:rPr>
                    <w:sz w:val="18"/>
                  </w:rPr>
                  <m:t>W</m:t>
                </m:r>
              </m:oMath>
            </m:oMathPara>
          </w:p>
        </w:tc>
        <w:tc>
          <w:tcPr>
            <w:tcW w:w="1399" w:type="pct"/>
            <w:vAlign w:val="center"/>
          </w:tcPr>
          <w:p w14:paraId="08DD0BE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t·nm</w:t>
            </w:r>
          </w:p>
        </w:tc>
      </w:tr>
      <w:tr w:rsidR="000F1D9A" w:rsidRPr="00E37FEB" w14:paraId="4193F08D" w14:textId="77777777" w:rsidTr="00E37FEB">
        <w:trPr>
          <w:jc w:val="center"/>
        </w:trPr>
        <w:tc>
          <w:tcPr>
            <w:tcW w:w="3094" w:type="pct"/>
            <w:vAlign w:val="center"/>
          </w:tcPr>
          <w:p w14:paraId="7BCEA17D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Quantidade contável</w:t>
            </w:r>
          </w:p>
        </w:tc>
        <w:tc>
          <w:tcPr>
            <w:tcW w:w="507" w:type="pct"/>
            <w:vAlign w:val="center"/>
          </w:tcPr>
          <w:p w14:paraId="4116412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m:oMathPara>
              <m:oMath>
                <m:r>
                  <w:rPr>
                    <w:sz w:val="18"/>
                  </w:rPr>
                  <m:t>N</m:t>
                </m:r>
              </m:oMath>
            </m:oMathPara>
          </w:p>
        </w:tc>
        <w:tc>
          <w:tcPr>
            <w:tcW w:w="1399" w:type="pct"/>
            <w:vAlign w:val="center"/>
          </w:tcPr>
          <w:p w14:paraId="0DCE620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viagens, TEUs ou recortes</w:t>
            </w:r>
          </w:p>
        </w:tc>
      </w:tr>
      <w:tr w:rsidR="000F1D9A" w:rsidRPr="00E37FEB" w14:paraId="3232F418" w14:textId="77777777" w:rsidTr="00E37FEB">
        <w:trPr>
          <w:jc w:val="center"/>
        </w:trPr>
        <w:tc>
          <w:tcPr>
            <w:tcW w:w="3094" w:type="pct"/>
            <w:vAlign w:val="center"/>
          </w:tcPr>
          <w:p w14:paraId="63801FA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Movimentos por TEU</w:t>
            </w:r>
          </w:p>
        </w:tc>
        <w:tc>
          <w:tcPr>
            <w:tcW w:w="507" w:type="pct"/>
            <w:vAlign w:val="center"/>
          </w:tcPr>
          <w:p w14:paraId="454BEA24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m:oMathPara>
              <m:oMath>
                <m:r>
                  <w:rPr>
                    <w:sz w:val="18"/>
                  </w:rPr>
                  <m:t>a</m:t>
                </m:r>
              </m:oMath>
            </m:oMathPara>
          </w:p>
        </w:tc>
        <w:tc>
          <w:tcPr>
            <w:tcW w:w="1399" w:type="pct"/>
            <w:vAlign w:val="center"/>
          </w:tcPr>
          <w:p w14:paraId="0C624D0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movimentos/TEU</w:t>
            </w:r>
          </w:p>
        </w:tc>
      </w:tr>
      <w:tr w:rsidR="000F1D9A" w:rsidRPr="00E37FEB" w14:paraId="176EF97C" w14:textId="77777777" w:rsidTr="00E37FEB">
        <w:trPr>
          <w:jc w:val="center"/>
        </w:trPr>
        <w:tc>
          <w:tcPr>
            <w:tcW w:w="3094" w:type="pct"/>
            <w:vAlign w:val="center"/>
          </w:tcPr>
          <w:p w14:paraId="67CB06A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Consumo por movimento</w:t>
            </w:r>
          </w:p>
        </w:tc>
        <w:tc>
          <w:tcPr>
            <w:tcW w:w="507" w:type="pct"/>
            <w:vAlign w:val="center"/>
          </w:tcPr>
          <w:p w14:paraId="72CBD90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m:oMathPara>
              <m:oMath>
                <m:r>
                  <w:rPr>
                    <w:sz w:val="18"/>
                  </w:rPr>
                  <m:t>c</m:t>
                </m:r>
              </m:oMath>
            </m:oMathPara>
          </w:p>
        </w:tc>
        <w:tc>
          <w:tcPr>
            <w:tcW w:w="1399" w:type="pct"/>
            <w:vAlign w:val="center"/>
          </w:tcPr>
          <w:p w14:paraId="1152255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L/movimento</w:t>
            </w:r>
          </w:p>
        </w:tc>
      </w:tr>
    </w:tbl>
    <w:p w14:paraId="1765C817" w14:textId="77777777" w:rsidR="000F1D9A" w:rsidRPr="00E37FEB" w:rsidRDefault="007224B6">
      <w:pPr>
        <w:pStyle w:val="Corpodetexto"/>
      </w:pPr>
      <w:r w:rsidRPr="00E37FEB">
        <w:rPr>
          <w:i/>
        </w:rPr>
        <w:t>Os subscritos identificam a etapa, o combustível ou o conjunto de dados. Os índices e conjuntos específicos são definidos junto às fórmulas em que aparecem.</w:t>
      </w:r>
    </w:p>
    <w:p w14:paraId="36B9DD1E" w14:textId="77777777" w:rsidR="000F1D9A" w:rsidRPr="00E37FEB" w:rsidRDefault="007224B6">
      <w:pPr>
        <w:pStyle w:val="Ttulo2"/>
      </w:pPr>
      <w:bookmarkStart w:id="10" w:name="alternativa-rodoviária"/>
      <w:bookmarkStart w:id="11" w:name="_Toc235532502"/>
      <w:r w:rsidRPr="00E37FEB">
        <w:t>3.2 Alternativa rodoviária</w:t>
      </w:r>
      <w:bookmarkEnd w:id="10"/>
      <w:bookmarkEnd w:id="11"/>
    </w:p>
    <w:p w14:paraId="13649BAC" w14:textId="77777777" w:rsidR="000F1D9A" w:rsidRPr="00E37FEB" w:rsidRDefault="007224B6">
      <w:pPr>
        <w:pStyle w:val="FirstParagraph"/>
      </w:pPr>
      <w:r w:rsidRPr="00E37FEB">
        <w:t xml:space="preserve">O cálculo rodoviário começa pela distância terrestre total entre a origem e o destino. O sistema obtém uma rota rodoviária em quilômetros e utiliza essa distância para representar o percurso do </w:t>
      </w:r>
      <w:r w:rsidRPr="00E37FEB">
        <w:lastRenderedPageBreak/>
        <w:t>caminhão. A forma como essa rota é consultada e transformada em distância está descrita na Seção 4.3.1.</w:t>
      </w:r>
    </w:p>
    <w:p w14:paraId="15B4CBCF" w14:textId="77777777" w:rsidR="000F1D9A" w:rsidRPr="00E37FEB" w:rsidRDefault="007224B6">
      <w:pPr>
        <w:pStyle w:val="Ttulo3"/>
      </w:pPr>
      <w:bookmarkStart w:id="12" w:name="escolha-do-veículo-e-consumo-de-diesel"/>
      <w:bookmarkStart w:id="13" w:name="_Toc235532503"/>
      <w:r w:rsidRPr="00E37FEB">
        <w:t>3.2.1 Escolha do veículo e consumo de diesel</w:t>
      </w:r>
      <w:bookmarkEnd w:id="12"/>
      <w:bookmarkEnd w:id="13"/>
    </w:p>
    <w:p w14:paraId="53FB9220" w14:textId="77777777" w:rsidR="000F1D9A" w:rsidRPr="00E37FEB" w:rsidRDefault="007224B6">
      <w:pPr>
        <w:pStyle w:val="FirstParagraph"/>
      </w:pPr>
      <w:r w:rsidRPr="00E37FEB">
        <w:t xml:space="preserve">A massa transportada define o veículo representativo. O modelo utiliza os rendimentos médios por número de eixos publicados pela </w:t>
      </w:r>
      <w:r w:rsidRPr="00E37FEB">
        <w:rPr>
          <w:b/>
        </w:rPr>
        <w:t>Agência Nacional de Transportes Terrestres (ANTT)</w:t>
      </w:r>
      <w:r w:rsidRPr="00E37FEB">
        <w:t xml:space="preserve">. Esses dados oficiais foram obtidos na tabela da Política Nacional de Pisos Mínimos do Transporte Rodoviário de Cargas, disponibilizada no </w:t>
      </w:r>
      <w:hyperlink r:id="rId10">
        <w:r w:rsidRPr="00E37FEB">
          <w:rPr>
            <w:rStyle w:val="Hyperlink"/>
          </w:rPr>
          <w:t>portal de legislação da ANTT (ANTTlegis)</w:t>
        </w:r>
      </w:hyperlink>
      <w:r w:rsidRPr="00E37FEB">
        <w:t>. A tabela de referência adotada no modelo associa a faixa de carga ao número de eixos e relaciona cada configuração à eficiência básica em quilômetros por litro (km/L). A seleção automática é uma regra de modelagem para estimar consumo; não é uma verificação de limite legal de peso nem substitui o planejamento operacional de uma transportadora.</w:t>
      </w:r>
    </w:p>
    <w:p w14:paraId="7521ABDD" w14:textId="77777777" w:rsidR="000F1D9A" w:rsidRPr="00E37FEB" w:rsidRDefault="007224B6" w:rsidP="00E37FEB">
      <w:pPr>
        <w:pStyle w:val="TtulodeTabelaCL"/>
      </w:pPr>
      <w:r w:rsidRPr="00E37FEB">
        <w:t>Tabela 2 — Regra automática para o veículo rodoviário representativo e eficiência básica adotada.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2921"/>
        <w:gridCol w:w="3014"/>
        <w:gridCol w:w="902"/>
        <w:gridCol w:w="2236"/>
      </w:tblGrid>
      <w:tr w:rsidR="000F1D9A" w:rsidRPr="00E37FEB" w14:paraId="77B4DF11" w14:textId="77777777" w:rsidTr="00E37FEB">
        <w:trPr>
          <w:tblHeader/>
          <w:jc w:val="center"/>
        </w:trPr>
        <w:tc>
          <w:tcPr>
            <w:tcW w:w="1609" w:type="pct"/>
            <w:shd w:val="clear" w:color="auto" w:fill="E8EEF5"/>
            <w:vAlign w:val="center"/>
          </w:tcPr>
          <w:p w14:paraId="27CB401D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M</w:t>
            </w:r>
            <w:r w:rsidRPr="00E37FEB">
              <w:rPr>
                <w:b/>
                <w:sz w:val="18"/>
              </w:rPr>
              <w:t>assa da remessa</w:t>
            </w:r>
          </w:p>
        </w:tc>
        <w:tc>
          <w:tcPr>
            <w:tcW w:w="1661" w:type="pct"/>
            <w:shd w:val="clear" w:color="auto" w:fill="E8EEF5"/>
            <w:vAlign w:val="center"/>
          </w:tcPr>
          <w:p w14:paraId="3B6751B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Veículo representativo</w:t>
            </w:r>
          </w:p>
        </w:tc>
        <w:tc>
          <w:tcPr>
            <w:tcW w:w="497" w:type="pct"/>
            <w:shd w:val="clear" w:color="auto" w:fill="E8EEF5"/>
            <w:vAlign w:val="center"/>
          </w:tcPr>
          <w:p w14:paraId="05B656F0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Eixos</w:t>
            </w:r>
          </w:p>
        </w:tc>
        <w:tc>
          <w:tcPr>
            <w:tcW w:w="1232" w:type="pct"/>
            <w:shd w:val="clear" w:color="auto" w:fill="E8EEF5"/>
            <w:vAlign w:val="center"/>
          </w:tcPr>
          <w:p w14:paraId="3F31E1EC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Eficiência básica</w:t>
            </w:r>
          </w:p>
        </w:tc>
      </w:tr>
      <w:tr w:rsidR="000F1D9A" w:rsidRPr="00E37FEB" w14:paraId="69560D0A" w14:textId="77777777" w:rsidTr="00E37FEB">
        <w:trPr>
          <w:jc w:val="center"/>
        </w:trPr>
        <w:tc>
          <w:tcPr>
            <w:tcW w:w="1609" w:type="pct"/>
            <w:vAlign w:val="center"/>
          </w:tcPr>
          <w:p w14:paraId="70DE823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Até 18 t</w:t>
            </w:r>
          </w:p>
        </w:tc>
        <w:tc>
          <w:tcPr>
            <w:tcW w:w="1661" w:type="pct"/>
            <w:vAlign w:val="center"/>
          </w:tcPr>
          <w:p w14:paraId="233564C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Carreta</w:t>
            </w:r>
          </w:p>
        </w:tc>
        <w:tc>
          <w:tcPr>
            <w:tcW w:w="497" w:type="pct"/>
            <w:vAlign w:val="center"/>
          </w:tcPr>
          <w:p w14:paraId="5266D039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5</w:t>
            </w:r>
          </w:p>
        </w:tc>
        <w:tc>
          <w:tcPr>
            <w:tcW w:w="1232" w:type="pct"/>
            <w:vAlign w:val="center"/>
          </w:tcPr>
          <w:p w14:paraId="4D4EF692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2,3 km/L</w:t>
            </w:r>
          </w:p>
        </w:tc>
      </w:tr>
      <w:tr w:rsidR="000F1D9A" w:rsidRPr="00E37FEB" w14:paraId="7726FC79" w14:textId="77777777" w:rsidTr="00E37FEB">
        <w:trPr>
          <w:jc w:val="center"/>
        </w:trPr>
        <w:tc>
          <w:tcPr>
            <w:tcW w:w="1609" w:type="pct"/>
            <w:vAlign w:val="center"/>
          </w:tcPr>
          <w:p w14:paraId="253F15D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Acima de 18 t até 30 t</w:t>
            </w:r>
          </w:p>
        </w:tc>
        <w:tc>
          <w:tcPr>
            <w:tcW w:w="1661" w:type="pct"/>
            <w:vAlign w:val="center"/>
          </w:tcPr>
          <w:p w14:paraId="0035D7D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Carreta</w:t>
            </w:r>
          </w:p>
        </w:tc>
        <w:tc>
          <w:tcPr>
            <w:tcW w:w="497" w:type="pct"/>
            <w:vAlign w:val="center"/>
          </w:tcPr>
          <w:p w14:paraId="2CA4FFF6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6</w:t>
            </w:r>
          </w:p>
        </w:tc>
        <w:tc>
          <w:tcPr>
            <w:tcW w:w="1232" w:type="pct"/>
            <w:vAlign w:val="center"/>
          </w:tcPr>
          <w:p w14:paraId="50FC3917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2,0 km/L</w:t>
            </w:r>
          </w:p>
        </w:tc>
      </w:tr>
      <w:tr w:rsidR="000F1D9A" w:rsidRPr="00E37FEB" w14:paraId="0576A165" w14:textId="77777777" w:rsidTr="00E37FEB">
        <w:trPr>
          <w:jc w:val="center"/>
        </w:trPr>
        <w:tc>
          <w:tcPr>
            <w:tcW w:w="1609" w:type="pct"/>
            <w:vAlign w:val="center"/>
          </w:tcPr>
          <w:p w14:paraId="2DB094F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Acima de 30 t até 40 t</w:t>
            </w:r>
          </w:p>
        </w:tc>
        <w:tc>
          <w:tcPr>
            <w:tcW w:w="1661" w:type="pct"/>
            <w:vAlign w:val="center"/>
          </w:tcPr>
          <w:p w14:paraId="6A50581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Bitrem</w:t>
            </w:r>
          </w:p>
        </w:tc>
        <w:tc>
          <w:tcPr>
            <w:tcW w:w="497" w:type="pct"/>
            <w:vAlign w:val="center"/>
          </w:tcPr>
          <w:p w14:paraId="275074AD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7</w:t>
            </w:r>
          </w:p>
        </w:tc>
        <w:tc>
          <w:tcPr>
            <w:tcW w:w="1232" w:type="pct"/>
            <w:vAlign w:val="center"/>
          </w:tcPr>
          <w:p w14:paraId="5498D029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2,0 km/L</w:t>
            </w:r>
          </w:p>
        </w:tc>
      </w:tr>
      <w:tr w:rsidR="000F1D9A" w:rsidRPr="00E37FEB" w14:paraId="282F3CC2" w14:textId="77777777" w:rsidTr="00E37FEB">
        <w:trPr>
          <w:jc w:val="center"/>
        </w:trPr>
        <w:tc>
          <w:tcPr>
            <w:tcW w:w="1609" w:type="pct"/>
            <w:vAlign w:val="center"/>
          </w:tcPr>
          <w:p w14:paraId="331A53C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Acima de 40 t</w:t>
            </w:r>
          </w:p>
        </w:tc>
        <w:tc>
          <w:tcPr>
            <w:tcW w:w="1661" w:type="pct"/>
            <w:vAlign w:val="center"/>
          </w:tcPr>
          <w:p w14:paraId="140C6943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Rodotrem</w:t>
            </w:r>
          </w:p>
        </w:tc>
        <w:tc>
          <w:tcPr>
            <w:tcW w:w="497" w:type="pct"/>
            <w:vAlign w:val="center"/>
          </w:tcPr>
          <w:p w14:paraId="3B2EE7C3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9</w:t>
            </w:r>
          </w:p>
        </w:tc>
        <w:tc>
          <w:tcPr>
            <w:tcW w:w="1232" w:type="pct"/>
            <w:vAlign w:val="center"/>
          </w:tcPr>
          <w:p w14:paraId="117DF511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2,0 km/L</w:t>
            </w:r>
          </w:p>
        </w:tc>
      </w:tr>
    </w:tbl>
    <w:p w14:paraId="373A9F11" w14:textId="77777777" w:rsidR="000F1D9A" w:rsidRPr="00E37FEB" w:rsidRDefault="007224B6" w:rsidP="00E37FEB">
      <w:pPr>
        <w:pStyle w:val="FontedeTabelaCL"/>
      </w:pPr>
      <w:r w:rsidRPr="00E37FEB">
        <w:t>Fonte: elaboração do sistema a partir dos rendimentos médios por número de eixos publicados pela Agência Nacional de Transportes Terrestres (ANTT), no portal ANTTlegis.</w:t>
      </w:r>
    </w:p>
    <w:p w14:paraId="5EF518AE" w14:textId="77777777" w:rsidR="000F1D9A" w:rsidRPr="00E37FEB" w:rsidRDefault="007224B6">
      <w:pPr>
        <w:pStyle w:val="Corpodetexto"/>
      </w:pPr>
      <w:r w:rsidRPr="00E37FEB">
        <w:t>C</w:t>
      </w:r>
      <w:r w:rsidRPr="00E37FEB">
        <w:t xml:space="preserve">om a distância rodoviária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rod</m:t>
            </m:r>
          </m:sub>
        </m:sSub>
      </m:oMath>
      <w:r w:rsidRPr="00E37FEB">
        <w:t xml:space="preserve">, em quilômetros, a eficiência aplicada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rod</m:t>
            </m:r>
          </m:sub>
        </m:sSub>
      </m:oMath>
      <w:r w:rsidRPr="00E37FEB">
        <w:t xml:space="preserve">, em km/L,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viagens</m:t>
            </m:r>
          </m:sub>
        </m:sSub>
      </m:oMath>
      <w:r w:rsidRPr="00E37FEB">
        <w:t xml:space="preserve"> </w:t>
      </w:r>
      <w:r w:rsidRPr="00E37FEB">
        <w:t xml:space="preserve">viagens carregadas necessárias para transportar a remessa, o volume de diesel do trecho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diesel,rod</m:t>
            </m:r>
          </m:sub>
        </m:sSub>
      </m:oMath>
      <w:r w:rsidRPr="00E37FEB">
        <w:t xml:space="preserve"> é calculado por:</w:t>
      </w:r>
    </w:p>
    <w:p w14:paraId="7BC0AC51" w14:textId="77777777" w:rsidR="000F1D9A" w:rsidRPr="00E37FEB" w:rsidRDefault="007224B6">
      <w:pPr>
        <w:pStyle w:val="Corpodetex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diesel,rod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viagens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rod</m:t>
                  </m:r>
                </m:sub>
              </m:sSub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99F88DA" w14:textId="77777777" w:rsidR="000F1D9A" w:rsidRPr="00E37FEB" w:rsidRDefault="007224B6">
      <w:pPr>
        <w:pStyle w:val="FirstParagraph"/>
      </w:pPr>
      <w:r w:rsidRPr="00E37FEB">
        <w:t xml:space="preserve">Como exemplo, usemos os 3.491,431 km de distância rodoviária entre São Paulo e Rio Branco. Para transportar uma remessa de 14 t nessa ligação, o modelo seleciona uma carreta de cinco eixos, com eficiência de 2,3 km/L. Como a remessa cabe em uma única viagem,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viagens</m:t>
            </m:r>
          </m:sub>
        </m:sSub>
        <m:r>
          <w:rPr>
            <w:rFonts w:ascii="Cambria Math" w:hAnsi="Cambria Math"/>
          </w:rPr>
          <m:t>=1</m:t>
        </m:r>
      </m:oMath>
      <w:r w:rsidRPr="00E37FEB">
        <w:t xml:space="preserve"> e o consumo estimado é:</w:t>
      </w:r>
    </w:p>
    <w:p w14:paraId="6851DC8C" w14:textId="77777777" w:rsidR="000F1D9A" w:rsidRPr="00E37FEB" w:rsidRDefault="007224B6">
      <w:pPr>
        <w:pStyle w:val="Corpodetexto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diesel,rod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=1×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3.491,431 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2,3 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km/L</m:t>
                    </m:r>
                  </m:den>
                </m:f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=1.518,014 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  <m: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 w14:paraId="2786E065" w14:textId="77777777" w:rsidR="000F1D9A" w:rsidRPr="00E37FEB" w:rsidRDefault="007224B6">
      <w:pPr>
        <w:pStyle w:val="FirstParagraph"/>
      </w:pPr>
      <w:r w:rsidRPr="00E37FEB">
        <w:t>Quando a carga exige mais de uma viagem do veículo escolhido, o sistema multiplica esse consumo pelo número necessário de viagens carregadas. Os litros calculados são convertidos em custo na Seção 3.2.2 e em emissões operacionais na Seção 3.2.3.</w:t>
      </w:r>
    </w:p>
    <w:p w14:paraId="7C5B4DFE" w14:textId="77777777" w:rsidR="000F1D9A" w:rsidRPr="00E37FEB" w:rsidRDefault="007224B6">
      <w:pPr>
        <w:pStyle w:val="Ttulo3"/>
      </w:pPr>
      <w:bookmarkStart w:id="14" w:name="custo-estimado-do-combustível"/>
      <w:bookmarkStart w:id="15" w:name="_Toc235532504"/>
      <w:r w:rsidRPr="00E37FEB">
        <w:lastRenderedPageBreak/>
        <w:t>3.2.2 Custo estimado do combustível</w:t>
      </w:r>
      <w:bookmarkEnd w:id="14"/>
      <w:bookmarkEnd w:id="15"/>
    </w:p>
    <w:p w14:paraId="55CBF82B" w14:textId="77777777" w:rsidR="000F1D9A" w:rsidRPr="00E37FEB" w:rsidRDefault="007224B6">
      <w:pPr>
        <w:pStyle w:val="FirstParagraph"/>
      </w:pPr>
      <w:r w:rsidRPr="00E37FEB">
        <w:t xml:space="preserve">Após estimar o consumo em litros, o sistema calcula o custo do diesel da rota rodoviária. O preço do Diesel S10 vem do levantamento semanal da </w:t>
      </w:r>
      <w:hyperlink r:id="rId11">
        <w:r w:rsidRPr="00E37FEB">
          <w:rPr>
            <w:rStyle w:val="Hyperlink"/>
          </w:rPr>
          <w:t>Agência Nacional do Petróleo, Gás Natural e Biocombustíveis (ANP)</w:t>
        </w:r>
      </w:hyperlink>
      <w:r w:rsidRPr="00E37FEB">
        <w:t>, agência federal que publica preços médios de combustíveis por Unidade da Federação (UF). O sistema sempre busca os dados mais recentes para a comparação.</w:t>
      </w:r>
    </w:p>
    <w:p w14:paraId="0CFC5CDF" w14:textId="77777777" w:rsidR="000F1D9A" w:rsidRPr="00E37FEB" w:rsidRDefault="007224B6">
      <w:pPr>
        <w:pStyle w:val="Corpodetexto"/>
      </w:pPr>
      <w:r w:rsidRPr="00E37FEB">
        <w:t>Nas rotas interestaduais, o preço adotado é a média aritmética entre o valor registrado na UF de origem e o valor registrado na UF de destino. Em uma rota inteiramente dentro de uma mesma UF, os dois valores são iguais e, portanto, o cálculo mantém o preço desse estado. O preço usado na rota é dado por:</w:t>
      </w:r>
    </w:p>
    <w:p w14:paraId="488382EB" w14:textId="77777777" w:rsidR="000F1D9A" w:rsidRPr="00E37FEB" w:rsidRDefault="007224B6">
      <w:pPr>
        <w:pStyle w:val="Corpodetex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diesel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diesel,origem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diesel,destino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8425C24" w14:textId="77777777" w:rsidR="000F1D9A" w:rsidRPr="00E37FEB" w:rsidRDefault="007224B6">
      <w:pPr>
        <w:pStyle w:val="FirstParagraph"/>
      </w:pPr>
      <w:r w:rsidRPr="00E37FEB">
        <w:t>O custo estimado é o consumo calculado na Seção 3.2.1 multiplicado pelo preço do litro:</w:t>
      </w:r>
    </w:p>
    <w:p w14:paraId="24D5CB10" w14:textId="77777777" w:rsidR="000F1D9A" w:rsidRPr="00E37FEB" w:rsidRDefault="007224B6">
      <w:pPr>
        <w:pStyle w:val="Corpodetex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rod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diesel,rod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diesel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38DBF390" w14:textId="77777777" w:rsidR="000F1D9A" w:rsidRPr="00E37FEB" w:rsidRDefault="007224B6">
      <w:pPr>
        <w:pStyle w:val="FirstParagraph"/>
      </w:pPr>
      <w:r w:rsidRPr="00E37FEB">
        <w:t xml:space="preserve">Nessas expressões,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rod</m:t>
            </m:r>
          </m:sub>
        </m:sSub>
      </m:oMath>
      <w:r w:rsidRPr="00E37FEB">
        <w:t xml:space="preserve"> </w:t>
      </w:r>
      <w:r w:rsidRPr="00E37FEB">
        <w:t xml:space="preserve">é o custo modelado do combustível da rota, em reais;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diesel,rod</m:t>
            </m:r>
          </m:sub>
        </m:sSub>
      </m:oMath>
      <w:r w:rsidRPr="00E37FEB">
        <w:t xml:space="preserve"> é o volume de diesel, em litros;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diesel</m:t>
            </m:r>
          </m:sub>
        </m:sSub>
      </m:oMath>
      <w:r w:rsidRPr="00E37FEB">
        <w:t xml:space="preserve"> é o preço adotado, em reais por litro.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diesel,origem</m:t>
            </m:r>
          </m:sub>
        </m:sSub>
      </m:oMath>
      <w:r w:rsidRPr="00E37FEB">
        <w:t xml:space="preserve">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diesel,destino</m:t>
            </m:r>
          </m:sub>
        </m:sSub>
      </m:oMath>
      <w:r w:rsidRPr="00E37FEB">
        <w:t xml:space="preserve"> </w:t>
      </w:r>
      <w:r w:rsidRPr="00E37FEB">
        <w:t>são, respectivamente, os preços do Diesel S10 nas Unidades da Federação de origem e destino. Na execução São Paulo–Rio Branco, os valores correspondem aos preços médios de revenda do Diesel S10 divulgados pela ANP para a semana de 12 a 18 de julho de 2026. Nesse levantamento, São Paulo registrou R$ 6,960/L e o Acre, R$ 9,270/L. Assim, o preço aplicado à rota foi:</w:t>
      </w:r>
    </w:p>
    <w:p w14:paraId="691BB17A" w14:textId="77777777" w:rsidR="000F1D9A" w:rsidRPr="00E37FEB" w:rsidRDefault="007224B6">
      <w:pPr>
        <w:pStyle w:val="Corpodetex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diesel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6,960+9,270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=8,115 </m:t>
          </m:r>
          <m:r>
            <m:rPr>
              <m:sty m:val="p"/>
            </m:rPr>
            <w:rPr>
              <w:rFonts w:ascii="Cambria Math" w:hAnsi="Cambria Math"/>
            </w:rPr>
            <m:t>R$/L</m:t>
          </m:r>
          <m:r>
            <w:rPr>
              <w:rFonts w:ascii="Cambria Math" w:hAnsi="Cambria Math"/>
            </w:rPr>
            <m:t>.</m:t>
          </m:r>
        </m:oMath>
      </m:oMathPara>
    </w:p>
    <w:p w14:paraId="6674912D" w14:textId="77777777" w:rsidR="000F1D9A" w:rsidRPr="00E37FEB" w:rsidRDefault="007224B6">
      <w:pPr>
        <w:pStyle w:val="FirstParagraph"/>
      </w:pPr>
      <w:r w:rsidRPr="00E37FEB">
        <w:t>Com o consumo de 1.518,014 L calculado para a remessa de 14 t, o custo estimado da rota rodoviária é:</w:t>
      </w:r>
    </w:p>
    <w:p w14:paraId="20F24EDB" w14:textId="77777777" w:rsidR="000F1D9A" w:rsidRPr="00E37FEB" w:rsidRDefault="007224B6">
      <w:pPr>
        <w:pStyle w:val="Corpodetexto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rod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esel,rod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diesel</m:t>
                    </m:r>
                  </m:sub>
                </m:sSub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=1.518,014 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  <m:r>
                  <w:rPr>
                    <w:rFonts w:ascii="Cambria Math" w:hAnsi="Cambria Math"/>
                  </w:rPr>
                  <m:t>×8,115 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R$/L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=12.318,68 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R$</m:t>
                </m:r>
                <m: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 w14:paraId="0AC7E36E" w14:textId="77777777" w:rsidR="000F1D9A" w:rsidRPr="00E37FEB" w:rsidRDefault="007224B6">
      <w:pPr>
        <w:pStyle w:val="Ttulo3"/>
      </w:pPr>
      <w:bookmarkStart w:id="16" w:name="emissões-operacionais-da-perna-rodoviári"/>
      <w:bookmarkStart w:id="17" w:name="_Toc235532505"/>
      <w:r w:rsidRPr="00E37FEB">
        <w:t>3.2.3 Emissões operacionais da perna rodoviária</w:t>
      </w:r>
      <w:bookmarkEnd w:id="16"/>
      <w:bookmarkEnd w:id="17"/>
    </w:p>
    <w:p w14:paraId="316CAB75" w14:textId="77777777" w:rsidR="000F1D9A" w:rsidRPr="00E37FEB" w:rsidRDefault="007224B6">
      <w:pPr>
        <w:pStyle w:val="FirstParagraph"/>
      </w:pPr>
      <w:r w:rsidRPr="00E37FEB">
        <w:t xml:space="preserve">As emissões da alternativa rodoviária são calculadas a partir do diesel consumido na Seção 3.2.1. A fronteira adotada é </w:t>
      </w:r>
      <w:r w:rsidRPr="00E37FEB">
        <w:rPr>
          <w:i/>
        </w:rPr>
        <w:t>tank-to-wheel</w:t>
      </w:r>
      <w:r w:rsidRPr="00E37FEB">
        <w:t xml:space="preserve"> </w:t>
      </w:r>
      <w:r w:rsidRPr="00E37FEB">
        <w:t>(TTW, do tanque à roda): ela considera somente as emissões geradas pela queima do combustível durante o transporte. O sistema aplica o fator 2,68 kg CO₂e por litro de diesel, baseado nas Diretrizes de 2006 do Painel Intergovernamental sobre Mudanças Climáticas (IPCC, 2006). O estudo de Costa et al. (2025) é a referência brasileira usada para manter essa estimativa na fronteira TTW, sem incluir a produção, o refino ou a distribuição do combustível.</w:t>
      </w:r>
    </w:p>
    <w:p w14:paraId="30FA7FB2" w14:textId="77777777" w:rsidR="000F1D9A" w:rsidRPr="00E37FEB" w:rsidRDefault="007224B6">
      <w:pPr>
        <w:pStyle w:val="Corpodetexto"/>
      </w:pPr>
      <w:r w:rsidRPr="00E37FEB">
        <w:t>A emissão rodoviária é o consumo de diesel multiplicado pelo fator de emissão:</w:t>
      </w:r>
    </w:p>
    <w:p w14:paraId="1501A17D" w14:textId="77777777" w:rsidR="000F1D9A" w:rsidRPr="00E37FEB" w:rsidRDefault="007224B6">
      <w:pPr>
        <w:pStyle w:val="Corpodetex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rod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diesel,rod</m:t>
              </m:r>
            </m:sub>
          </m:sSub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diesel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7A9CF95F" w14:textId="77777777" w:rsidR="000F1D9A" w:rsidRPr="00E37FEB" w:rsidRDefault="007224B6">
      <w:pPr>
        <w:pStyle w:val="FirstParagraph"/>
      </w:pPr>
      <w:r w:rsidRPr="00E37FEB">
        <w:t xml:space="preserve">Nessa expressão,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rod</m:t>
            </m:r>
          </m:sub>
        </m:sSub>
      </m:oMath>
      <w:r w:rsidRPr="00E37FEB">
        <w:t xml:space="preserve"> é a emissão operacional da rota, em kg CO₂e;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diesel,rod</m:t>
            </m:r>
          </m:sub>
        </m:sSub>
      </m:oMath>
      <w:r w:rsidRPr="00E37FEB">
        <w:t xml:space="preserve"> é o volume de diesel, em litros; e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diesel</m:t>
            </m:r>
          </m:sub>
        </m:sSub>
      </m:oMath>
      <w:r w:rsidRPr="00E37FEB">
        <w:t xml:space="preserve"> é o fator de emissão, em kg CO₂e/L. No exemplo São Paulo–Rio Branco, os 1.518,014 L estimados na Seção 3.2.1 resultam em:</w:t>
      </w:r>
    </w:p>
    <w:p w14:paraId="73179DDB" w14:textId="77777777" w:rsidR="000F1D9A" w:rsidRPr="00E37FEB" w:rsidRDefault="007224B6">
      <w:pPr>
        <w:pStyle w:val="Corpodetexto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rod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diesel,rod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F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diesel</m:t>
                    </m:r>
                  </m:sub>
                </m:sSub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=1.518,014 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  <m:r>
                  <w:rPr>
                    <w:rFonts w:ascii="Cambria Math" w:hAnsi="Cambria Math"/>
                  </w:rPr>
                  <m:t>×2,68 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kg CO₂e/L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=4.068,28 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kg CO₂e</m:t>
                </m:r>
                <m: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 w14:paraId="6C0FCD92" w14:textId="77777777" w:rsidR="000F1D9A" w:rsidRPr="00E37FEB" w:rsidRDefault="007224B6">
      <w:pPr>
        <w:pStyle w:val="Ttulo3"/>
      </w:pPr>
      <w:bookmarkStart w:id="18" w:name="resultado-consolidado-da-alternativa-rod"/>
      <w:bookmarkStart w:id="19" w:name="_Toc235532506"/>
      <w:r w:rsidRPr="00E37FEB">
        <w:t>3.2.4 Resultado consolidado da alternativa rodoviária</w:t>
      </w:r>
      <w:bookmarkEnd w:id="18"/>
      <w:bookmarkEnd w:id="19"/>
    </w:p>
    <w:p w14:paraId="354E5359" w14:textId="77777777" w:rsidR="000F1D9A" w:rsidRPr="00E37FEB" w:rsidRDefault="007224B6">
      <w:pPr>
        <w:pStyle w:val="FirstParagraph"/>
      </w:pPr>
      <w:r w:rsidRPr="00E37FEB">
        <w:t>A Tabela 3 reúne os resultados da alternativa rodoviária para a mesma remessa usada no exemplo São Paulo-Rio Branco.</w:t>
      </w:r>
    </w:p>
    <w:p w14:paraId="18E05A2C" w14:textId="77777777" w:rsidR="000F1D9A" w:rsidRPr="00E37FEB" w:rsidRDefault="007224B6" w:rsidP="00E37FEB">
      <w:pPr>
        <w:pStyle w:val="TtulodeTabelaCL"/>
      </w:pPr>
      <w:r w:rsidRPr="00E37FEB">
        <w:t>Tabela 3 — Resultados da alternativa rodoviária no exemplo São Paulo–Rio Branco, para uma remessa de 14 t.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4662"/>
        <w:gridCol w:w="4411"/>
      </w:tblGrid>
      <w:tr w:rsidR="000F1D9A" w:rsidRPr="00E37FEB" w14:paraId="03D9D7A6" w14:textId="77777777" w:rsidTr="00E37FEB">
        <w:trPr>
          <w:tblHeader/>
          <w:jc w:val="center"/>
        </w:trPr>
        <w:tc>
          <w:tcPr>
            <w:tcW w:w="2569" w:type="pct"/>
            <w:shd w:val="clear" w:color="auto" w:fill="E8EEF5"/>
            <w:vAlign w:val="center"/>
          </w:tcPr>
          <w:p w14:paraId="71EFFF7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I</w:t>
            </w:r>
            <w:r w:rsidRPr="00E37FEB">
              <w:rPr>
                <w:b/>
                <w:sz w:val="18"/>
              </w:rPr>
              <w:t>tem</w:t>
            </w:r>
          </w:p>
        </w:tc>
        <w:tc>
          <w:tcPr>
            <w:tcW w:w="2431" w:type="pct"/>
            <w:shd w:val="clear" w:color="auto" w:fill="E8EEF5"/>
            <w:vAlign w:val="center"/>
          </w:tcPr>
          <w:p w14:paraId="1F29060D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Valor no exemplo</w:t>
            </w:r>
          </w:p>
        </w:tc>
      </w:tr>
      <w:tr w:rsidR="000F1D9A" w:rsidRPr="00E37FEB" w14:paraId="78F5A1EC" w14:textId="77777777" w:rsidTr="00E37FEB">
        <w:trPr>
          <w:jc w:val="center"/>
        </w:trPr>
        <w:tc>
          <w:tcPr>
            <w:tcW w:w="2569" w:type="pct"/>
            <w:vAlign w:val="center"/>
          </w:tcPr>
          <w:p w14:paraId="5732B44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b/>
                <w:sz w:val="18"/>
              </w:rPr>
              <w:t>Percurso</w:t>
            </w:r>
          </w:p>
        </w:tc>
        <w:tc>
          <w:tcPr>
            <w:tcW w:w="2431" w:type="pct"/>
            <w:vAlign w:val="center"/>
          </w:tcPr>
          <w:p w14:paraId="4F39D6E3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São Paulo (SP)–Rio Branco (AC)</w:t>
            </w:r>
          </w:p>
        </w:tc>
      </w:tr>
      <w:tr w:rsidR="000F1D9A" w:rsidRPr="00E37FEB" w14:paraId="08BE9835" w14:textId="77777777" w:rsidTr="00E37FEB">
        <w:trPr>
          <w:jc w:val="center"/>
        </w:trPr>
        <w:tc>
          <w:tcPr>
            <w:tcW w:w="2569" w:type="pct"/>
            <w:vAlign w:val="center"/>
          </w:tcPr>
          <w:p w14:paraId="0251C45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b/>
                <w:sz w:val="18"/>
              </w:rPr>
              <w:t>Distância rodoviária</w:t>
            </w:r>
          </w:p>
        </w:tc>
        <w:tc>
          <w:tcPr>
            <w:tcW w:w="2431" w:type="pct"/>
            <w:vAlign w:val="center"/>
          </w:tcPr>
          <w:p w14:paraId="15E4E1F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3.491,431 km</w:t>
            </w:r>
          </w:p>
        </w:tc>
      </w:tr>
      <w:tr w:rsidR="000F1D9A" w:rsidRPr="00E37FEB" w14:paraId="3B7ACB40" w14:textId="77777777" w:rsidTr="00E37FEB">
        <w:trPr>
          <w:jc w:val="center"/>
        </w:trPr>
        <w:tc>
          <w:tcPr>
            <w:tcW w:w="2569" w:type="pct"/>
            <w:vAlign w:val="center"/>
          </w:tcPr>
          <w:p w14:paraId="12E1E5F3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b/>
                <w:sz w:val="18"/>
              </w:rPr>
              <w:t>Veículo representativo</w:t>
            </w:r>
          </w:p>
        </w:tc>
        <w:tc>
          <w:tcPr>
            <w:tcW w:w="2431" w:type="pct"/>
            <w:vAlign w:val="center"/>
          </w:tcPr>
          <w:p w14:paraId="7F3F53B2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Carreta de cinco eixos</w:t>
            </w:r>
          </w:p>
        </w:tc>
      </w:tr>
      <w:tr w:rsidR="000F1D9A" w:rsidRPr="00E37FEB" w14:paraId="01CAC7C6" w14:textId="77777777" w:rsidTr="00E37FEB">
        <w:trPr>
          <w:jc w:val="center"/>
        </w:trPr>
        <w:tc>
          <w:tcPr>
            <w:tcW w:w="2569" w:type="pct"/>
            <w:vAlign w:val="center"/>
          </w:tcPr>
          <w:p w14:paraId="70D42C3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b/>
                <w:sz w:val="18"/>
              </w:rPr>
              <w:t>Eficiência adotada</w:t>
            </w:r>
          </w:p>
        </w:tc>
        <w:tc>
          <w:tcPr>
            <w:tcW w:w="2431" w:type="pct"/>
            <w:vAlign w:val="center"/>
          </w:tcPr>
          <w:p w14:paraId="16B03AC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2,3 km/L</w:t>
            </w:r>
          </w:p>
        </w:tc>
      </w:tr>
      <w:tr w:rsidR="000F1D9A" w:rsidRPr="00E37FEB" w14:paraId="7D927E91" w14:textId="77777777" w:rsidTr="00E37FEB">
        <w:trPr>
          <w:jc w:val="center"/>
        </w:trPr>
        <w:tc>
          <w:tcPr>
            <w:tcW w:w="2569" w:type="pct"/>
            <w:vAlign w:val="center"/>
          </w:tcPr>
          <w:p w14:paraId="5B5E993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b/>
                <w:sz w:val="18"/>
              </w:rPr>
              <w:t>Número de viagens carregadas</w:t>
            </w:r>
          </w:p>
        </w:tc>
        <w:tc>
          <w:tcPr>
            <w:tcW w:w="2431" w:type="pct"/>
            <w:vAlign w:val="center"/>
          </w:tcPr>
          <w:p w14:paraId="5729E712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1</w:t>
            </w:r>
          </w:p>
        </w:tc>
      </w:tr>
      <w:tr w:rsidR="000F1D9A" w:rsidRPr="00E37FEB" w14:paraId="64E42BC6" w14:textId="77777777" w:rsidTr="00E37FEB">
        <w:trPr>
          <w:jc w:val="center"/>
        </w:trPr>
        <w:tc>
          <w:tcPr>
            <w:tcW w:w="2569" w:type="pct"/>
            <w:vAlign w:val="center"/>
          </w:tcPr>
          <w:p w14:paraId="780E897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b/>
                <w:sz w:val="18"/>
              </w:rPr>
              <w:t>Diesel consumido</w:t>
            </w:r>
          </w:p>
        </w:tc>
        <w:tc>
          <w:tcPr>
            <w:tcW w:w="2431" w:type="pct"/>
            <w:vAlign w:val="center"/>
          </w:tcPr>
          <w:p w14:paraId="60BD9AB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1.518,014 L</w:t>
            </w:r>
          </w:p>
        </w:tc>
      </w:tr>
      <w:tr w:rsidR="000F1D9A" w:rsidRPr="00E37FEB" w14:paraId="79DA8E7C" w14:textId="77777777" w:rsidTr="00E37FEB">
        <w:trPr>
          <w:jc w:val="center"/>
        </w:trPr>
        <w:tc>
          <w:tcPr>
            <w:tcW w:w="2569" w:type="pct"/>
            <w:vAlign w:val="center"/>
          </w:tcPr>
          <w:p w14:paraId="207042F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b/>
                <w:sz w:val="18"/>
              </w:rPr>
              <w:t>Preço do Diesel S10</w:t>
            </w:r>
          </w:p>
        </w:tc>
        <w:tc>
          <w:tcPr>
            <w:tcW w:w="2431" w:type="pct"/>
            <w:vAlign w:val="center"/>
          </w:tcPr>
          <w:p w14:paraId="0DC5D72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R$ 8,115/L</w:t>
            </w:r>
          </w:p>
        </w:tc>
      </w:tr>
      <w:tr w:rsidR="000F1D9A" w:rsidRPr="00E37FEB" w14:paraId="3C12DE8D" w14:textId="77777777" w:rsidTr="00E37FEB">
        <w:trPr>
          <w:jc w:val="center"/>
        </w:trPr>
        <w:tc>
          <w:tcPr>
            <w:tcW w:w="2569" w:type="pct"/>
            <w:vAlign w:val="center"/>
          </w:tcPr>
          <w:p w14:paraId="50991D2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b/>
                <w:sz w:val="18"/>
              </w:rPr>
              <w:t>Custo modelado do combustível</w:t>
            </w:r>
          </w:p>
        </w:tc>
        <w:tc>
          <w:tcPr>
            <w:tcW w:w="2431" w:type="pct"/>
            <w:vAlign w:val="center"/>
          </w:tcPr>
          <w:p w14:paraId="1D00A05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R$ 12.318,68</w:t>
            </w:r>
          </w:p>
        </w:tc>
      </w:tr>
      <w:tr w:rsidR="000F1D9A" w:rsidRPr="00E37FEB" w14:paraId="77F3B436" w14:textId="77777777" w:rsidTr="00E37FEB">
        <w:trPr>
          <w:jc w:val="center"/>
        </w:trPr>
        <w:tc>
          <w:tcPr>
            <w:tcW w:w="2569" w:type="pct"/>
            <w:vAlign w:val="center"/>
          </w:tcPr>
          <w:p w14:paraId="3AF0979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b/>
                <w:sz w:val="18"/>
              </w:rPr>
              <w:t>Emissões operacionais TTW</w:t>
            </w:r>
          </w:p>
        </w:tc>
        <w:tc>
          <w:tcPr>
            <w:tcW w:w="2431" w:type="pct"/>
            <w:vAlign w:val="center"/>
          </w:tcPr>
          <w:p w14:paraId="3AF584C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4.068,28 kg CO₂e</w:t>
            </w:r>
          </w:p>
        </w:tc>
      </w:tr>
    </w:tbl>
    <w:p w14:paraId="5B55675D" w14:textId="77777777" w:rsidR="000F1D9A" w:rsidRPr="00E37FEB" w:rsidRDefault="007224B6">
      <w:pPr>
        <w:pStyle w:val="Ttulo2"/>
      </w:pPr>
      <w:bookmarkStart w:id="20" w:name="alternativa-multimodal"/>
      <w:bookmarkStart w:id="21" w:name="_Toc235532507"/>
      <w:r w:rsidRPr="00E37FEB">
        <w:t>3.3 Alternativa multimodal</w:t>
      </w:r>
      <w:bookmarkEnd w:id="20"/>
      <w:bookmarkEnd w:id="21"/>
    </w:p>
    <w:p w14:paraId="766B3C6A" w14:textId="77777777" w:rsidR="000F1D9A" w:rsidRPr="00E37FEB" w:rsidRDefault="007224B6">
      <w:pPr>
        <w:pStyle w:val="FirstParagraph"/>
      </w:pPr>
      <w:r w:rsidRPr="00E37FEB">
        <w:t>A alternativa multimodal também precisa transportar a remessa do ponto inicial ao ponto final. Ela é formada por três partes: o acesso rodoviário até o porto de embarque, a navegação entre os portos e o acesso rodoviário após o desembarque. Portanto, o combustível é consumido não só pelo navio, em cada subtrecho marítimo, mas também nos deslocamentos da origem até o porto de embarque e do porto de desembarque até o destino final. Além disso, o sistema calcula separadamente o consumo da movimentação de carga</w:t>
      </w:r>
      <w:r w:rsidRPr="00E37FEB">
        <w:t xml:space="preserve"> nos terminais portuários.</w:t>
      </w:r>
    </w:p>
    <w:p w14:paraId="0AF9A25A" w14:textId="77777777" w:rsidR="000F1D9A" w:rsidRPr="00E37FEB" w:rsidRDefault="007224B6">
      <w:pPr>
        <w:pStyle w:val="Corpodetexto"/>
      </w:pPr>
      <w:r w:rsidRPr="00E37FEB">
        <w:t>Os próximos subitens mostram como esses componentes são formados: a escolha dos portos define os extremos da ligação; os acessos terrestres usam o cálculo rodoviário; as viagens registradas permitem reconstruir a navegação e a carga a bordo; a intensidade define o consumo do navio; e a agregação reúne combustível, emissões, custo e operações portuárias.</w:t>
      </w:r>
    </w:p>
    <w:p w14:paraId="25D60348" w14:textId="77777777" w:rsidR="000F1D9A" w:rsidRPr="00E37FEB" w:rsidRDefault="007224B6">
      <w:pPr>
        <w:pStyle w:val="Ttulo3"/>
      </w:pPr>
      <w:bookmarkStart w:id="22" w:name="escolha-dos-portos"/>
      <w:bookmarkStart w:id="23" w:name="_Toc235532508"/>
      <w:r w:rsidRPr="00E37FEB">
        <w:lastRenderedPageBreak/>
        <w:t>3.3.1 Escolha dos portos</w:t>
      </w:r>
      <w:bookmarkEnd w:id="22"/>
      <w:bookmarkEnd w:id="23"/>
    </w:p>
    <w:p w14:paraId="1E48978E" w14:textId="77777777" w:rsidR="000F1D9A" w:rsidRPr="00E37FEB" w:rsidRDefault="007224B6">
      <w:pPr>
        <w:pStyle w:val="FirstParagraph"/>
      </w:pPr>
      <w:r w:rsidRPr="00E37FEB">
        <w:t>O sistema associa a origem ao porto mais próximo disponível na base portuária e faz o mesmo para o destino. Esses dois portos definem a ligação marítima que será pesquisada. A forma como essa proximidade é calculada e usada para selecionar os portos é apresentada na Seção 4.4.3.1. Essa regra fornece uma forma objetiva de montar o cenário, mas não afirma se o porto é necessariamente a melhor escolha comercial ou operacional. Um porto mais distante pode ser preferível na prática por motivos como frequência de</w:t>
      </w:r>
      <w:r w:rsidRPr="00E37FEB">
        <w:t xml:space="preserve"> navios, contrato, terminal, custo ou disponibilidade de espaço, fatores que não são decididos por essa seleção geográfica.</w:t>
      </w:r>
    </w:p>
    <w:p w14:paraId="61EAF77A" w14:textId="77777777" w:rsidR="000F1D9A" w:rsidRPr="00E37FEB" w:rsidRDefault="007224B6">
      <w:pPr>
        <w:pStyle w:val="Ttulo3"/>
      </w:pPr>
      <w:bookmarkStart w:id="24" w:name="_Toc235532509"/>
      <w:r w:rsidRPr="00E37FEB">
        <w:t xml:space="preserve">3.3.2 Acessos rodoviários: </w:t>
      </w:r>
      <w:r w:rsidRPr="00E37FEB">
        <w:rPr>
          <w:i/>
        </w:rPr>
        <w:t>first mile</w:t>
      </w:r>
      <w:r w:rsidRPr="00E37FEB">
        <w:t xml:space="preserve"> e </w:t>
      </w:r>
      <w:r w:rsidRPr="00E37FEB">
        <w:rPr>
          <w:i/>
        </w:rPr>
        <w:t>last mile</w:t>
      </w:r>
      <w:bookmarkEnd w:id="24"/>
    </w:p>
    <w:p w14:paraId="0E24FBCF" w14:textId="77777777" w:rsidR="000F1D9A" w:rsidRPr="00E37FEB" w:rsidRDefault="007224B6">
      <w:pPr>
        <w:pStyle w:val="FirstParagraph"/>
      </w:pPr>
      <w:r w:rsidRPr="00E37FEB">
        <w:t xml:space="preserve">O primeiro acesso, chamado de </w:t>
      </w:r>
      <w:r w:rsidRPr="00E37FEB">
        <w:rPr>
          <w:i/>
        </w:rPr>
        <w:t>first mile</w:t>
      </w:r>
      <w:r w:rsidRPr="00E37FEB">
        <w:t xml:space="preserve">, leva a carga da origem até o porto de embarque. O segundo, chamado de </w:t>
      </w:r>
      <w:r w:rsidRPr="00E37FEB">
        <w:rPr>
          <w:i/>
        </w:rPr>
        <w:t>last mile</w:t>
      </w:r>
      <w:r w:rsidRPr="00E37FEB">
        <w:t>, leva a carga do porto de desembarque até o destino final. Para cada um deles, o sistema obtém uma distância rodoviária, aplica a regra de veículo, eficiência e consumo de diesel da Seção 3.2.1 e converte o consumo em emissões conforme a Seção 3.2.3.</w:t>
      </w:r>
    </w:p>
    <w:p w14:paraId="3BDCEAAC" w14:textId="77777777" w:rsidR="000F1D9A" w:rsidRPr="00E37FEB" w:rsidRDefault="007224B6">
      <w:pPr>
        <w:pStyle w:val="Ttulo3"/>
      </w:pPr>
      <w:bookmarkStart w:id="25" w:name="operações-portuárias"/>
      <w:bookmarkStart w:id="26" w:name="_Toc235532510"/>
      <w:r w:rsidRPr="00E37FEB">
        <w:t>3.3.3 Operações portuárias</w:t>
      </w:r>
      <w:bookmarkEnd w:id="25"/>
      <w:bookmarkEnd w:id="26"/>
    </w:p>
    <w:p w14:paraId="2523A459" w14:textId="77777777" w:rsidR="000F1D9A" w:rsidRPr="00E37FEB" w:rsidRDefault="007224B6">
      <w:pPr>
        <w:pStyle w:val="FirstParagraph"/>
      </w:pPr>
      <w:r w:rsidRPr="00E37FEB">
        <w:t xml:space="preserve">As operações portuárias são as movimentações realizadas dentro do terminal quando a remessa passa entre o transporte rodoviário e o navio. No porto de embarque, o contêiner chega pelo </w:t>
      </w:r>
      <w:r w:rsidRPr="00E37FEB">
        <w:rPr>
          <w:i/>
        </w:rPr>
        <w:t>first mile</w:t>
      </w:r>
      <w:r w:rsidRPr="00E37FEB">
        <w:t xml:space="preserve"> e precisa ser movimentado até o navio; no porto de desembarque, ocorre o caminho inverso antes do </w:t>
      </w:r>
      <w:r w:rsidRPr="00E37FEB">
        <w:rPr>
          <w:i/>
        </w:rPr>
        <w:t>last mile</w:t>
      </w:r>
      <w:r w:rsidRPr="00E37FEB">
        <w:t>. Essas atividades não pertencem nem ao acesso rodoviário nem à navegação. Por isso, o combustível consumido no terminal é calculado como um componente próprio da alternativa multimodal.</w:t>
      </w:r>
    </w:p>
    <w:p w14:paraId="6364B855" w14:textId="77777777" w:rsidR="000F1D9A" w:rsidRPr="00E37FEB" w:rsidRDefault="007224B6">
      <w:pPr>
        <w:pStyle w:val="Corpodetexto"/>
      </w:pPr>
      <w:r w:rsidRPr="00E37FEB">
        <w:t>O modelo representa esse consumo pelos equipamentos para os quais há fatores de atividade no cenário adotado: o guindaste sobre pneus do pátio (</w:t>
      </w:r>
      <w:r w:rsidRPr="00E37FEB">
        <w:rPr>
          <w:i/>
        </w:rPr>
        <w:t>rubber-tyred gantry</w:t>
      </w:r>
      <w:r w:rsidRPr="00E37FEB">
        <w:t>, RTG) e o caminhão que circula internamente no terminal. Estudos sobre carga e descarga em portos e sobre o uso energético de RTGs fundamentam a representação da operação por equipamento a seguir (Nguyen, Woo e Kim, 2022; Papaioannou et al., 2017).</w:t>
      </w:r>
    </w:p>
    <w:p w14:paraId="2A007217" w14:textId="77777777" w:rsidR="000F1D9A" w:rsidRPr="00E37FEB" w:rsidRDefault="007224B6">
      <w:pPr>
        <w:pStyle w:val="Corpodetexto"/>
      </w:pPr>
      <w:r w:rsidRPr="00E37FEB">
        <w:t>O cálculo segue uma sequência simples: a carga informada é convertida em contêineres equivalentes a 20 pés (TEU); cada TEU gera uma quantidade definida de movimentos por equipamento; e cada movimento é convertido em litros de diesel. Os movimentos por contêiner e os consumos por movimento vêm do cenário de referência parametrizado com dados de Santos (Dados Relatório 2, 2024).</w:t>
      </w:r>
    </w:p>
    <w:p w14:paraId="6E25B4B2" w14:textId="77777777" w:rsidR="000F1D9A" w:rsidRPr="00E37FEB" w:rsidRDefault="007224B6">
      <w:pPr>
        <w:pStyle w:val="Corpodetexto"/>
      </w:pPr>
      <w:r w:rsidRPr="00E37FEB">
        <w:t>O cenário sempre considera duas operações portuárias: uma no porto de embarque e outra no porto de desembarque. Como a mesma remessa passa pelos dois terminais, a fórmula já usa a multiplicação por 2:</w:t>
      </w:r>
    </w:p>
    <w:p w14:paraId="3791F06C" w14:textId="77777777" w:rsidR="000F1D9A" w:rsidRPr="00E37FEB" w:rsidRDefault="007224B6">
      <w:pPr>
        <w:pStyle w:val="Corpodetex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diesel,porto</m:t>
              </m:r>
            </m:sub>
          </m:sSub>
          <m:r>
            <w:rPr>
              <w:rFonts w:ascii="Cambria Math" w:hAnsi="Cambria Math"/>
            </w:rPr>
            <m:t>=2×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TEU</m:t>
              </m:r>
            </m:sub>
          </m:sSub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RTG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RTG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caminhao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caminhao</m:t>
                  </m:r>
                </m:sub>
              </m:sSub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4C13E77" w14:textId="77777777" w:rsidR="000F1D9A" w:rsidRPr="00E37FEB" w:rsidRDefault="007224B6">
      <w:pPr>
        <w:pStyle w:val="FirstParagraph"/>
      </w:pPr>
      <w:r w:rsidRPr="00E37FEB">
        <w:lastRenderedPageBreak/>
        <w:t xml:space="preserve">Nessa expressão,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diesel,porto</m:t>
            </m:r>
          </m:sub>
        </m:sSub>
      </m:oMath>
      <w:r w:rsidRPr="00E37FEB">
        <w:t xml:space="preserve"> é o volume total de diesel das duas operações portuárias, em litros;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TEU</m:t>
            </m:r>
          </m:sub>
        </m:sSub>
      </m:oMath>
      <w:r w:rsidRPr="00E37FEB">
        <w:t xml:space="preserve"> é a quantidade de TEUs da remessa; </w:t>
      </w:r>
      <m:oMath>
        <m:r>
          <w:rPr>
            <w:rFonts w:ascii="Cambria Math" w:hAnsi="Cambria Math"/>
          </w:rPr>
          <m:t>a</m:t>
        </m:r>
      </m:oMath>
      <w:r w:rsidRPr="00E37FEB">
        <w:t xml:space="preserve"> é o número de movimentos por TEU; e </w:t>
      </w:r>
      <m:oMath>
        <m:r>
          <w:rPr>
            <w:rFonts w:ascii="Cambria Math" w:hAnsi="Cambria Math"/>
          </w:rPr>
          <m:t>c</m:t>
        </m:r>
      </m:oMath>
      <w:r w:rsidRPr="00E37FEB">
        <w:t xml:space="preserve"> é o consumo de diesel, em litros por movimento. O primeiro termo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TG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RTG</m:t>
            </m:r>
          </m:sub>
        </m:sSub>
      </m:oMath>
      <w:r w:rsidRPr="00E37FEB">
        <w:t>) calcula o diesel do RTG e o segundo calcula o diesel do caminhão interno. A multiplicação por 2 leva esse consumo para os dois terminais. O resultado é usado posteriormente no cálculo das emissões operacionais e do custo modelado do combustível.</w:t>
      </w:r>
    </w:p>
    <w:p w14:paraId="34865644" w14:textId="77777777" w:rsidR="000F1D9A" w:rsidRPr="00E37FEB" w:rsidRDefault="007224B6">
      <w:pPr>
        <w:pStyle w:val="Corpodetexto"/>
      </w:pPr>
      <w:r w:rsidRPr="00E37FEB">
        <w:t>No exemplo, a remessa de 14 t equivale a 1 TEU. O RTG realiza quatro movimentos por contêiner, com consumo de 0,355148 L por movimento, e o caminhão interno realiza dois movimentos, com consumo de 0,494671 L por movimento. Aplicando diretamente a fórmula:</w:t>
      </w:r>
    </w:p>
    <w:p w14:paraId="20A82C12" w14:textId="77777777" w:rsidR="000F1D9A" w:rsidRPr="00E37FEB" w:rsidRDefault="007224B6">
      <w:pPr>
        <w:pStyle w:val="Corpodetexto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diesel,porto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=2×1×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(4×0,355148)+(2×0,494671)</m:t>
                    </m:r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=2×(1,421+0,989)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=4,820 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  <m: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 w14:paraId="6EAF7F4F" w14:textId="77777777" w:rsidR="000F1D9A" w:rsidRPr="00E37FEB" w:rsidRDefault="007224B6">
      <w:pPr>
        <w:pStyle w:val="FirstParagraph"/>
      </w:pPr>
      <w:r w:rsidRPr="00E37FEB">
        <w:t>Assim, no exemplo São Paulo–Rio Branco, as operações portuárias em Santos e Manaus totalizam 4,820 L de diesel.</w:t>
      </w:r>
    </w:p>
    <w:p w14:paraId="5DB3F28F" w14:textId="77777777" w:rsidR="000F1D9A" w:rsidRPr="00E37FEB" w:rsidRDefault="007224B6">
      <w:pPr>
        <w:pStyle w:val="Ttulo3"/>
      </w:pPr>
      <w:bookmarkStart w:id="27" w:name="consumo-de-combustível-na-perna-marítima"/>
      <w:bookmarkStart w:id="28" w:name="_Toc235532511"/>
      <w:r w:rsidRPr="00E37FEB">
        <w:t>3.3.4 Consumo de combustível na perna marítima</w:t>
      </w:r>
      <w:bookmarkEnd w:id="27"/>
      <w:bookmarkEnd w:id="28"/>
    </w:p>
    <w:p w14:paraId="5B6D3156" w14:textId="77777777" w:rsidR="000F1D9A" w:rsidRPr="00E37FEB" w:rsidRDefault="007224B6">
      <w:pPr>
        <w:pStyle w:val="FirstParagraph"/>
      </w:pPr>
      <w:r w:rsidRPr="00E37FEB">
        <w:t>A perna marítima corresponde ao deslocamento da remessa por cabotagem entre o porto de embarque e o porto de desembarque. Nesta etapa, o modelo estima o consumo de VLSFO (</w:t>
      </w:r>
      <w:r w:rsidRPr="00E37FEB">
        <w:rPr>
          <w:i/>
        </w:rPr>
        <w:t>very low sulphur fuel oil</w:t>
      </w:r>
      <w:r w:rsidRPr="00E37FEB">
        <w:t>, óleo combustível de baixíssimo teor de enxofre) associado a esse deslocamento.</w:t>
      </w:r>
    </w:p>
    <w:p w14:paraId="070AA4D6" w14:textId="77777777" w:rsidR="000F1D9A" w:rsidRPr="00E37FEB" w:rsidRDefault="007224B6">
      <w:pPr>
        <w:pStyle w:val="Corpodetexto"/>
      </w:pPr>
      <w:r w:rsidRPr="00E37FEB">
        <w:t>A estimativa não parte de um corredor previamente definido. Ela é construída com registros observados de escalas e movimentações de carga da Agência Nacional de Transportes Aquaviários (ANTAQ) e com indicadores de intensidade de combustível do Monitoramento, Reporte e Verificação da União Europeia (EU MRV).</w:t>
      </w:r>
    </w:p>
    <w:p w14:paraId="3E624B22" w14:textId="77777777" w:rsidR="000F1D9A" w:rsidRPr="00E37FEB" w:rsidRDefault="007224B6">
      <w:pPr>
        <w:pStyle w:val="Corpodetexto"/>
      </w:pPr>
      <w:r w:rsidRPr="00E37FEB">
        <w:t>A seção está organizada em quatro etapas. Primeiro, apresenta como os registros da ANTAQ são reunidos para reconstruir cada viagem e seus subtrechos. Em seguida, explica como é definida a intensidade de combustível de cada navio. Depois, mostra como as viagens válidas são consolidadas para obter a intensidade representativa da ligação. Por fim, descreve o cálculo da distância marítima representativa, considerando os corredores observados e tratando percursos excepcionalmente longos de forma consistente.</w:t>
      </w:r>
    </w:p>
    <w:p w14:paraId="5BE92354" w14:textId="77777777" w:rsidR="000F1D9A" w:rsidRPr="00E37FEB" w:rsidRDefault="007224B6">
      <w:pPr>
        <w:pStyle w:val="Ttulo4"/>
      </w:pPr>
      <w:bookmarkStart w:id="29" w:name="atividade-observada-na-antaq-e-reconstru"/>
      <w:bookmarkStart w:id="30" w:name="_Toc235532512"/>
      <w:r w:rsidRPr="00E37FEB">
        <w:t>3.3.4.1 Atividade observada na ANTAQ e reconstrução das viagens</w:t>
      </w:r>
      <w:bookmarkEnd w:id="29"/>
      <w:bookmarkEnd w:id="30"/>
    </w:p>
    <w:p w14:paraId="19FD2E67" w14:textId="77777777" w:rsidR="000F1D9A" w:rsidRPr="00E37FEB" w:rsidRDefault="007224B6">
      <w:pPr>
        <w:pStyle w:val="FirstParagraph"/>
      </w:pPr>
      <w:r w:rsidRPr="00E37FEB">
        <w:t>Para executar essa reconstrução, o sistema parte dos arquivos brutos da ANTAQ, que não trazem uma viagem pronta, como “Santos–Manaus”</w:t>
      </w:r>
      <w:r w:rsidRPr="00E37FEB">
        <w:t>. Cada linha registra apenas um evento: uma escala em um porto e uma movimentação de carga. Antes de combinar esses registros, o sistema mantém apenas as movimentações de cabotagem e carga conteinerizada vinculadas a uma atracação e a um navio identificado pelo número IMO. Ao reunir os registros do mesmo navio, ordenar as escalas e calcular a carga a bordo, transforma esses eventos isolados em uma viagem observada.</w:t>
      </w:r>
    </w:p>
    <w:p w14:paraId="20E9D393" w14:textId="77777777" w:rsidR="000F1D9A" w:rsidRPr="00E37FEB" w:rsidRDefault="007224B6">
      <w:pPr>
        <w:pStyle w:val="Corpodetexto"/>
      </w:pPr>
      <w:r w:rsidRPr="00E37FEB">
        <w:lastRenderedPageBreak/>
        <w:t xml:space="preserve">Para reconstruir uma viagem, o sistema combina duas tabelas que cumprem papéis diferentes. A tabela de Carga mostra o que entrou e o que saiu do navio em cada escala. A tabela de Atracação mostra onde e quando essa escala ocorreu e qual navio a realizou. O campo </w:t>
      </w:r>
      <w:r w:rsidRPr="00E37FEB">
        <w:rPr>
          <w:rStyle w:val="VerbatimChar"/>
        </w:rPr>
        <w:t>IDAtracacao</w:t>
      </w:r>
      <w:r w:rsidRPr="00E37FEB">
        <w:t xml:space="preserve"> (código único de identificação da atracação) aparece nos dois arquivos e faz a ligação entre eles.</w:t>
      </w:r>
    </w:p>
    <w:p w14:paraId="4566840C" w14:textId="77777777" w:rsidR="000F1D9A" w:rsidRPr="00E37FEB" w:rsidRDefault="007224B6">
      <w:pPr>
        <w:pStyle w:val="Ttulo5"/>
      </w:pPr>
      <w:bookmarkStart w:id="31" w:name="tabela-de-carga-da-antaq"/>
      <w:r w:rsidRPr="00E37FEB">
        <w:t>3.3.4.1.1 Tabela de Carga da ANTAQ</w:t>
      </w:r>
      <w:bookmarkEnd w:id="31"/>
    </w:p>
    <w:p w14:paraId="08E48B71" w14:textId="77777777" w:rsidR="000F1D9A" w:rsidRPr="00E37FEB" w:rsidRDefault="007224B6">
      <w:pPr>
        <w:pStyle w:val="FirstParagraph"/>
      </w:pPr>
      <w:r w:rsidRPr="00E37FEB">
        <w:t>A tabela de Carga é um registro de movimentações, não um itinerário pronto. Cada linha representa uma parcela de carga movimentada em determinada escala: informa a massa, a quantidade de contêineres e se ela foi embarcada ou desembarcada. Uma mesma escala pode ter várias linhas, pois o navio pode descarregar e carregar mercadorias associadas a diferentes pares de origem e destino.</w:t>
      </w:r>
    </w:p>
    <w:p w14:paraId="42C621AD" w14:textId="77777777" w:rsidR="000F1D9A" w:rsidRPr="00E37FEB" w:rsidRDefault="007224B6">
      <w:pPr>
        <w:pStyle w:val="Corpodetexto"/>
      </w:pPr>
      <w:r w:rsidRPr="00E37FEB">
        <w:t xml:space="preserve">Para saber quanto foi movimentado no porto, o sistema reúne as linhas com o mesmo </w:t>
      </w:r>
      <w:r w:rsidRPr="00E37FEB">
        <w:rPr>
          <w:rStyle w:val="VerbatimChar"/>
        </w:rPr>
        <w:t>IDAtracacao</w:t>
      </w:r>
      <w:r w:rsidRPr="00E37FEB">
        <w:t xml:space="preserve"> </w:t>
      </w:r>
      <w:r w:rsidRPr="00E37FEB">
        <w:t xml:space="preserve">e soma separadamente os desembarques e os embarques. A carga embarcada entra no navio naquele porto e segue para o trecho seguinte; a carga desembarcada deixa o navio naquele porto. Por isso, os valores da Tabela 4 são apresentados na ordem </w:t>
      </w:r>
      <w:r w:rsidRPr="00E37FEB">
        <w:rPr>
          <w:b/>
        </w:rPr>
        <w:t>desembarcados / embarcados</w:t>
      </w:r>
      <w:r w:rsidRPr="00E37FEB">
        <w:t>. Eles mostram o movimento ocorrido na escala, e não a carga total que o navio levava ao partir.</w:t>
      </w:r>
    </w:p>
    <w:p w14:paraId="4606C975" w14:textId="77777777" w:rsidR="000F1D9A" w:rsidRPr="00E37FEB" w:rsidRDefault="007224B6" w:rsidP="00E37FEB">
      <w:pPr>
        <w:pStyle w:val="TtulodeTabelaCL"/>
      </w:pPr>
      <w:r w:rsidRPr="00E37FEB">
        <w:t xml:space="preserve">Tabela 4 — Campos do arquivo </w:t>
      </w:r>
      <w:r w:rsidRPr="00E37FEB">
        <w:rPr>
          <w:rStyle w:val="VerbatimChar"/>
        </w:rPr>
        <w:t>2025Carga.txt</w:t>
      </w:r>
      <w:r w:rsidRPr="00E37FEB">
        <w:t xml:space="preserve"> usados para reconstruir os movimentos de carga.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2005"/>
        <w:gridCol w:w="3043"/>
        <w:gridCol w:w="4025"/>
      </w:tblGrid>
      <w:tr w:rsidR="000F1D9A" w:rsidRPr="00E37FEB" w14:paraId="50F6A8DF" w14:textId="77777777" w:rsidTr="00E37FEB">
        <w:trPr>
          <w:tblHeader/>
          <w:jc w:val="center"/>
        </w:trPr>
        <w:tc>
          <w:tcPr>
            <w:tcW w:w="1105" w:type="pct"/>
            <w:shd w:val="clear" w:color="auto" w:fill="E8EEF5"/>
            <w:vAlign w:val="center"/>
          </w:tcPr>
          <w:p w14:paraId="0D6B5EA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C</w:t>
            </w:r>
            <w:r w:rsidRPr="00E37FEB">
              <w:rPr>
                <w:b/>
                <w:sz w:val="18"/>
              </w:rPr>
              <w:t>oluna</w:t>
            </w:r>
          </w:p>
        </w:tc>
        <w:tc>
          <w:tcPr>
            <w:tcW w:w="1677" w:type="pct"/>
            <w:shd w:val="clear" w:color="auto" w:fill="E8EEF5"/>
            <w:vAlign w:val="center"/>
          </w:tcPr>
          <w:p w14:paraId="6B1AFBA4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Uso na avaliação</w:t>
            </w:r>
          </w:p>
        </w:tc>
        <w:tc>
          <w:tcPr>
            <w:tcW w:w="2218" w:type="pct"/>
            <w:shd w:val="clear" w:color="auto" w:fill="E8EEF5"/>
            <w:vAlign w:val="center"/>
          </w:tcPr>
          <w:p w14:paraId="0534ADA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 xml:space="preserve">Valor na viagem </w:t>
            </w:r>
            <w:r w:rsidRPr="00E37FEB">
              <w:rPr>
                <w:rStyle w:val="VerbatimChar"/>
                <w:rFonts w:ascii="Calibri" w:hAnsi="Calibri"/>
                <w:b/>
                <w:sz w:val="18"/>
              </w:rPr>
              <w:t>voyage_9612791_00011</w:t>
            </w:r>
          </w:p>
        </w:tc>
      </w:tr>
      <w:tr w:rsidR="000F1D9A" w:rsidRPr="00E37FEB" w14:paraId="602A4BE9" w14:textId="77777777" w:rsidTr="00E37FEB">
        <w:trPr>
          <w:jc w:val="center"/>
        </w:trPr>
        <w:tc>
          <w:tcPr>
            <w:tcW w:w="1105" w:type="pct"/>
            <w:vAlign w:val="center"/>
          </w:tcPr>
          <w:p w14:paraId="21B95E9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IDAtracacao</w:t>
            </w:r>
          </w:p>
        </w:tc>
        <w:tc>
          <w:tcPr>
            <w:tcW w:w="1677" w:type="pct"/>
            <w:vAlign w:val="center"/>
          </w:tcPr>
          <w:p w14:paraId="5F6F5A3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Liga cada movimento de carga à escala correspondente.</w:t>
            </w:r>
          </w:p>
        </w:tc>
        <w:tc>
          <w:tcPr>
            <w:tcW w:w="2218" w:type="pct"/>
            <w:vAlign w:val="center"/>
          </w:tcPr>
          <w:p w14:paraId="4DE4DE2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 xml:space="preserve">Santos: </w:t>
            </w:r>
            <w:r w:rsidRPr="00E37FEB">
              <w:rPr>
                <w:rStyle w:val="VerbatimChar"/>
                <w:rFonts w:ascii="Calibri" w:hAnsi="Calibri"/>
                <w:sz w:val="18"/>
              </w:rPr>
              <w:t>1618801</w:t>
            </w:r>
            <w:r w:rsidRPr="00E37FEB">
              <w:rPr>
                <w:sz w:val="18"/>
              </w:rPr>
              <w:t xml:space="preserve">; Suape: </w:t>
            </w:r>
            <w:r w:rsidRPr="00E37FEB">
              <w:rPr>
                <w:rStyle w:val="VerbatimChar"/>
                <w:rFonts w:ascii="Calibri" w:hAnsi="Calibri"/>
                <w:sz w:val="18"/>
              </w:rPr>
              <w:t>1625119</w:t>
            </w:r>
            <w:r w:rsidRPr="00E37FEB">
              <w:rPr>
                <w:sz w:val="18"/>
              </w:rPr>
              <w:t xml:space="preserve">; Pecém: </w:t>
            </w:r>
            <w:r w:rsidRPr="00E37FEB">
              <w:rPr>
                <w:rStyle w:val="VerbatimChar"/>
                <w:rFonts w:ascii="Calibri" w:hAnsi="Calibri"/>
                <w:sz w:val="18"/>
              </w:rPr>
              <w:t>1625546</w:t>
            </w:r>
            <w:r w:rsidRPr="00E37FEB">
              <w:rPr>
                <w:sz w:val="18"/>
              </w:rPr>
              <w:t xml:space="preserve">; Manaus: </w:t>
            </w:r>
            <w:r w:rsidRPr="00E37FEB">
              <w:rPr>
                <w:rStyle w:val="VerbatimChar"/>
                <w:rFonts w:ascii="Calibri" w:hAnsi="Calibri"/>
                <w:sz w:val="18"/>
              </w:rPr>
              <w:t>1620276</w:t>
            </w:r>
            <w:r w:rsidRPr="00E37FEB">
              <w:rPr>
                <w:sz w:val="18"/>
              </w:rPr>
              <w:t>.</w:t>
            </w:r>
          </w:p>
        </w:tc>
      </w:tr>
      <w:tr w:rsidR="000F1D9A" w:rsidRPr="00E37FEB" w14:paraId="215DD811" w14:textId="77777777" w:rsidTr="00E37FEB">
        <w:trPr>
          <w:jc w:val="center"/>
        </w:trPr>
        <w:tc>
          <w:tcPr>
            <w:tcW w:w="1105" w:type="pct"/>
            <w:vAlign w:val="center"/>
          </w:tcPr>
          <w:p w14:paraId="51AF252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Tipo Navegação</w:t>
            </w:r>
          </w:p>
        </w:tc>
        <w:tc>
          <w:tcPr>
            <w:tcW w:w="1677" w:type="pct"/>
            <w:vAlign w:val="center"/>
          </w:tcPr>
          <w:p w14:paraId="473023A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Mantém somente os registros de cabotagem.</w:t>
            </w:r>
          </w:p>
        </w:tc>
        <w:tc>
          <w:tcPr>
            <w:tcW w:w="2218" w:type="pct"/>
            <w:vAlign w:val="center"/>
          </w:tcPr>
          <w:p w14:paraId="1CD48E2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Cabotagem</w:t>
            </w:r>
            <w:r w:rsidRPr="00E37FEB">
              <w:rPr>
                <w:sz w:val="18"/>
              </w:rPr>
              <w:t xml:space="preserve"> nas quatro escalas.</w:t>
            </w:r>
          </w:p>
        </w:tc>
      </w:tr>
      <w:tr w:rsidR="000F1D9A" w:rsidRPr="00E37FEB" w14:paraId="4FDD050D" w14:textId="77777777" w:rsidTr="00E37FEB">
        <w:trPr>
          <w:jc w:val="center"/>
        </w:trPr>
        <w:tc>
          <w:tcPr>
            <w:tcW w:w="1105" w:type="pct"/>
            <w:vAlign w:val="center"/>
          </w:tcPr>
          <w:p w14:paraId="2836C79D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TEU</w:t>
            </w:r>
          </w:p>
        </w:tc>
        <w:tc>
          <w:tcPr>
            <w:tcW w:w="1677" w:type="pct"/>
            <w:vAlign w:val="center"/>
          </w:tcPr>
          <w:p w14:paraId="589497C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Ajuda a identificar a carga conteinerizada e registra a quantidade de contêineres em unidade equivalente a 20 pés.</w:t>
            </w:r>
          </w:p>
        </w:tc>
        <w:tc>
          <w:tcPr>
            <w:tcW w:w="2218" w:type="pct"/>
            <w:vAlign w:val="center"/>
          </w:tcPr>
          <w:p w14:paraId="579024B4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b/>
                <w:sz w:val="18"/>
              </w:rPr>
              <w:t>Desembarcados / embarcados:</w:t>
            </w:r>
            <w:r w:rsidRPr="00E37FEB">
              <w:rPr>
                <w:sz w:val="18"/>
              </w:rPr>
              <w:t xml:space="preserve"> Santos: 0/866; Suape: 804/881; Pecém: 541/187; Manaus: 1.639/621.</w:t>
            </w:r>
          </w:p>
        </w:tc>
      </w:tr>
      <w:tr w:rsidR="000F1D9A" w:rsidRPr="00E37FEB" w14:paraId="0FA7879A" w14:textId="77777777" w:rsidTr="00E37FEB">
        <w:trPr>
          <w:jc w:val="center"/>
        </w:trPr>
        <w:tc>
          <w:tcPr>
            <w:tcW w:w="1105" w:type="pct"/>
            <w:vAlign w:val="center"/>
          </w:tcPr>
          <w:p w14:paraId="6D17A0A2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Natureza da Carga</w:t>
            </w:r>
            <w:r w:rsidRPr="00E37FEB">
              <w:rPr>
                <w:sz w:val="18"/>
              </w:rPr>
              <w:t xml:space="preserve"> e </w:t>
            </w:r>
            <w:r w:rsidRPr="00E37FEB">
              <w:rPr>
                <w:rStyle w:val="VerbatimChar"/>
                <w:rFonts w:ascii="Calibri" w:hAnsi="Calibri"/>
                <w:sz w:val="18"/>
              </w:rPr>
              <w:t>Carga Geral Acondicionamento</w:t>
            </w:r>
          </w:p>
        </w:tc>
        <w:tc>
          <w:tcPr>
            <w:tcW w:w="1677" w:type="pct"/>
            <w:vAlign w:val="center"/>
          </w:tcPr>
          <w:p w14:paraId="3E7A49A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Complementam a identificação da carga conteinerizada quando necessário.</w:t>
            </w:r>
          </w:p>
        </w:tc>
        <w:tc>
          <w:tcPr>
            <w:tcW w:w="2218" w:type="pct"/>
            <w:vAlign w:val="center"/>
          </w:tcPr>
          <w:p w14:paraId="7469888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Carga Conteinerizada</w:t>
            </w:r>
            <w:r w:rsidRPr="00E37FEB">
              <w:rPr>
                <w:sz w:val="18"/>
              </w:rPr>
              <w:t xml:space="preserve"> e </w:t>
            </w:r>
            <w:r w:rsidRPr="00E37FEB">
              <w:rPr>
                <w:rStyle w:val="VerbatimChar"/>
                <w:rFonts w:ascii="Calibri" w:hAnsi="Calibri"/>
                <w:sz w:val="18"/>
              </w:rPr>
              <w:t>Conteinerizada</w:t>
            </w:r>
            <w:r w:rsidRPr="00E37FEB">
              <w:rPr>
                <w:sz w:val="18"/>
              </w:rPr>
              <w:t xml:space="preserve"> em todas as linhas da viagem.</w:t>
            </w:r>
          </w:p>
        </w:tc>
      </w:tr>
      <w:tr w:rsidR="000F1D9A" w:rsidRPr="00E37FEB" w14:paraId="43011F74" w14:textId="77777777" w:rsidTr="00E37FEB">
        <w:trPr>
          <w:jc w:val="center"/>
        </w:trPr>
        <w:tc>
          <w:tcPr>
            <w:tcW w:w="1105" w:type="pct"/>
            <w:vAlign w:val="top"/>
          </w:tcPr>
          <w:p w14:paraId="2909C96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ind w:left="0" w:firstLine="0"/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VLPesoCargaBruta</w:t>
            </w:r>
          </w:p>
        </w:tc>
        <w:tc>
          <w:tcPr>
            <w:tcW w:w="1677" w:type="pct"/>
            <w:vAlign w:val="top"/>
          </w:tcPr>
          <w:p w14:paraId="77815A6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ind w:left="0" w:firstLine="0"/>
              <w:jc w:val="left"/>
            </w:pPr>
            <w:r w:rsidRPr="00E37FEB">
              <w:rPr>
                <w:sz w:val="18"/>
              </w:rPr>
              <w:t>Informa a massa embarcada ou desembarcada, em toneladas.</w:t>
            </w:r>
          </w:p>
        </w:tc>
        <w:tc>
          <w:tcPr>
            <w:tcW w:w="2218" w:type="pct"/>
            <w:vAlign w:val="top"/>
          </w:tcPr>
          <w:p w14:paraId="3876DCC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ind w:left="0" w:firstLine="0"/>
              <w:jc w:val="left"/>
            </w:pPr>
            <w:r>
              <w:rPr>
                <w:b/>
                <w:sz w:val="18"/>
              </w:rPr>
              <w:t>Desembarcados / embarcados:</w:t>
            </w:r>
            <w:r>
              <w:br/>
            </w:r>
            <w:r>
              <w:rPr>
                <w:b w:val="0"/>
                <w:sz w:val="18"/>
              </w:rPr>
              <w:t>Santos: 0 / 9.881,860 t</w:t>
            </w:r>
            <w:r>
              <w:br/>
            </w:r>
            <w:r>
              <w:rPr>
                <w:b w:val="0"/>
                <w:sz w:val="18"/>
              </w:rPr>
              <w:t>Suape: 8.002,620 / 11.862,199 t</w:t>
            </w:r>
            <w:r>
              <w:br/>
            </w:r>
            <w:r>
              <w:rPr>
                <w:b w:val="0"/>
                <w:sz w:val="18"/>
              </w:rPr>
              <w:t>Pecém: 7.624,347 / 3.231,914 t</w:t>
            </w:r>
            <w:r>
              <w:br/>
            </w:r>
            <w:r>
              <w:rPr>
                <w:b w:val="0"/>
                <w:sz w:val="18"/>
              </w:rPr>
              <w:t>Manaus: 19.897,560 / 7.571,660 t.</w:t>
            </w:r>
          </w:p>
        </w:tc>
      </w:tr>
      <w:tr w:rsidR="000F1D9A" w:rsidRPr="00E37FEB" w14:paraId="18F58CDE" w14:textId="77777777" w:rsidTr="00E37FEB">
        <w:trPr>
          <w:jc w:val="center"/>
        </w:trPr>
        <w:tc>
          <w:tcPr>
            <w:tcW w:w="1105" w:type="pct"/>
            <w:vAlign w:val="center"/>
          </w:tcPr>
          <w:p w14:paraId="1D20787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Sentido</w:t>
            </w:r>
          </w:p>
        </w:tc>
        <w:tc>
          <w:tcPr>
            <w:tcW w:w="1677" w:type="pct"/>
            <w:vAlign w:val="center"/>
          </w:tcPr>
          <w:p w14:paraId="01BA201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Indica se a massa foi embarcada ou desembarcada na escala.</w:t>
            </w:r>
          </w:p>
        </w:tc>
        <w:tc>
          <w:tcPr>
            <w:tcW w:w="2218" w:type="pct"/>
            <w:vAlign w:val="center"/>
          </w:tcPr>
          <w:p w14:paraId="5C6E927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Desembarcados</w:t>
            </w:r>
            <w:r w:rsidRPr="00E37FEB">
              <w:rPr>
                <w:sz w:val="18"/>
              </w:rPr>
              <w:t xml:space="preserve"> e </w:t>
            </w:r>
            <w:r w:rsidRPr="00E37FEB">
              <w:rPr>
                <w:rStyle w:val="VerbatimChar"/>
                <w:rFonts w:ascii="Calibri" w:hAnsi="Calibri"/>
                <w:sz w:val="18"/>
              </w:rPr>
              <w:t>Embarcados</w:t>
            </w:r>
            <w:r w:rsidRPr="00E37FEB">
              <w:rPr>
                <w:sz w:val="18"/>
              </w:rPr>
              <w:t>.</w:t>
            </w:r>
          </w:p>
        </w:tc>
      </w:tr>
      <w:tr w:rsidR="000F1D9A" w:rsidRPr="00E37FEB" w14:paraId="677A76EF" w14:textId="77777777" w:rsidTr="00E37FEB">
        <w:trPr>
          <w:jc w:val="center"/>
        </w:trPr>
        <w:tc>
          <w:tcPr>
            <w:tcW w:w="1105" w:type="pct"/>
            <w:vAlign w:val="center"/>
          </w:tcPr>
          <w:p w14:paraId="1F29DC8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Origem</w:t>
            </w:r>
            <w:r w:rsidRPr="00E37FEB">
              <w:rPr>
                <w:sz w:val="18"/>
              </w:rPr>
              <w:t xml:space="preserve"> e </w:t>
            </w:r>
            <w:r w:rsidRPr="00E37FEB">
              <w:rPr>
                <w:rStyle w:val="VerbatimChar"/>
                <w:rFonts w:ascii="Calibri" w:hAnsi="Calibri"/>
                <w:sz w:val="18"/>
              </w:rPr>
              <w:t>Destino</w:t>
            </w:r>
          </w:p>
        </w:tc>
        <w:tc>
          <w:tcPr>
            <w:tcW w:w="1677" w:type="pct"/>
            <w:vAlign w:val="center"/>
          </w:tcPr>
          <w:p w14:paraId="23FD92D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Preservam os códigos dos portos de origem e destino declarados para cada movimento de carga; não definem, sozinhos, o itinerário completo do navio.</w:t>
            </w:r>
          </w:p>
        </w:tc>
        <w:tc>
          <w:tcPr>
            <w:tcW w:w="2218" w:type="pct"/>
            <w:vAlign w:val="center"/>
          </w:tcPr>
          <w:p w14:paraId="51F60DC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Santos; Suape; Pecém; e Manaus.</w:t>
            </w:r>
          </w:p>
        </w:tc>
      </w:tr>
    </w:tbl>
    <w:p w14:paraId="60319626" w14:textId="77777777" w:rsidR="000F1D9A" w:rsidRPr="00E37FEB" w:rsidRDefault="007224B6">
      <w:pPr>
        <w:pStyle w:val="Corpodetexto"/>
      </w:pPr>
      <w:r w:rsidRPr="00E37FEB">
        <w:rPr>
          <w:i/>
        </w:rPr>
        <w:t xml:space="preserve">Arquivo: </w:t>
      </w:r>
      <w:r w:rsidRPr="00E37FEB">
        <w:rPr>
          <w:rStyle w:val="VerbatimChar"/>
          <w:i/>
        </w:rPr>
        <w:t>2025Carga.txt</w:t>
      </w:r>
      <w:r w:rsidRPr="00E37FEB">
        <w:rPr>
          <w:i/>
        </w:rPr>
        <w:t xml:space="preserve">. Fonte: </w:t>
      </w:r>
      <w:hyperlink r:id="rId12">
        <w:r w:rsidRPr="00E37FEB">
          <w:rPr>
            <w:rStyle w:val="Hyperlink"/>
            <w:i/>
          </w:rPr>
          <w:t>Agência Nacional de Transportes Aquaviários (ANTAQ), Painel Estatístico Aquaviário</w:t>
        </w:r>
      </w:hyperlink>
      <w:r w:rsidRPr="00E37FEB">
        <w:rPr>
          <w:i/>
        </w:rPr>
        <w:t>.</w:t>
      </w:r>
    </w:p>
    <w:p w14:paraId="695A1C26" w14:textId="77777777" w:rsidR="000F1D9A" w:rsidRPr="00E37FEB" w:rsidRDefault="007224B6">
      <w:pPr>
        <w:pStyle w:val="Corpodetexto"/>
      </w:pPr>
      <w:r w:rsidRPr="00E37FEB">
        <w:lastRenderedPageBreak/>
        <w:t>Para reconstruir a carga a bordo, o sistema lê os desembarques e embarques na ordem das escalas. A primeira escala disponível pode ocorrer com o navio já carregado. Se o saldo acumulado de embarques menos desembarques ficar negativo em algum ponto, isso indica que havia carga a bordo antes do primeiro registro observado. Nesses casos, o sistema inclui apenas a carga inicial mínima necessária para manter o saldo não negativo e continua a reconstrução dos subtrechos. Se isso não ocorrer, a carga inicial é con</w:t>
      </w:r>
      <w:r w:rsidRPr="00E37FEB">
        <w:t>siderada zero.</w:t>
      </w:r>
    </w:p>
    <w:p w14:paraId="40F6D0AC" w14:textId="77777777" w:rsidR="000F1D9A" w:rsidRPr="00E37FEB" w:rsidRDefault="007224B6">
      <w:pPr>
        <w:pStyle w:val="Ttulo5"/>
      </w:pPr>
      <w:bookmarkStart w:id="32" w:name="tabela-de-atracação-da-antaq"/>
      <w:r w:rsidRPr="00E37FEB">
        <w:t>3.3.4.1.2 Tabela de Atracação da ANTAQ</w:t>
      </w:r>
      <w:bookmarkEnd w:id="32"/>
    </w:p>
    <w:p w14:paraId="57B01B6B" w14:textId="77777777" w:rsidR="000F1D9A" w:rsidRPr="00E37FEB" w:rsidRDefault="007224B6">
      <w:pPr>
        <w:pStyle w:val="FirstParagraph"/>
      </w:pPr>
      <w:r w:rsidRPr="00E37FEB">
        <w:t xml:space="preserve">A tabela de Atracação é o registro cronológico das escalas. Cada linha informa que determinado navio esteve em um porto ou terminal, em quais datas chegou e saiu e qual é o seu número IMO, identificador único do navio usado internacionalmente. Ela não informa a massa movimentada. Ao ligar seu </w:t>
      </w:r>
      <w:r w:rsidRPr="00E37FEB">
        <w:rPr>
          <w:rStyle w:val="VerbatimChar"/>
        </w:rPr>
        <w:t>IDAtracacao</w:t>
      </w:r>
      <w:r w:rsidRPr="00E37FEB">
        <w:t xml:space="preserve"> aos movimentos da tabela de Carga e ordenar as datas de atracação, o sistema transforma os registros isolados na sequência Santos → Suape → Pecém → Manaus.</w:t>
      </w:r>
    </w:p>
    <w:p w14:paraId="1A18B5E9" w14:textId="77777777" w:rsidR="000F1D9A" w:rsidRPr="00E37FEB" w:rsidRDefault="007224B6" w:rsidP="00E37FEB">
      <w:pPr>
        <w:pStyle w:val="TtulodeTabelaCL"/>
      </w:pPr>
      <w:r w:rsidRPr="00E37FEB">
        <w:t xml:space="preserve">Tabela 5 — Campos do arquivo </w:t>
      </w:r>
      <w:r w:rsidRPr="00E37FEB">
        <w:rPr>
          <w:rStyle w:val="VerbatimChar"/>
        </w:rPr>
        <w:t>2025Atracacao.txt</w:t>
      </w:r>
      <w:r w:rsidRPr="00E37FEB">
        <w:t xml:space="preserve"> usados para identificar e ordenar as escalas dos navios.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1752"/>
        <w:gridCol w:w="2687"/>
        <w:gridCol w:w="4634"/>
      </w:tblGrid>
      <w:tr w:rsidR="000F1D9A" w:rsidRPr="00E37FEB" w14:paraId="72ECBAF2" w14:textId="77777777" w:rsidTr="00E37FEB">
        <w:trPr>
          <w:tblHeader/>
          <w:jc w:val="center"/>
        </w:trPr>
        <w:tc>
          <w:tcPr>
            <w:tcW w:w="965" w:type="pct"/>
            <w:shd w:val="clear" w:color="auto" w:fill="E8EEF5"/>
            <w:vAlign w:val="center"/>
          </w:tcPr>
          <w:p w14:paraId="41075D8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C</w:t>
            </w:r>
            <w:r w:rsidRPr="00E37FEB">
              <w:rPr>
                <w:b/>
                <w:sz w:val="18"/>
              </w:rPr>
              <w:t>oluna</w:t>
            </w:r>
          </w:p>
        </w:tc>
        <w:tc>
          <w:tcPr>
            <w:tcW w:w="1481" w:type="pct"/>
            <w:shd w:val="clear" w:color="auto" w:fill="E8EEF5"/>
            <w:vAlign w:val="center"/>
          </w:tcPr>
          <w:p w14:paraId="529C9CA6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Uso na avaliação</w:t>
            </w:r>
          </w:p>
        </w:tc>
        <w:tc>
          <w:tcPr>
            <w:tcW w:w="2555" w:type="pct"/>
            <w:shd w:val="clear" w:color="auto" w:fill="E8EEF5"/>
            <w:vAlign w:val="center"/>
          </w:tcPr>
          <w:p w14:paraId="5D326F82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 xml:space="preserve">Valor na viagem </w:t>
            </w:r>
            <w:r w:rsidRPr="00E37FEB">
              <w:rPr>
                <w:rStyle w:val="VerbatimChar"/>
                <w:rFonts w:ascii="Calibri" w:hAnsi="Calibri"/>
                <w:b/>
                <w:sz w:val="18"/>
              </w:rPr>
              <w:t>voyage_9612791_00011</w:t>
            </w:r>
          </w:p>
        </w:tc>
      </w:tr>
      <w:tr w:rsidR="000F1D9A" w:rsidRPr="00E37FEB" w14:paraId="30AC1038" w14:textId="77777777" w:rsidTr="00E37FEB">
        <w:trPr>
          <w:jc w:val="center"/>
        </w:trPr>
        <w:tc>
          <w:tcPr>
            <w:tcW w:w="965" w:type="pct"/>
            <w:vAlign w:val="center"/>
          </w:tcPr>
          <w:p w14:paraId="7ECCC54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IDAtracacao</w:t>
            </w:r>
          </w:p>
        </w:tc>
        <w:tc>
          <w:tcPr>
            <w:tcW w:w="1481" w:type="pct"/>
            <w:vAlign w:val="center"/>
          </w:tcPr>
          <w:p w14:paraId="10B84BD2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 xml:space="preserve">Liga a escala aos movimentos de carga do arquivo </w:t>
            </w:r>
            <w:r w:rsidRPr="00E37FEB">
              <w:rPr>
                <w:rStyle w:val="VerbatimChar"/>
                <w:rFonts w:ascii="Calibri" w:hAnsi="Calibri"/>
                <w:sz w:val="18"/>
              </w:rPr>
              <w:t>2025Carga.txt</w:t>
            </w:r>
            <w:r w:rsidRPr="00E37FEB">
              <w:rPr>
                <w:sz w:val="18"/>
              </w:rPr>
              <w:t>.</w:t>
            </w:r>
          </w:p>
        </w:tc>
        <w:tc>
          <w:tcPr>
            <w:tcW w:w="2555" w:type="pct"/>
            <w:vAlign w:val="center"/>
          </w:tcPr>
          <w:p w14:paraId="09417ED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1618801</w:t>
            </w:r>
            <w:r w:rsidRPr="00E37FEB">
              <w:rPr>
                <w:sz w:val="18"/>
              </w:rPr>
              <w:t xml:space="preserve">; </w:t>
            </w:r>
            <w:r w:rsidRPr="00E37FEB">
              <w:rPr>
                <w:rStyle w:val="VerbatimChar"/>
                <w:rFonts w:ascii="Calibri" w:hAnsi="Calibri"/>
                <w:sz w:val="18"/>
              </w:rPr>
              <w:t>1625119</w:t>
            </w:r>
            <w:r w:rsidRPr="00E37FEB">
              <w:rPr>
                <w:sz w:val="18"/>
              </w:rPr>
              <w:t xml:space="preserve">; </w:t>
            </w:r>
            <w:r w:rsidRPr="00E37FEB">
              <w:rPr>
                <w:rStyle w:val="VerbatimChar"/>
                <w:rFonts w:ascii="Calibri" w:hAnsi="Calibri"/>
                <w:sz w:val="18"/>
              </w:rPr>
              <w:t>1625546</w:t>
            </w:r>
            <w:r w:rsidRPr="00E37FEB">
              <w:rPr>
                <w:sz w:val="18"/>
              </w:rPr>
              <w:t xml:space="preserve">; </w:t>
            </w:r>
            <w:r w:rsidRPr="00E37FEB">
              <w:rPr>
                <w:rStyle w:val="VerbatimChar"/>
                <w:rFonts w:ascii="Calibri" w:hAnsi="Calibri"/>
                <w:sz w:val="18"/>
              </w:rPr>
              <w:t>1620276</w:t>
            </w:r>
            <w:r w:rsidRPr="00E37FEB">
              <w:rPr>
                <w:sz w:val="18"/>
              </w:rPr>
              <w:t>.</w:t>
            </w:r>
          </w:p>
        </w:tc>
      </w:tr>
      <w:tr w:rsidR="000F1D9A" w:rsidRPr="00E37FEB" w14:paraId="1999C763" w14:textId="77777777" w:rsidTr="00E37FEB">
        <w:trPr>
          <w:jc w:val="center"/>
        </w:trPr>
        <w:tc>
          <w:tcPr>
            <w:tcW w:w="965" w:type="pct"/>
            <w:vAlign w:val="center"/>
          </w:tcPr>
          <w:p w14:paraId="53F6EF76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CDTUP</w:t>
            </w:r>
            <w:r w:rsidRPr="00E37FEB">
              <w:rPr>
                <w:sz w:val="18"/>
              </w:rPr>
              <w:t xml:space="preserve"> e </w:t>
            </w:r>
            <w:r w:rsidRPr="00E37FEB">
              <w:rPr>
                <w:rStyle w:val="VerbatimChar"/>
                <w:rFonts w:ascii="Calibri" w:hAnsi="Calibri"/>
                <w:sz w:val="18"/>
              </w:rPr>
              <w:t>Porto Atracação</w:t>
            </w:r>
          </w:p>
        </w:tc>
        <w:tc>
          <w:tcPr>
            <w:tcW w:w="1481" w:type="pct"/>
            <w:vAlign w:val="center"/>
          </w:tcPr>
          <w:p w14:paraId="434D67C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Identificam o porto ou a instalação portuária da escala.</w:t>
            </w:r>
          </w:p>
        </w:tc>
        <w:tc>
          <w:tcPr>
            <w:tcW w:w="2555" w:type="pct"/>
            <w:vAlign w:val="center"/>
          </w:tcPr>
          <w:p w14:paraId="0B92CB9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BRSSZ</w:t>
            </w:r>
            <w:r w:rsidRPr="00E37FEB">
              <w:rPr>
                <w:sz w:val="18"/>
              </w:rPr>
              <w:t xml:space="preserve"> — Santos; </w:t>
            </w:r>
            <w:r w:rsidRPr="00E37FEB">
              <w:rPr>
                <w:rStyle w:val="VerbatimChar"/>
                <w:rFonts w:ascii="Calibri" w:hAnsi="Calibri"/>
                <w:sz w:val="18"/>
              </w:rPr>
              <w:t>BRSUA</w:t>
            </w:r>
            <w:r w:rsidRPr="00E37FEB">
              <w:rPr>
                <w:sz w:val="18"/>
              </w:rPr>
              <w:t xml:space="preserve"> — Suape; </w:t>
            </w:r>
            <w:r w:rsidRPr="00E37FEB">
              <w:rPr>
                <w:rStyle w:val="VerbatimChar"/>
                <w:rFonts w:ascii="Calibri" w:hAnsi="Calibri"/>
                <w:sz w:val="18"/>
              </w:rPr>
              <w:t>BRCE001</w:t>
            </w:r>
            <w:r w:rsidRPr="00E37FEB">
              <w:rPr>
                <w:sz w:val="18"/>
              </w:rPr>
              <w:t xml:space="preserve"> — Terminal Portuário do Pecém; </w:t>
            </w:r>
            <w:r w:rsidRPr="00E37FEB">
              <w:rPr>
                <w:rStyle w:val="VerbatimChar"/>
                <w:rFonts w:ascii="Calibri" w:hAnsi="Calibri"/>
                <w:sz w:val="18"/>
              </w:rPr>
              <w:t>BRAM012</w:t>
            </w:r>
            <w:r w:rsidRPr="00E37FEB">
              <w:rPr>
                <w:sz w:val="18"/>
              </w:rPr>
              <w:t xml:space="preserve"> — Super Terminais Comércio e Indústria.</w:t>
            </w:r>
          </w:p>
        </w:tc>
      </w:tr>
      <w:tr w:rsidR="000F1D9A" w:rsidRPr="00E37FEB" w14:paraId="61F9E5CA" w14:textId="77777777" w:rsidTr="00E37FEB">
        <w:trPr>
          <w:jc w:val="center"/>
        </w:trPr>
        <w:tc>
          <w:tcPr>
            <w:tcW w:w="965" w:type="pct"/>
            <w:vAlign w:val="center"/>
          </w:tcPr>
          <w:p w14:paraId="3B82DEC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Data Atracação</w:t>
            </w:r>
          </w:p>
        </w:tc>
        <w:tc>
          <w:tcPr>
            <w:tcW w:w="1481" w:type="pct"/>
            <w:vAlign w:val="center"/>
          </w:tcPr>
          <w:p w14:paraId="26A972E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Define a ordem cronológica das escalas.</w:t>
            </w:r>
          </w:p>
        </w:tc>
        <w:tc>
          <w:tcPr>
            <w:tcW w:w="2555" w:type="pct"/>
            <w:vAlign w:val="center"/>
          </w:tcPr>
          <w:p w14:paraId="4DA8DB82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30/09/2025 03:57; 05/10/2025 10:06; 08/10/2025 03:23; 13/10/2025 18:00.</w:t>
            </w:r>
          </w:p>
        </w:tc>
      </w:tr>
      <w:tr w:rsidR="000F1D9A" w:rsidRPr="00E37FEB" w14:paraId="632DB110" w14:textId="77777777" w:rsidTr="00E37FEB">
        <w:trPr>
          <w:jc w:val="center"/>
        </w:trPr>
        <w:tc>
          <w:tcPr>
            <w:tcW w:w="965" w:type="pct"/>
            <w:vAlign w:val="center"/>
          </w:tcPr>
          <w:p w14:paraId="4AF14ED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Data Chegada</w:t>
            </w:r>
            <w:r w:rsidRPr="00E37FEB">
              <w:rPr>
                <w:sz w:val="18"/>
              </w:rPr>
              <w:t xml:space="preserve"> e </w:t>
            </w:r>
            <w:r w:rsidRPr="00E37FEB">
              <w:rPr>
                <w:rStyle w:val="VerbatimChar"/>
                <w:rFonts w:ascii="Calibri" w:hAnsi="Calibri"/>
                <w:sz w:val="18"/>
              </w:rPr>
              <w:t>Data Desatracação</w:t>
            </w:r>
          </w:p>
        </w:tc>
        <w:tc>
          <w:tcPr>
            <w:tcW w:w="1481" w:type="pct"/>
            <w:vAlign w:val="center"/>
          </w:tcPr>
          <w:p w14:paraId="266BAEB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Registram o intervalo observado da escala.</w:t>
            </w:r>
          </w:p>
        </w:tc>
        <w:tc>
          <w:tcPr>
            <w:tcW w:w="2555" w:type="pct"/>
            <w:vAlign w:val="center"/>
          </w:tcPr>
          <w:p w14:paraId="0C1A2C9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Santos: 29/09 05:45–30/09 17:30; Suape: 04/10 06:45–06/10 08:50; Pecém: 07/10 14:00–08/10 16:38; Manaus: 13/10 16:30–17/10 06:20.</w:t>
            </w:r>
          </w:p>
        </w:tc>
      </w:tr>
      <w:tr w:rsidR="000F1D9A" w:rsidRPr="00E37FEB" w14:paraId="6DE33077" w14:textId="77777777" w:rsidTr="00E37FEB">
        <w:trPr>
          <w:jc w:val="center"/>
        </w:trPr>
        <w:tc>
          <w:tcPr>
            <w:tcW w:w="965" w:type="pct"/>
            <w:vAlign w:val="center"/>
          </w:tcPr>
          <w:p w14:paraId="6AEE979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Tipo de Navegação da Atracação</w:t>
            </w:r>
          </w:p>
        </w:tc>
        <w:tc>
          <w:tcPr>
            <w:tcW w:w="1481" w:type="pct"/>
            <w:vAlign w:val="center"/>
          </w:tcPr>
          <w:p w14:paraId="5E3A617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Registra o tipo de navegação informado para a escala.</w:t>
            </w:r>
          </w:p>
        </w:tc>
        <w:tc>
          <w:tcPr>
            <w:tcW w:w="2555" w:type="pct"/>
            <w:vAlign w:val="center"/>
          </w:tcPr>
          <w:p w14:paraId="00B9AB0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 xml:space="preserve">Santos, Suape e Pecém: </w:t>
            </w:r>
            <w:r w:rsidRPr="00E37FEB">
              <w:rPr>
                <w:rStyle w:val="VerbatimChar"/>
                <w:rFonts w:ascii="Calibri" w:hAnsi="Calibri"/>
                <w:sz w:val="18"/>
              </w:rPr>
              <w:t>Cabotagem</w:t>
            </w:r>
            <w:r w:rsidRPr="00E37FEB">
              <w:rPr>
                <w:sz w:val="18"/>
              </w:rPr>
              <w:t xml:space="preserve">; Manaus: </w:t>
            </w:r>
            <w:r w:rsidRPr="00E37FEB">
              <w:rPr>
                <w:rStyle w:val="VerbatimChar"/>
                <w:rFonts w:ascii="Calibri" w:hAnsi="Calibri"/>
                <w:sz w:val="18"/>
              </w:rPr>
              <w:t>Interior</w:t>
            </w:r>
            <w:r w:rsidRPr="00E37FEB">
              <w:rPr>
                <w:sz w:val="18"/>
              </w:rPr>
              <w:t>.</w:t>
            </w:r>
          </w:p>
        </w:tc>
      </w:tr>
      <w:tr w:rsidR="000F1D9A" w:rsidRPr="00E37FEB" w14:paraId="62FBFBEE" w14:textId="77777777" w:rsidTr="00E37FEB">
        <w:trPr>
          <w:jc w:val="center"/>
        </w:trPr>
        <w:tc>
          <w:tcPr>
            <w:tcW w:w="965" w:type="pct"/>
            <w:vAlign w:val="center"/>
          </w:tcPr>
          <w:p w14:paraId="3FC727EA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Terminal</w:t>
            </w:r>
            <w:r w:rsidRPr="00E37FEB">
              <w:rPr>
                <w:sz w:val="18"/>
              </w:rPr>
              <w:t xml:space="preserve">, </w:t>
            </w:r>
            <w:r w:rsidRPr="00E37FEB">
              <w:rPr>
                <w:rStyle w:val="VerbatimChar"/>
                <w:rFonts w:ascii="Calibri" w:hAnsi="Calibri"/>
                <w:sz w:val="18"/>
              </w:rPr>
              <w:t>Município</w:t>
            </w:r>
            <w:r w:rsidRPr="00E37FEB">
              <w:rPr>
                <w:sz w:val="18"/>
              </w:rPr>
              <w:t xml:space="preserve"> e </w:t>
            </w:r>
            <w:r w:rsidRPr="00E37FEB">
              <w:rPr>
                <w:rStyle w:val="VerbatimChar"/>
                <w:rFonts w:ascii="Calibri" w:hAnsi="Calibri"/>
                <w:sz w:val="18"/>
              </w:rPr>
              <w:t>UF</w:t>
            </w:r>
          </w:p>
        </w:tc>
        <w:tc>
          <w:tcPr>
            <w:tcW w:w="1481" w:type="pct"/>
            <w:vAlign w:val="center"/>
          </w:tcPr>
          <w:p w14:paraId="5653039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Complementam a identificação do local atendido.</w:t>
            </w:r>
          </w:p>
        </w:tc>
        <w:tc>
          <w:tcPr>
            <w:tcW w:w="2555" w:type="pct"/>
            <w:vAlign w:val="center"/>
          </w:tcPr>
          <w:p w14:paraId="49BC970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Santos Brasil, Guarujá/SP; TECON Suape, Ipojuca/PE; Terminal do Pecém, São Gonçalo do Amarante/CE; Super Terminais, Manaus/AM.</w:t>
            </w:r>
          </w:p>
        </w:tc>
      </w:tr>
      <w:tr w:rsidR="000F1D9A" w:rsidRPr="00E37FEB" w14:paraId="11A934A0" w14:textId="77777777" w:rsidTr="00E37FEB">
        <w:trPr>
          <w:jc w:val="center"/>
        </w:trPr>
        <w:tc>
          <w:tcPr>
            <w:tcW w:w="965" w:type="pct"/>
            <w:vAlign w:val="center"/>
          </w:tcPr>
          <w:p w14:paraId="77FCBF5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Nº do IMO</w:t>
            </w:r>
          </w:p>
        </w:tc>
        <w:tc>
          <w:tcPr>
            <w:tcW w:w="1481" w:type="pct"/>
            <w:vAlign w:val="center"/>
          </w:tcPr>
          <w:p w14:paraId="36462DD3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Identifica o navio e permite procurá-lo no EU MRV.</w:t>
            </w:r>
          </w:p>
        </w:tc>
        <w:tc>
          <w:tcPr>
            <w:tcW w:w="2555" w:type="pct"/>
            <w:vAlign w:val="center"/>
          </w:tcPr>
          <w:p w14:paraId="3D58C5C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9612791</w:t>
            </w:r>
            <w:r w:rsidRPr="00E37FEB">
              <w:rPr>
                <w:sz w:val="18"/>
              </w:rPr>
              <w:t xml:space="preserve"> nas quatro escalas.</w:t>
            </w:r>
          </w:p>
        </w:tc>
      </w:tr>
    </w:tbl>
    <w:p w14:paraId="235487DD" w14:textId="77777777" w:rsidR="000F1D9A" w:rsidRPr="00E37FEB" w:rsidRDefault="007224B6">
      <w:pPr>
        <w:pStyle w:val="Corpodetexto"/>
      </w:pPr>
      <w:r w:rsidRPr="00E37FEB">
        <w:rPr>
          <w:i/>
        </w:rPr>
        <w:t xml:space="preserve">Arquivo: </w:t>
      </w:r>
      <w:r w:rsidRPr="00E37FEB">
        <w:rPr>
          <w:rStyle w:val="VerbatimChar"/>
          <w:i/>
        </w:rPr>
        <w:t>2025Atracacao.txt</w:t>
      </w:r>
      <w:r w:rsidRPr="00E37FEB">
        <w:rPr>
          <w:i/>
        </w:rPr>
        <w:t xml:space="preserve">. Fonte: </w:t>
      </w:r>
      <w:hyperlink r:id="rId13">
        <w:r w:rsidRPr="00E37FEB">
          <w:rPr>
            <w:rStyle w:val="Hyperlink"/>
            <w:i/>
          </w:rPr>
          <w:t>Agência Nacional de Transportes Aquaviários (ANTAQ), Painel Estatístico Aquaviário</w:t>
        </w:r>
      </w:hyperlink>
      <w:r w:rsidRPr="00E37FEB">
        <w:rPr>
          <w:i/>
        </w:rPr>
        <w:t>.</w:t>
      </w:r>
    </w:p>
    <w:p w14:paraId="7CECE36D" w14:textId="77777777" w:rsidR="000F1D9A" w:rsidRPr="00E37FEB" w:rsidRDefault="007224B6">
      <w:pPr>
        <w:pStyle w:val="Ttulo4"/>
      </w:pPr>
      <w:bookmarkStart w:id="33" w:name="reconstrução-das-viagens"/>
      <w:bookmarkStart w:id="34" w:name="_Toc235532513"/>
      <w:r w:rsidRPr="00E37FEB">
        <w:t>3.3.4.1.3 Reconstrução das viagens</w:t>
      </w:r>
      <w:bookmarkEnd w:id="33"/>
      <w:bookmarkEnd w:id="34"/>
    </w:p>
    <w:p w14:paraId="26DDCB01" w14:textId="77777777" w:rsidR="000F1D9A" w:rsidRPr="00E37FEB" w:rsidRDefault="007224B6">
      <w:pPr>
        <w:pStyle w:val="FirstParagraph"/>
      </w:pPr>
      <w:r w:rsidRPr="00E37FEB">
        <w:t xml:space="preserve">A integração das duas tabelas mostra, portanto, a ordem das escalas e a mudança de carga em cada uma delas. Ela não descreve apenas uma ligação abstrata Santos–Manaus: registra o que entrou e saiu do navio em Santos, Suape, Pecém e Manaus. A Figura 2 mostra o resultado da reconstrução para a parte de ida da viagem </w:t>
      </w:r>
      <w:r w:rsidRPr="00E37FEB">
        <w:rPr>
          <w:rStyle w:val="VerbatimChar"/>
        </w:rPr>
        <w:t>voyage_9612791_00011</w:t>
      </w:r>
      <w:r w:rsidRPr="00E37FEB">
        <w:t>; em cada seta, a carga é aquela que estava a bordo enquanto o navio navegava para o porto seguinte e a distância está em milhas náuticas (nm):</w:t>
      </w:r>
    </w:p>
    <w:p w14:paraId="25C1A953" w14:textId="77777777" w:rsidR="000F1D9A" w:rsidRPr="00E37FEB" w:rsidRDefault="007224B6" w:rsidP="00E37FEB">
      <w:pPr>
        <w:pStyle w:val="Corpodetexto"/>
        <w:keepLines/>
        <w:spacing w:before="120" w:after="80"/>
        <w:jc w:val="center"/>
      </w:pPr>
      <w:r w:rsidRPr="00E37FEB">
        <w:rPr>
          <w:noProof/>
        </w:rPr>
        <w:lastRenderedPageBreak/>
        <w:drawing>
          <wp:inline distT="0" distB="0" distL="0" distR="0" wp14:anchorId="669E55D0" wp14:editId="431032A5">
            <wp:extent cx="5334000" cy="804755"/>
            <wp:effectExtent l="0" t="0" r="0" b="0"/>
            <wp:docPr id="1896764030" name="Picture" descr="Parte de ida reconstruída da viagem entre Santos, Suape, Pecém e Mana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64030" name="Picture" descr="Parte de ida reconstruída da viagem entre Santos, Suape, Pecém e Manaus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4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89A554" w14:textId="77777777" w:rsidR="000F1D9A" w:rsidRPr="00E37FEB" w:rsidRDefault="007224B6" w:rsidP="00E37FEB">
      <w:pPr>
        <w:pStyle w:val="LegendadeFiguraCL"/>
      </w:pPr>
      <w:r w:rsidRPr="00E37FEB">
        <w:t xml:space="preserve">Figura 2 — Parte de ida reconstruída da viagem </w:t>
      </w:r>
      <w:r w:rsidRPr="00E37FEB">
        <w:rPr>
          <w:rStyle w:val="VerbatimChar"/>
        </w:rPr>
        <w:t>voyage_9612791_00011</w:t>
      </w:r>
      <w:r w:rsidRPr="00E37FEB">
        <w:t>. Fonte: elaboração própria com dados de Carga e Atracação da ANTAQ e distâncias da matriz marítima do sistema.</w:t>
      </w:r>
    </w:p>
    <w:p w14:paraId="689848A0" w14:textId="77777777" w:rsidR="000F1D9A" w:rsidRPr="00E37FEB" w:rsidRDefault="007224B6">
      <w:pPr>
        <w:pStyle w:val="Ttulo4"/>
      </w:pPr>
      <w:bookmarkStart w:id="35" w:name="intensidade-de-combustível-do-navio"/>
      <w:bookmarkStart w:id="36" w:name="_Toc235532514"/>
      <w:r w:rsidRPr="00E37FEB">
        <w:t>3</w:t>
      </w:r>
      <w:r w:rsidRPr="00E37FEB">
        <w:t>.3.4.2 Intensidade de combustível do navio</w:t>
      </w:r>
      <w:bookmarkEnd w:id="35"/>
      <w:bookmarkEnd w:id="36"/>
    </w:p>
    <w:p w14:paraId="35271C69" w14:textId="77777777" w:rsidR="000F1D9A" w:rsidRPr="00E37FEB" w:rsidRDefault="007224B6">
      <w:pPr>
        <w:pStyle w:val="FirstParagraph"/>
      </w:pPr>
      <w:r w:rsidRPr="00E37FEB">
        <w:t xml:space="preserve">Após reconstruir o percurso e a carga a bordo, é preciso estimar quanto combustível foi necessário para realizar esse transporte. Para isso, o sistema usa a </w:t>
      </w:r>
      <w:r w:rsidRPr="00E37FEB">
        <w:rPr>
          <w:b/>
        </w:rPr>
        <w:t>intensidade de combustível</w:t>
      </w:r>
      <w:r w:rsidRPr="00E37FEB">
        <w:t xml:space="preserve">, isto é, a quantidade de combustível associada ao transporte de uma tonelada por uma milha náutica. A unidade é grama por tonelada-milha náutica, ou </w:t>
      </w:r>
      <m:oMath>
        <m:r>
          <m:rPr>
            <m:sty m:val="p"/>
          </m:rPr>
          <w:rPr>
            <w:rFonts w:ascii="Cambria Math" w:hAnsi="Cambria Math"/>
          </w:rPr>
          <m:t>g/(t⋅nm)</m:t>
        </m:r>
      </m:oMath>
      <w:r w:rsidRPr="00E37FEB">
        <w:t>.</w:t>
      </w:r>
    </w:p>
    <w:p w14:paraId="3879AC68" w14:textId="77777777" w:rsidR="000F1D9A" w:rsidRPr="00E37FEB" w:rsidRDefault="007224B6">
      <w:pPr>
        <w:pStyle w:val="Corpodetexto"/>
      </w:pPr>
      <w:r w:rsidRPr="00E37FEB">
        <w:t xml:space="preserve">Esse indicador é uma razão, e não o consumo total de uma viagem. Uma intensidade de </w:t>
      </w:r>
      <m:oMath>
        <m:r>
          <w:rPr>
            <w:rFonts w:ascii="Cambria Math" w:hAnsi="Cambria Math"/>
          </w:rPr>
          <m:t>7,43 </m:t>
        </m:r>
        <m:r>
          <m:rPr>
            <m:sty m:val="p"/>
          </m:rPr>
          <w:rPr>
            <w:rFonts w:ascii="Cambria Math" w:hAnsi="Cambria Math"/>
          </w:rPr>
          <m:t>g/(t⋅nm)</m:t>
        </m:r>
      </m:oMath>
      <w:r w:rsidRPr="00E37FEB">
        <w:t>, por exemplo, significa que, em média, são associados 7,43 g de combustível a cada tonelada transportada por uma milha náutica. Assim, ele permite comparar navios e viagens de tamanhos diferentes. O consumo total de cada viagem só é obtido posteriormente, ao multiplicar essa intensidade pelo trabalho de transporte reconstruído, conforme a Seção 3.3.4.3.</w:t>
      </w:r>
    </w:p>
    <w:p w14:paraId="2ED7D777" w14:textId="77777777" w:rsidR="000F1D9A" w:rsidRPr="00E37FEB" w:rsidRDefault="007224B6">
      <w:pPr>
        <w:pStyle w:val="Ttulo5"/>
      </w:pPr>
      <w:bookmarkStart w:id="37" w:name="valor-individual-do-navio-no-eu-mrv"/>
      <w:r w:rsidRPr="00E37FEB">
        <w:t>3.3.4.2.1 Valor individual do navio no EU MRV</w:t>
      </w:r>
      <w:bookmarkEnd w:id="37"/>
    </w:p>
    <w:p w14:paraId="2971C739" w14:textId="77777777" w:rsidR="000F1D9A" w:rsidRPr="00E37FEB" w:rsidRDefault="007224B6">
      <w:pPr>
        <w:pStyle w:val="FirstParagraph"/>
      </w:pPr>
      <w:r w:rsidRPr="00E37FEB">
        <w:t xml:space="preserve">A ANTAQ informa por onde o navio passou e qual carga levava, mas não informa diretamente o combustível consumido. Esse dado vem da base de </w:t>
      </w:r>
      <w:r w:rsidRPr="00E37FEB">
        <w:rPr>
          <w:b/>
        </w:rPr>
        <w:t>Monitoramento, Reporte e Verificação da União Europeia</w:t>
      </w:r>
      <w:r w:rsidRPr="00E37FEB">
        <w:t xml:space="preserve"> (</w:t>
      </w:r>
      <w:r w:rsidRPr="00E37FEB">
        <w:rPr>
          <w:i/>
        </w:rPr>
        <w:t>European Union Monitoring, Reporting and Verification</w:t>
      </w:r>
      <w:r w:rsidRPr="00E37FEB">
        <w:t>, EU MRV), que publica indicadores anuais de consumo, atividade e emissões por embarcação. O número IMO registrado na ANTAQ permite procurar o mesmo navio nessa base.</w:t>
      </w:r>
    </w:p>
    <w:p w14:paraId="0CF4AB21" w14:textId="77777777" w:rsidR="000F1D9A" w:rsidRPr="00E37FEB" w:rsidRDefault="007224B6">
      <w:pPr>
        <w:pStyle w:val="Corpodetexto"/>
      </w:pPr>
      <w:r w:rsidRPr="00E37FEB">
        <w:t xml:space="preserve">Na viagem </w:t>
      </w:r>
      <w:r w:rsidRPr="00E37FEB">
        <w:rPr>
          <w:rStyle w:val="VerbatimChar"/>
        </w:rPr>
        <w:t>voyage_9612791_00011</w:t>
      </w:r>
      <w:r w:rsidRPr="00E37FEB">
        <w:t xml:space="preserve">, o IMO 9612791 foi encontrado diretamente no EU MRV, com intensidade de </w:t>
      </w:r>
      <m:oMath>
        <m:r>
          <w:rPr>
            <w:rFonts w:ascii="Cambria Math" w:hAnsi="Cambria Math"/>
          </w:rPr>
          <m:t>7,43 </m:t>
        </m:r>
        <m:r>
          <m:rPr>
            <m:sty m:val="p"/>
          </m:rPr>
          <w:rPr>
            <w:rFonts w:ascii="Cambria Math" w:hAnsi="Cambria Math"/>
          </w:rPr>
          <m:t>g/(t⋅nm)</m:t>
        </m:r>
      </m:oMath>
      <w:r w:rsidRPr="00E37FEB">
        <w:t xml:space="preserve"> (EMSA, 2026). A Tabela 6 mostra os campos usados nessa correspondência.</w:t>
      </w:r>
    </w:p>
    <w:p w14:paraId="2155C72A" w14:textId="77777777" w:rsidR="000F1D9A" w:rsidRPr="00E37FEB" w:rsidRDefault="007224B6" w:rsidP="00E37FEB">
      <w:pPr>
        <w:pStyle w:val="TtulodeTabelaCL"/>
      </w:pPr>
      <w:r w:rsidRPr="00E37FEB">
        <w:t xml:space="preserve">Tabela 6 — Dados do EU MRV usados para a viagem </w:t>
      </w:r>
      <w:r w:rsidRPr="00E37FEB">
        <w:rPr>
          <w:rStyle w:val="VerbatimChar"/>
        </w:rPr>
        <w:t>voyage_9612791_00011</w:t>
      </w:r>
      <w:r w:rsidRPr="00E37FEB">
        <w:t>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2615"/>
        <w:gridCol w:w="2889"/>
        <w:gridCol w:w="3569"/>
      </w:tblGrid>
      <w:tr w:rsidR="000F1D9A" w:rsidRPr="00E37FEB" w14:paraId="3A66BE01" w14:textId="77777777" w:rsidTr="00E37FEB">
        <w:trPr>
          <w:tblHeader/>
          <w:jc w:val="center"/>
        </w:trPr>
        <w:tc>
          <w:tcPr>
            <w:tcW w:w="1441" w:type="pct"/>
            <w:shd w:val="clear" w:color="auto" w:fill="E8EEF5"/>
            <w:vAlign w:val="center"/>
          </w:tcPr>
          <w:p w14:paraId="72C6563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F</w:t>
            </w:r>
            <w:r w:rsidRPr="00E37FEB">
              <w:rPr>
                <w:b/>
                <w:sz w:val="18"/>
              </w:rPr>
              <w:t>onte ou campo</w:t>
            </w:r>
          </w:p>
        </w:tc>
        <w:tc>
          <w:tcPr>
            <w:tcW w:w="1592" w:type="pct"/>
            <w:shd w:val="clear" w:color="auto" w:fill="E8EEF5"/>
            <w:vAlign w:val="center"/>
          </w:tcPr>
          <w:p w14:paraId="3DE78D5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Valor usado</w:t>
            </w:r>
          </w:p>
        </w:tc>
        <w:tc>
          <w:tcPr>
            <w:tcW w:w="1967" w:type="pct"/>
            <w:shd w:val="clear" w:color="auto" w:fill="E8EEF5"/>
            <w:vAlign w:val="center"/>
          </w:tcPr>
          <w:p w14:paraId="7727514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Papel no cálculo</w:t>
            </w:r>
          </w:p>
        </w:tc>
      </w:tr>
      <w:tr w:rsidR="000F1D9A" w:rsidRPr="00E37FEB" w14:paraId="2E954EE5" w14:textId="77777777" w:rsidTr="00E37FEB">
        <w:trPr>
          <w:jc w:val="center"/>
        </w:trPr>
        <w:tc>
          <w:tcPr>
            <w:tcW w:w="1441" w:type="pct"/>
            <w:vAlign w:val="center"/>
          </w:tcPr>
          <w:p w14:paraId="12940DB3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Arquivo de origem</w:t>
            </w:r>
          </w:p>
        </w:tc>
        <w:tc>
          <w:tcPr>
            <w:tcW w:w="1592" w:type="pct"/>
            <w:vAlign w:val="center"/>
          </w:tcPr>
          <w:p w14:paraId="54DE3DA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2023-v85-08022026-EU MRV Publication of information.xlsx</w:t>
            </w:r>
          </w:p>
        </w:tc>
        <w:tc>
          <w:tcPr>
            <w:tcW w:w="1967" w:type="pct"/>
            <w:vAlign w:val="center"/>
          </w:tcPr>
          <w:p w14:paraId="6CEF2CC4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Publicação anual consultada para obter o indicador do navio.</w:t>
            </w:r>
          </w:p>
        </w:tc>
      </w:tr>
      <w:tr w:rsidR="000F1D9A" w:rsidRPr="00E37FEB" w14:paraId="4E1E480E" w14:textId="77777777" w:rsidTr="00E37FEB">
        <w:trPr>
          <w:jc w:val="center"/>
        </w:trPr>
        <w:tc>
          <w:tcPr>
            <w:tcW w:w="1441" w:type="pct"/>
            <w:vAlign w:val="center"/>
          </w:tcPr>
          <w:p w14:paraId="31006C0D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IMO Number</w:t>
            </w:r>
          </w:p>
        </w:tc>
        <w:tc>
          <w:tcPr>
            <w:tcW w:w="1592" w:type="pct"/>
            <w:vAlign w:val="center"/>
          </w:tcPr>
          <w:p w14:paraId="783E05C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9612791</w:t>
            </w:r>
          </w:p>
        </w:tc>
        <w:tc>
          <w:tcPr>
            <w:tcW w:w="1967" w:type="pct"/>
            <w:vAlign w:val="center"/>
          </w:tcPr>
          <w:p w14:paraId="7E70F2C4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Faz a correspondência direta com as escalas observadas na ANTAQ.</w:t>
            </w:r>
          </w:p>
        </w:tc>
      </w:tr>
      <w:tr w:rsidR="000F1D9A" w:rsidRPr="00E37FEB" w14:paraId="4394402A" w14:textId="77777777" w:rsidTr="00E37FEB">
        <w:trPr>
          <w:jc w:val="center"/>
        </w:trPr>
        <w:tc>
          <w:tcPr>
            <w:tcW w:w="1441" w:type="pct"/>
            <w:vAlign w:val="center"/>
          </w:tcPr>
          <w:p w14:paraId="7ABF2EDA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Ship type</w:t>
            </w:r>
          </w:p>
        </w:tc>
        <w:tc>
          <w:tcPr>
            <w:tcW w:w="1592" w:type="pct"/>
            <w:vAlign w:val="center"/>
          </w:tcPr>
          <w:p w14:paraId="1375655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Container ship</w:t>
            </w:r>
          </w:p>
        </w:tc>
        <w:tc>
          <w:tcPr>
            <w:tcW w:w="1967" w:type="pct"/>
            <w:vAlign w:val="center"/>
          </w:tcPr>
          <w:p w14:paraId="19BEB0E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Classificação do navio informada na base.</w:t>
            </w:r>
          </w:p>
        </w:tc>
      </w:tr>
      <w:tr w:rsidR="000F1D9A" w:rsidRPr="00E37FEB" w14:paraId="4EB63364" w14:textId="77777777" w:rsidTr="00E37FEB">
        <w:trPr>
          <w:jc w:val="center"/>
        </w:trPr>
        <w:tc>
          <w:tcPr>
            <w:tcW w:w="1441" w:type="pct"/>
            <w:vAlign w:val="center"/>
          </w:tcPr>
          <w:p w14:paraId="296E6D5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rStyle w:val="VerbatimChar"/>
                <w:rFonts w:ascii="Calibri" w:hAnsi="Calibri"/>
                <w:sz w:val="18"/>
              </w:rPr>
              <w:t>Annual average Fuel consumption per transport work (mass)</w:t>
            </w:r>
          </w:p>
        </w:tc>
        <w:tc>
          <w:tcPr>
            <w:tcW w:w="1592" w:type="pct"/>
            <w:vAlign w:val="center"/>
          </w:tcPr>
          <w:p w14:paraId="0C65738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m:oMathPara>
              <m:oMath>
                <m:r>
                  <w:rPr>
                    <w:sz w:val="18"/>
                  </w:rPr>
                  <m:t>7,43 </m:t>
                </m:r>
                <m:r>
                  <m:rPr>
                    <m:sty m:val="p"/>
                  </m:rPr>
                  <w:rPr>
                    <w:sz w:val="18"/>
                  </w:rPr>
                  <m:t>g/(t⋅nm)</m:t>
                </m:r>
              </m:oMath>
            </m:oMathPara>
          </w:p>
        </w:tc>
        <w:tc>
          <w:tcPr>
            <w:tcW w:w="1967" w:type="pct"/>
            <w:vAlign w:val="center"/>
          </w:tcPr>
          <w:p w14:paraId="2B0DE27A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Informa a intensidade média de combustível por tonelada-milha náutica do navio.</w:t>
            </w:r>
          </w:p>
        </w:tc>
      </w:tr>
      <w:tr w:rsidR="000F1D9A" w:rsidRPr="00E37FEB" w14:paraId="1F6D7D13" w14:textId="77777777" w:rsidTr="00E37FEB">
        <w:trPr>
          <w:jc w:val="center"/>
        </w:trPr>
        <w:tc>
          <w:tcPr>
            <w:tcW w:w="1441" w:type="pct"/>
            <w:vAlign w:val="center"/>
          </w:tcPr>
          <w:p w14:paraId="3EDE71B3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Regra de seleção</w:t>
            </w:r>
          </w:p>
        </w:tc>
        <w:tc>
          <w:tcPr>
            <w:tcW w:w="1592" w:type="pct"/>
            <w:vAlign w:val="center"/>
          </w:tcPr>
          <w:p w14:paraId="76BCA8D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Valor positivo mais recente para o mesmo IMO</w:t>
            </w:r>
          </w:p>
        </w:tc>
        <w:tc>
          <w:tcPr>
            <w:tcW w:w="1967" w:type="pct"/>
            <w:vAlign w:val="center"/>
          </w:tcPr>
          <w:p w14:paraId="3EA6C8AD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Mantém o indicador individual mais atual disponível para o navio.</w:t>
            </w:r>
          </w:p>
        </w:tc>
      </w:tr>
    </w:tbl>
    <w:p w14:paraId="46640EC7" w14:textId="77777777" w:rsidR="000F1D9A" w:rsidRPr="00E37FEB" w:rsidRDefault="007224B6" w:rsidP="00E37FEB">
      <w:pPr>
        <w:pStyle w:val="FontedeTabelaCL"/>
      </w:pPr>
      <w:r w:rsidRPr="00E37FEB">
        <w:t xml:space="preserve">Fonte: </w:t>
      </w:r>
      <w:hyperlink r:id="rId15">
        <w:r w:rsidRPr="00E37FEB">
          <w:rPr>
            <w:rStyle w:val="Hyperlink"/>
          </w:rPr>
          <w:t>THETIS-MRV, Agência Europeia de Segurança Marítima (EMSA)</w:t>
        </w:r>
      </w:hyperlink>
      <w:r w:rsidRPr="00E37FEB">
        <w:t>, publicação anual de informações do EU MRV.</w:t>
      </w:r>
    </w:p>
    <w:p w14:paraId="0797D013" w14:textId="77777777" w:rsidR="000F1D9A" w:rsidRPr="00E37FEB" w:rsidRDefault="007224B6">
      <w:pPr>
        <w:pStyle w:val="Corpodetexto"/>
      </w:pPr>
      <w:r w:rsidRPr="00E37FEB">
        <w:lastRenderedPageBreak/>
        <w:t>O</w:t>
      </w:r>
      <w:r w:rsidRPr="00E37FEB">
        <w:t xml:space="preserve"> sistema procura primeiro o mesmo IMO no EU MRV. Quando encontra o mesmo navio em mais de um ano, usa o indicador positivo mais recente. Esse é o caso preferencial, pois a intensidade pertence ao navio que aparece nos registros da ANTAQ. Quando não há correspondência individual, ou quando o valor individual é estatisticamente muito fora do padrão do seu tipo de navio, o sistema usa uma estimativa documentada de um grupo semelhante. As regras para isso são apresentadas a seguir.</w:t>
      </w:r>
    </w:p>
    <w:p w14:paraId="66160BF7" w14:textId="77777777" w:rsidR="000F1D9A" w:rsidRPr="00E37FEB" w:rsidRDefault="007224B6">
      <w:pPr>
        <w:pStyle w:val="Ttulo5"/>
      </w:pPr>
      <w:bookmarkStart w:id="38" w:name="valores-atípicos-p95-e-estatística-robus"/>
      <w:r w:rsidRPr="00E37FEB">
        <w:t>3.3.4.2.2 Valores atípicos, P95 e estatística robusta</w:t>
      </w:r>
      <w:bookmarkEnd w:id="38"/>
    </w:p>
    <w:p w14:paraId="76D6033B" w14:textId="77777777" w:rsidR="000F1D9A" w:rsidRPr="00E37FEB" w:rsidRDefault="007224B6">
      <w:pPr>
        <w:pStyle w:val="FirstParagraph"/>
      </w:pPr>
      <w:r w:rsidRPr="00E37FEB">
        <w:t>Um valor alto publicado no EU MRV não é descartado por ser necessariamente incorreto. Ainda assim, ele pode ser muito diferente dos navios comparáveis e, se usado sem verificação, pode distorcer a intensidade média de uma ligação. Por esse motivo, o sistema compara a intensidade individual com as intensidades dos navios do mesmo tipo.</w:t>
      </w:r>
    </w:p>
    <w:p w14:paraId="0B46DBFB" w14:textId="77777777" w:rsidR="000F1D9A" w:rsidRPr="00E37FEB" w:rsidRDefault="007224B6">
      <w:pPr>
        <w:pStyle w:val="Corpodetexto"/>
      </w:pPr>
      <w:r w:rsidRPr="00E37FEB">
        <w:t>O percentil 95 (P95) é o ponto abaixo do qual estão 95% dos valores do grupo ordenado. Em outras palavras, após ordenar as intensidades de todos os navios de um tipo, apenas os 5% maiores ficam acima do P95. A regra só é aplicada quando há pelo menos 20 navios no grupo, para que essa comparação tenha uma base mínima.</w:t>
      </w:r>
    </w:p>
    <w:p w14:paraId="3871F53D" w14:textId="77777777" w:rsidR="000F1D9A" w:rsidRPr="00E37FEB" w:rsidRDefault="007224B6">
      <w:pPr>
        <w:pStyle w:val="Corpodetexto"/>
      </w:pPr>
      <w:r w:rsidRPr="00E37FEB">
        <w:t xml:space="preserve">No grupo de 243 navios classificados como </w:t>
      </w:r>
      <w:r w:rsidRPr="00E37FEB">
        <w:rPr>
          <w:i/>
        </w:rPr>
        <w:t>container ship</w:t>
      </w:r>
      <w:r w:rsidRPr="00E37FEB">
        <w:t xml:space="preserve">, o P95 é </w:t>
      </w:r>
      <m:oMath>
        <m:r>
          <w:rPr>
            <w:rFonts w:ascii="Cambria Math" w:hAnsi="Cambria Math"/>
          </w:rPr>
          <m:t>24,073 </m:t>
        </m:r>
        <m:r>
          <m:rPr>
            <m:sty m:val="p"/>
          </m:rPr>
          <w:rPr>
            <w:rFonts w:ascii="Cambria Math" w:hAnsi="Cambria Math"/>
          </w:rPr>
          <m:t>g/(t⋅nm)</m:t>
        </m:r>
      </m:oMath>
      <w:r w:rsidRPr="00E37FEB">
        <w:t>. O navio de IMO 9603221 (</w:t>
      </w:r>
      <w:r w:rsidRPr="00E37FEB">
        <w:rPr>
          <w:i/>
        </w:rPr>
        <w:t>Fernão de Magalhães</w:t>
      </w:r>
      <w:r w:rsidRPr="00E37FEB">
        <w:t xml:space="preserve">), por exemplo, possui valor individual de </w:t>
      </w:r>
      <m:oMath>
        <m:r>
          <w:rPr>
            <w:rFonts w:ascii="Cambria Math" w:hAnsi="Cambria Math"/>
          </w:rPr>
          <m:t>228,83 </m:t>
        </m:r>
        <m:r>
          <m:rPr>
            <m:sty m:val="p"/>
          </m:rPr>
          <w:rPr>
            <w:rFonts w:ascii="Cambria Math" w:hAnsi="Cambria Math"/>
          </w:rPr>
          <m:t>g/(t⋅nm)</m:t>
        </m:r>
      </m:oMath>
      <w:r w:rsidRPr="00E37FEB">
        <w:t xml:space="preserve">, acima desse limite. A viagem observada não é retirada: suas escalas, distâncias e carga a bordo continuam no cálculo. O que muda é somente a intensidade aplicada a ela. Quando há uma estimativa de classe disponível, ela é usada; caso contrário, aplica-se a estimativa robusta do tipo </w:t>
      </w:r>
      <w:r w:rsidRPr="00E37FEB">
        <w:rPr>
          <w:i/>
        </w:rPr>
        <w:t>container ship</w:t>
      </w:r>
      <w:r w:rsidRPr="00E37FEB">
        <w:t xml:space="preserve">, de </w:t>
      </w:r>
      <m:oMath>
        <m:r>
          <w:rPr>
            <w:rFonts w:ascii="Cambria Math" w:hAnsi="Cambria Math"/>
          </w:rPr>
          <m:t>9,322050 </m:t>
        </m:r>
        <m:r>
          <m:rPr>
            <m:sty m:val="p"/>
          </m:rPr>
          <w:rPr>
            <w:rFonts w:ascii="Cambria Math" w:hAnsi="Cambria Math"/>
          </w:rPr>
          <m:t>g/(t⋅nm)</m:t>
        </m:r>
      </m:oMath>
      <w:r w:rsidRPr="00E37FEB">
        <w:t>.</w:t>
      </w:r>
    </w:p>
    <w:p w14:paraId="06DA02D3" w14:textId="77777777" w:rsidR="000F1D9A" w:rsidRPr="00E37FEB" w:rsidRDefault="007224B6">
      <w:pPr>
        <w:pStyle w:val="Corpodetexto"/>
      </w:pPr>
      <w:r w:rsidRPr="00E37FEB">
        <w:t xml:space="preserve">O P95 e a estatística robusta têm funções diferentes. Enquanto P95 identifica quando o valor individual é excepcionalmente alto para seu grupo, a estatística robusta produz o valor de grupo que será usado quando o IMO estiver ausente ou quando o valor individual precisar ser substituído. Tanto para a </w:t>
      </w:r>
      <w:r w:rsidRPr="00E37FEB">
        <w:rPr>
          <w:b/>
        </w:rPr>
        <w:t>classe</w:t>
      </w:r>
      <w:r w:rsidRPr="00E37FEB">
        <w:t xml:space="preserve"> como para o </w:t>
      </w:r>
      <w:r w:rsidRPr="00E37FEB">
        <w:rPr>
          <w:b/>
        </w:rPr>
        <w:t>tipo</w:t>
      </w:r>
      <w:r w:rsidRPr="00E37FEB">
        <w:t xml:space="preserve"> do navio, o sistema usa a </w:t>
      </w:r>
      <w:r w:rsidRPr="00E37FEB">
        <w:rPr>
          <w:b/>
        </w:rPr>
        <w:t>média aparada disponível</w:t>
      </w:r>
      <w:r w:rsidRPr="00E37FEB">
        <w:t>, que exclui valores abaixo do percentil 1 e acima do percentil 99 e calcula a média dos valores restantes como intensidade desse grupo.</w:t>
      </w:r>
    </w:p>
    <w:p w14:paraId="74AB0E13" w14:textId="77777777" w:rsidR="000F1D9A" w:rsidRPr="00E37FEB" w:rsidRDefault="007224B6">
      <w:pPr>
        <w:pStyle w:val="Corpodetexto"/>
      </w:pPr>
      <w:r w:rsidRPr="00E37FEB">
        <w:t>Essas regras evitam que poucos valores extremos definam a estimativa coletiva. Elas não foram criadas para escolher um resultado mais baixo: a mesma regra é aplicada a todos os grupos e sua aplicação fica registrada na saída do cálculo, com a estatística usada, o tamanho da amostra e a quantidade de valores retirados. Esse uso do P95 trata apenas a intensidade individual do navio; o uso do P95 para a distância marítima representativa é descrito separadamente na Seção 3.3.4.4.</w:t>
      </w:r>
    </w:p>
    <w:p w14:paraId="6147DC4C" w14:textId="77777777" w:rsidR="000F1D9A" w:rsidRPr="00E37FEB" w:rsidRDefault="007224B6">
      <w:pPr>
        <w:pStyle w:val="Ttulo5"/>
      </w:pPr>
      <w:bookmarkStart w:id="39" w:name="estimativa-quando-não-há-valor-individua"/>
      <w:r w:rsidRPr="00E37FEB">
        <w:t>3.3.4.2.3 Estimativa quando não há valor individual</w:t>
      </w:r>
      <w:bookmarkEnd w:id="39"/>
    </w:p>
    <w:p w14:paraId="1CDB30F2" w14:textId="77777777" w:rsidR="000F1D9A" w:rsidRPr="00E37FEB" w:rsidRDefault="007224B6">
      <w:pPr>
        <w:pStyle w:val="FirstParagraph"/>
      </w:pPr>
      <w:r w:rsidRPr="00E37FEB">
        <w:t xml:space="preserve">Nem todos os navios que operam no Brasil aparecem na base europeia. Nessa situação, o sistema continua usando a própria base EU MRV, mas procura um grupo de embarcações semelhantes. </w:t>
      </w:r>
      <w:r w:rsidRPr="00E37FEB">
        <w:lastRenderedPageBreak/>
        <w:t xml:space="preserve">Primeiro, procura a classe do navio, que é o grupo mais específico disponível. Se não houver uma estatística utilizável para essa classe, procura o tipo do navio, categoria mais ampla, como </w:t>
      </w:r>
      <w:r w:rsidRPr="00E37FEB">
        <w:rPr>
          <w:i/>
        </w:rPr>
        <w:t>container ship</w:t>
      </w:r>
      <w:r w:rsidRPr="00E37FEB">
        <w:t>. O resultado é identificado como estimativa da classe ou do tipo; ele não é apresentado como se fosse uma medição individual do navio ausente.</w:t>
      </w:r>
    </w:p>
    <w:p w14:paraId="1FF16585" w14:textId="77777777" w:rsidR="000F1D9A" w:rsidRPr="00E37FEB" w:rsidRDefault="007224B6">
      <w:pPr>
        <w:pStyle w:val="Corpodetexto"/>
      </w:pPr>
      <w:r w:rsidRPr="00E37FEB">
        <w:t>Cada recorte recebe, portanto, uma intensidade e uma descrição clara de sua origem: valor individual do IMO, estimativa pela classe ou estimativa pelo tipo.</w:t>
      </w:r>
    </w:p>
    <w:p w14:paraId="0AD05C3D" w14:textId="77777777" w:rsidR="000F1D9A" w:rsidRPr="00E37FEB" w:rsidRDefault="007224B6">
      <w:pPr>
        <w:pStyle w:val="Ttulo5"/>
      </w:pPr>
      <w:bookmarkStart w:id="40" w:name="exemplo-de-estimativa-pelo-tipo-de-navio"/>
      <w:r w:rsidRPr="00E37FEB">
        <w:t>3.3.4.2.4 Exemplo de estimativa pelo tipo de navio</w:t>
      </w:r>
      <w:bookmarkEnd w:id="40"/>
    </w:p>
    <w:p w14:paraId="766F371F" w14:textId="77777777" w:rsidR="000F1D9A" w:rsidRPr="00E37FEB" w:rsidRDefault="007224B6">
      <w:pPr>
        <w:pStyle w:val="FirstParagraph"/>
      </w:pPr>
      <w:r w:rsidRPr="00E37FEB">
        <w:t xml:space="preserve">A viagem </w:t>
      </w:r>
      <w:r w:rsidRPr="00E37FEB">
        <w:rPr>
          <w:rStyle w:val="VerbatimChar"/>
        </w:rPr>
        <w:t>voyage_9974486_00001</w:t>
      </w:r>
      <w:r w:rsidRPr="00E37FEB">
        <w:t xml:space="preserve">, realizada pelo navio de IMO 9974486, passou por Paranaguá, Rio de Janeiro e Salvador. Esse IMO aparece nos registros da ANTAQ, mas não possui correspondência individual no EU MRV. Como o registro também não traz uma classe mais específica, o sistema usa os dados do tipo documentado </w:t>
      </w:r>
      <w:r w:rsidRPr="00E37FEB">
        <w:rPr>
          <w:i/>
        </w:rPr>
        <w:t>container ship</w:t>
      </w:r>
      <w:r w:rsidRPr="00E37FEB">
        <w:t xml:space="preserve"> na própria base do EU MRV.</w:t>
      </w:r>
    </w:p>
    <w:p w14:paraId="23A28B7C" w14:textId="77777777" w:rsidR="000F1D9A" w:rsidRPr="00E37FEB" w:rsidRDefault="007224B6">
      <w:pPr>
        <w:pStyle w:val="Corpodetexto"/>
      </w:pPr>
      <w:r w:rsidRPr="00E37FEB">
        <w:t xml:space="preserve">Para formar esse valor, o sistema reuniu um indicador positivo e mais recente de cada um dos 243 navios classificados como </w:t>
      </w:r>
      <w:r w:rsidRPr="00E37FEB">
        <w:rPr>
          <w:i/>
        </w:rPr>
        <w:t>container ship</w:t>
      </w:r>
      <w:r w:rsidRPr="00E37FEB">
        <w:t xml:space="preserve"> </w:t>
      </w:r>
      <w:r w:rsidRPr="00E37FEB">
        <w:t>no EU MRV. Após ordenar os valores, retirou os dois menores e os dois maiores, que são os valores removidos pela regra de 1% em cada extremidade. Restaram 239 valores para o cálculo:</w:t>
      </w:r>
    </w:p>
    <w:p w14:paraId="2DCDEB31" w14:textId="77777777" w:rsidR="000F1D9A" w:rsidRPr="00E37FEB" w:rsidRDefault="007224B6">
      <w:pPr>
        <w:pStyle w:val="Corpodetex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container ship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239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239</m:t>
              </m:r>
            </m:den>
          </m:f>
          <m:r>
            <w:rPr>
              <w:rFonts w:ascii="Cambria Math" w:hAnsi="Cambria Math"/>
            </w:rPr>
            <m:t>=9,322050 </m:t>
          </m:r>
          <m:r>
            <m:rPr>
              <m:sty m:val="p"/>
            </m:rPr>
            <w:rPr>
              <w:rFonts w:ascii="Cambria Math" w:hAnsi="Cambria Math"/>
            </w:rPr>
            <m:t>g/(t⋅nm)</m:t>
          </m:r>
          <m:r>
            <w:rPr>
              <w:rFonts w:ascii="Cambria Math" w:hAnsi="Cambria Math"/>
            </w:rPr>
            <m:t>.</m:t>
          </m:r>
        </m:oMath>
      </m:oMathPara>
    </w:p>
    <w:p w14:paraId="4FC473CB" w14:textId="77777777" w:rsidR="000F1D9A" w:rsidRPr="00E37FEB" w:rsidRDefault="007224B6">
      <w:pPr>
        <w:pStyle w:val="FirstParagraph"/>
      </w:pPr>
      <w:r w:rsidRPr="00E37FEB">
        <w:t xml:space="preserve">Nessa fórmula,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container ship</m:t>
            </m:r>
          </m:sub>
        </m:sSub>
      </m:oMath>
      <w:r w:rsidRPr="00E37FEB">
        <w:t xml:space="preserve"> é a intensidade média aparada do tipo </w:t>
      </w:r>
      <w:r w:rsidRPr="00E37FEB">
        <w:rPr>
          <w:i/>
        </w:rPr>
        <w:t>container ship</w:t>
      </w:r>
      <w:r w:rsidRPr="00E37FEB"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E37FEB">
        <w:t xml:space="preserve"> é a intensidade do </w:t>
      </w:r>
      <m:oMath>
        <m:r>
          <w:rPr>
            <w:rFonts w:ascii="Cambria Math" w:hAnsi="Cambria Math"/>
          </w:rPr>
          <m:t>j</m:t>
        </m:r>
      </m:oMath>
      <w:r w:rsidRPr="00E37FEB">
        <w:t xml:space="preserve">-ésimo navio mantido após a retirada dos valores extremos; e </w:t>
      </w:r>
      <m:oMath>
        <m:r>
          <w:rPr>
            <w:rFonts w:ascii="Cambria Math" w:hAnsi="Cambria Math"/>
          </w:rPr>
          <m:t>j</m:t>
        </m:r>
      </m:oMath>
      <w:r w:rsidRPr="00E37FEB">
        <w:t xml:space="preserve"> percorre os 239 valores restantes.</w:t>
      </w:r>
    </w:p>
    <w:p w14:paraId="3E9B070A" w14:textId="77777777" w:rsidR="000F1D9A" w:rsidRPr="00E37FEB" w:rsidRDefault="007224B6">
      <w:pPr>
        <w:pStyle w:val="Corpodetexto"/>
      </w:pPr>
      <w:r w:rsidRPr="00E37FEB">
        <w:t>Portanto, todos os subtrechos dessa viagem recebem a intensidade de</w:t>
      </w:r>
      <w:r w:rsidRPr="00E37FEB">
        <w:t xml:space="preserve"> </w:t>
      </w:r>
      <m:oMath>
        <m:r>
          <w:rPr>
            <w:rFonts w:ascii="Cambria Math" w:hAnsi="Cambria Math"/>
          </w:rPr>
          <m:t>9,322050 </m:t>
        </m:r>
        <m:r>
          <m:rPr>
            <m:sty m:val="p"/>
          </m:rPr>
          <w:rPr>
            <w:rFonts w:ascii="Cambria Math" w:hAnsi="Cambria Math"/>
          </w:rPr>
          <m:t>g/(t⋅nm)</m:t>
        </m:r>
      </m:oMath>
      <w:r w:rsidRPr="00E37FEB">
        <w:t xml:space="preserve">. A saída identifica esse número como uma estimativa baseada no tipo </w:t>
      </w:r>
      <w:r w:rsidRPr="00E37FEB">
        <w:rPr>
          <w:i/>
        </w:rPr>
        <w:t>container ship</w:t>
      </w:r>
      <w:r w:rsidRPr="00E37FEB">
        <w:t>, e não como uma medição do navio de IMO 9974486.</w:t>
      </w:r>
    </w:p>
    <w:p w14:paraId="5C69F1BC" w14:textId="77777777" w:rsidR="000F1D9A" w:rsidRPr="00E37FEB" w:rsidRDefault="007224B6">
      <w:pPr>
        <w:pStyle w:val="Ttulo4"/>
      </w:pPr>
      <w:bookmarkStart w:id="41" w:name="trabalho-de-transporte-e-intensidade-da-"/>
      <w:bookmarkStart w:id="42" w:name="_Toc235532515"/>
      <w:r w:rsidRPr="00E37FEB">
        <w:t>3.3.4.3 Trabalho de transporte e intensidade da ligação</w:t>
      </w:r>
      <w:bookmarkEnd w:id="41"/>
      <w:bookmarkEnd w:id="42"/>
    </w:p>
    <w:p w14:paraId="676B90BC" w14:textId="77777777" w:rsidR="000F1D9A" w:rsidRPr="00E37FEB" w:rsidRDefault="007224B6">
      <w:pPr>
        <w:pStyle w:val="FirstParagraph"/>
      </w:pPr>
      <w:r w:rsidRPr="00E37FEB">
        <w:t>Uma ligação entre dois portos não corresponde, necessariamente, a uma única viagem nem a uma única sequência de escalas. Para representar Santos–Manaus, por exemplo, o sistema aproveita cada recorte histórico que começou em Santos e chegou a Manaus na mesma viagem e no mesmo sentido, independentemente do número de paradas. Um recorte só entra nessa consolidação quando a origem e o destino são portos distintos da mesma viagem, aparecem na ordem do cenário e todos os subtrechos entre eles têm distância dispon</w:t>
      </w:r>
      <w:r w:rsidRPr="00E37FEB">
        <w:t>ível. Se o navio repete a mesma ligação, o sistema usa o recorte direto; se não houver um, usa o recorte completo mais curto, evitando que a mesma viagem seja contada duas vezes. Antes de reunir esses recortes em uma única intensidade, ele calcula quanto transporte foi realizado em cada um deles. A ideia é ponderar a média das intensidades pela quantidade de carga que de fato foi transportada naquele trecho.</w:t>
      </w:r>
    </w:p>
    <w:p w14:paraId="249C7B87" w14:textId="77777777" w:rsidR="000F1D9A" w:rsidRPr="00E37FEB" w:rsidRDefault="007224B6">
      <w:pPr>
        <w:pStyle w:val="Corpodetexto"/>
      </w:pPr>
      <w:r w:rsidRPr="00E37FEB">
        <w:lastRenderedPageBreak/>
        <w:t xml:space="preserve">Esse cálculo usa o trabalho de transporte. Em cada subtrecho, a carga a bordo é multiplicada pela distância percorrida; em seguida, os resultados dos subtrechos são somados. Para cada recorte válido </w:t>
      </w:r>
      <m:oMath>
        <m:r>
          <w:rPr>
            <w:rFonts w:ascii="Cambria Math" w:hAnsi="Cambria Math"/>
          </w:rPr>
          <m:t>v</m:t>
        </m:r>
      </m:oMath>
      <w:r w:rsidRPr="00E37FEB">
        <w:t xml:space="preserve">, extraído de uma viagem reconstruída, o trabalho entre a origem </w:t>
      </w:r>
      <m:oMath>
        <m:r>
          <w:rPr>
            <w:rFonts w:ascii="Cambria Math" w:hAnsi="Cambria Math"/>
          </w:rPr>
          <m:t>o</m:t>
        </m:r>
      </m:oMath>
      <w:r w:rsidRPr="00E37FEB">
        <w:t xml:space="preserve"> e o destino </w:t>
      </w:r>
      <m:oMath>
        <m:r>
          <w:rPr>
            <w:rFonts w:ascii="Cambria Math" w:hAnsi="Cambria Math"/>
          </w:rPr>
          <m:t>d</m:t>
        </m:r>
      </m:oMath>
      <w:r w:rsidRPr="00E37FEB">
        <w:t xml:space="preserve"> é:</w:t>
      </w:r>
    </w:p>
    <w:p w14:paraId="223BADDB" w14:textId="77777777" w:rsidR="000F1D9A" w:rsidRPr="00E37FEB" w:rsidRDefault="007224B6">
      <w:pPr>
        <w:pStyle w:val="Corpodetex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o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nary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66896CCB" w14:textId="77777777" w:rsidR="000F1D9A" w:rsidRPr="00E37FEB" w:rsidRDefault="007224B6">
      <w:pPr>
        <w:pStyle w:val="FirstParagraph"/>
      </w:pPr>
      <w:r w:rsidRPr="00E37FEB">
        <w:t xml:space="preserve">Nessa fórmula,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o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d</m:t>
            </m:r>
          </m:sub>
        </m:sSub>
      </m:oMath>
      <w:r w:rsidRPr="00E37FEB">
        <w:t xml:space="preserve"> é o conjunto de subtrechos entre os dois portos,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</m:oMath>
      <w:r w:rsidRPr="00E37FEB">
        <w:t xml:space="preserve"> é a carga a bordo no subtrecho </w:t>
      </w:r>
      <m:oMath>
        <m:r>
          <w:rPr>
            <w:rFonts w:ascii="Cambria Math" w:hAnsi="Cambria Math"/>
          </w:rPr>
          <m:t>s</m:t>
        </m:r>
      </m:oMath>
      <w:r w:rsidRPr="00E37FEB">
        <w:t xml:space="preserve">, em toneladas,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</m:oMath>
      <w:r w:rsidRPr="00E37FEB">
        <w:t xml:space="preserve"> </w:t>
      </w:r>
      <w:r w:rsidRPr="00E37FEB">
        <w:t xml:space="preserve">é a distância correspondente, em milhas náuticas. O resultado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o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d</m:t>
            </m:r>
          </m:sub>
        </m:sSub>
      </m:oMath>
      <w:r w:rsidRPr="00E37FEB">
        <w:t xml:space="preserve"> é expresso em tonelada-milha náutica (</w:t>
      </w:r>
      <m:oMath>
        <m:r>
          <m:rPr>
            <m:sty m:val="p"/>
          </m:rPr>
          <w:rPr>
            <w:rFonts w:ascii="Cambria Math" w:hAnsi="Cambria Math"/>
          </w:rPr>
          <m:t>t⋅nm</m:t>
        </m:r>
      </m:oMath>
      <w:r w:rsidRPr="00E37FEB">
        <w:t>). Portanto, um recorte recebe mais peso quando transporta mais carga, percorre uma distância maior ou reúne as duas condições.</w:t>
      </w:r>
    </w:p>
    <w:p w14:paraId="411F9777" w14:textId="77777777" w:rsidR="000F1D9A" w:rsidRPr="00E37FEB" w:rsidRDefault="007224B6">
      <w:pPr>
        <w:pStyle w:val="Corpodetexto"/>
      </w:pPr>
      <w:r w:rsidRPr="00E37FEB">
        <w:t xml:space="preserve">O exemplo real da viagem </w:t>
      </w:r>
      <w:r w:rsidRPr="00E37FEB">
        <w:rPr>
          <w:rStyle w:val="VerbatimChar"/>
        </w:rPr>
        <w:t>voyage_9612791_00011</w:t>
      </w:r>
      <w:r w:rsidRPr="00E37FEB">
        <w:t xml:space="preserve"> mostra por que a carga precisa ser reconstruída trecho a trecho. Entre Santos e Manaus, o navio passou por Suape e Pecém; a carga a bordo mudou em cada escala.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2504"/>
        <w:gridCol w:w="1818"/>
        <w:gridCol w:w="1586"/>
        <w:gridCol w:w="3165"/>
      </w:tblGrid>
      <w:tr w:rsidR="000F1D9A" w:rsidRPr="00E37FEB" w14:paraId="778FCF71" w14:textId="77777777" w:rsidTr="00E37FEB">
        <w:trPr>
          <w:tblHeader/>
          <w:jc w:val="center"/>
        </w:trPr>
        <w:tc>
          <w:tcPr>
            <w:tcW w:w="1380" w:type="pct"/>
            <w:shd w:val="clear" w:color="auto" w:fill="E8EEF5"/>
            <w:vAlign w:val="center"/>
          </w:tcPr>
          <w:p w14:paraId="74028366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Subtrecho observado</w:t>
            </w:r>
          </w:p>
        </w:tc>
        <w:tc>
          <w:tcPr>
            <w:tcW w:w="1002" w:type="pct"/>
            <w:shd w:val="clear" w:color="auto" w:fill="E8EEF5"/>
            <w:vAlign w:val="center"/>
          </w:tcPr>
          <w:p w14:paraId="1F77D1B9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Carga a bordo (t)</w:t>
            </w:r>
          </w:p>
        </w:tc>
        <w:tc>
          <w:tcPr>
            <w:tcW w:w="874" w:type="pct"/>
            <w:shd w:val="clear" w:color="auto" w:fill="E8EEF5"/>
            <w:vAlign w:val="center"/>
          </w:tcPr>
          <w:p w14:paraId="52B56ED0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Distância (nm)</w:t>
            </w:r>
          </w:p>
        </w:tc>
        <w:tc>
          <w:tcPr>
            <w:tcW w:w="1745" w:type="pct"/>
            <w:shd w:val="clear" w:color="auto" w:fill="E8EEF5"/>
            <w:vAlign w:val="center"/>
          </w:tcPr>
          <w:p w14:paraId="1568FBC7" w14:textId="197A9368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Trabalho de transporte (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18"/>
                </w:rPr>
                <m:t>t⋅nm</m:t>
              </m:r>
            </m:oMath>
            <w:r w:rsidRPr="00E37FEB">
              <w:rPr>
                <w:b/>
                <w:sz w:val="18"/>
              </w:rPr>
              <w:t>)</w:t>
            </w:r>
          </w:p>
        </w:tc>
      </w:tr>
      <w:tr w:rsidR="000F1D9A" w:rsidRPr="00E37FEB" w14:paraId="2DDAA67C" w14:textId="77777777" w:rsidTr="00E37FEB">
        <w:trPr>
          <w:jc w:val="center"/>
        </w:trPr>
        <w:tc>
          <w:tcPr>
            <w:tcW w:w="1380" w:type="pct"/>
            <w:vAlign w:val="center"/>
          </w:tcPr>
          <w:p w14:paraId="63160D32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Santos → Suape</w:t>
            </w:r>
          </w:p>
        </w:tc>
        <w:tc>
          <w:tcPr>
            <w:tcW w:w="1002" w:type="pct"/>
            <w:vAlign w:val="center"/>
          </w:tcPr>
          <w:p w14:paraId="60052DC6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12.858,754</w:t>
            </w:r>
          </w:p>
        </w:tc>
        <w:tc>
          <w:tcPr>
            <w:tcW w:w="874" w:type="pct"/>
            <w:vAlign w:val="center"/>
          </w:tcPr>
          <w:p w14:paraId="41B9F360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1.259,179</w:t>
            </w:r>
          </w:p>
        </w:tc>
        <w:tc>
          <w:tcPr>
            <w:tcW w:w="1745" w:type="pct"/>
            <w:vAlign w:val="center"/>
          </w:tcPr>
          <w:p w14:paraId="15BA79AD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16.191.476,419</w:t>
            </w:r>
          </w:p>
        </w:tc>
      </w:tr>
      <w:tr w:rsidR="000F1D9A" w:rsidRPr="00E37FEB" w14:paraId="2B45006C" w14:textId="77777777" w:rsidTr="00E37FEB">
        <w:trPr>
          <w:jc w:val="center"/>
        </w:trPr>
        <w:tc>
          <w:tcPr>
            <w:tcW w:w="1380" w:type="pct"/>
            <w:vAlign w:val="center"/>
          </w:tcPr>
          <w:p w14:paraId="3831A536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Suape → Pecém</w:t>
            </w:r>
          </w:p>
        </w:tc>
        <w:tc>
          <w:tcPr>
            <w:tcW w:w="1002" w:type="pct"/>
            <w:vAlign w:val="center"/>
          </w:tcPr>
          <w:p w14:paraId="639BCB00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16.718,333</w:t>
            </w:r>
          </w:p>
        </w:tc>
        <w:tc>
          <w:tcPr>
            <w:tcW w:w="874" w:type="pct"/>
            <w:vAlign w:val="center"/>
          </w:tcPr>
          <w:p w14:paraId="6AC7BCA7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507,806</w:t>
            </w:r>
          </w:p>
        </w:tc>
        <w:tc>
          <w:tcPr>
            <w:tcW w:w="1745" w:type="pct"/>
            <w:vAlign w:val="center"/>
          </w:tcPr>
          <w:p w14:paraId="0B9D43F7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8.489.677,588</w:t>
            </w:r>
          </w:p>
        </w:tc>
      </w:tr>
      <w:tr w:rsidR="000F1D9A" w:rsidRPr="00E37FEB" w14:paraId="363EF15D" w14:textId="77777777" w:rsidTr="00E37FEB">
        <w:trPr>
          <w:jc w:val="center"/>
        </w:trPr>
        <w:tc>
          <w:tcPr>
            <w:tcW w:w="1380" w:type="pct"/>
            <w:vAlign w:val="center"/>
          </w:tcPr>
          <w:p w14:paraId="112DF0BA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Pecém → Manaus</w:t>
            </w:r>
          </w:p>
        </w:tc>
        <w:tc>
          <w:tcPr>
            <w:tcW w:w="1002" w:type="pct"/>
            <w:vAlign w:val="center"/>
          </w:tcPr>
          <w:p w14:paraId="2A78B99B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12.325,900</w:t>
            </w:r>
          </w:p>
        </w:tc>
        <w:tc>
          <w:tcPr>
            <w:tcW w:w="874" w:type="pct"/>
            <w:vAlign w:val="center"/>
          </w:tcPr>
          <w:p w14:paraId="74754553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1.185,594</w:t>
            </w:r>
          </w:p>
        </w:tc>
        <w:tc>
          <w:tcPr>
            <w:tcW w:w="1745" w:type="pct"/>
            <w:vAlign w:val="center"/>
          </w:tcPr>
          <w:p w14:paraId="51F16F12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14.613.514,486</w:t>
            </w:r>
          </w:p>
        </w:tc>
      </w:tr>
      <w:tr w:rsidR="000F1D9A" w:rsidRPr="00E37FEB" w14:paraId="1668B75B" w14:textId="77777777" w:rsidTr="00E37FEB">
        <w:trPr>
          <w:jc w:val="center"/>
        </w:trPr>
        <w:tc>
          <w:tcPr>
            <w:tcW w:w="1380" w:type="pct"/>
            <w:vAlign w:val="center"/>
          </w:tcPr>
          <w:p w14:paraId="27BE3EE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b/>
                <w:sz w:val="18"/>
              </w:rPr>
              <w:t>Total Santos → Manaus</w:t>
            </w:r>
          </w:p>
        </w:tc>
        <w:tc>
          <w:tcPr>
            <w:tcW w:w="1002" w:type="pct"/>
            <w:vAlign w:val="center"/>
          </w:tcPr>
          <w:p w14:paraId="487ED2CB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—</w:t>
            </w:r>
          </w:p>
        </w:tc>
        <w:tc>
          <w:tcPr>
            <w:tcW w:w="874" w:type="pct"/>
            <w:vAlign w:val="center"/>
          </w:tcPr>
          <w:p w14:paraId="44699129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—</w:t>
            </w:r>
          </w:p>
        </w:tc>
        <w:tc>
          <w:tcPr>
            <w:tcW w:w="1745" w:type="pct"/>
            <w:vAlign w:val="center"/>
          </w:tcPr>
          <w:p w14:paraId="20F29C73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b/>
                <w:sz w:val="18"/>
              </w:rPr>
              <w:t>39.294.668,494</w:t>
            </w:r>
          </w:p>
        </w:tc>
      </w:tr>
    </w:tbl>
    <w:p w14:paraId="4A4ECDCA" w14:textId="77777777" w:rsidR="000F1D9A" w:rsidRPr="00E37FEB" w:rsidRDefault="007224B6" w:rsidP="00E37FEB">
      <w:pPr>
        <w:pStyle w:val="FontedeTabelaCL"/>
      </w:pPr>
      <w:r w:rsidRPr="00E37FEB">
        <w:t xml:space="preserve">Fonte: elaboração própria com os registros de Carga e Atracação da ANTAQ, a matriz marítima e a reconstrução da viagem </w:t>
      </w:r>
      <w:r w:rsidRPr="00E37FEB">
        <w:rPr>
          <w:rStyle w:val="VerbatimChar"/>
        </w:rPr>
        <w:t>voyage_9612791_00011</w:t>
      </w:r>
      <w:r w:rsidRPr="00E37FEB">
        <w:t>. Os valores exibidos foram arredondados.</w:t>
      </w:r>
    </w:p>
    <w:p w14:paraId="4C398CE8" w14:textId="77777777" w:rsidR="000F1D9A" w:rsidRPr="00E37FEB" w:rsidRDefault="007224B6">
      <w:pPr>
        <w:pStyle w:val="Corpodetexto"/>
      </w:pPr>
      <w:r w:rsidRPr="00E37FEB">
        <w:t>O</w:t>
      </w:r>
      <w:r w:rsidRPr="00E37FEB">
        <w:t xml:space="preserve"> trabalho de transporte desse recorte é, portanto:</w:t>
      </w:r>
    </w:p>
    <w:p w14:paraId="56DF87E8" w14:textId="77777777" w:rsidR="000F1D9A" w:rsidRPr="00E37FEB" w:rsidRDefault="007224B6">
      <w:pPr>
        <w:pStyle w:val="Corpodetexto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Santos,Manaus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=16.191.476,419+</m:t>
                </m:r>
                <m:r>
                  <w:rPr>
                    <w:rFonts w:ascii="Cambria Math" w:hAnsi="Cambria Math"/>
                  </w:rPr>
                  <m:t>8.489.677,588+14.613.514,486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=39.294.668,494 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t⋅nm</m:t>
                </m:r>
                <m: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 w14:paraId="586DB123" w14:textId="77777777" w:rsidR="000F1D9A" w:rsidRPr="00E37FEB" w:rsidRDefault="007224B6">
      <w:pPr>
        <w:pStyle w:val="FirstParagraph"/>
      </w:pPr>
      <w:r w:rsidRPr="00E37FEB">
        <w:t xml:space="preserve">O IMO 9612791 possui intensidade individual de </w:t>
      </w:r>
      <m:oMath>
        <m:r>
          <w:rPr>
            <w:rFonts w:ascii="Cambria Math" w:hAnsi="Cambria Math"/>
          </w:rPr>
          <m:t>7,43 </m:t>
        </m:r>
        <m:r>
          <m:rPr>
            <m:sty m:val="p"/>
          </m:rPr>
          <w:rPr>
            <w:rFonts w:ascii="Cambria Math" w:hAnsi="Cambria Math"/>
          </w:rPr>
          <m:t>g/(t⋅nm)</m:t>
        </m:r>
      </m:oMath>
      <w:r w:rsidRPr="00E37FEB">
        <w:t xml:space="preserve"> no EU MRV. A massa de VLSFO atribuída a esse recorte observado é:</w:t>
      </w:r>
    </w:p>
    <w:p w14:paraId="03316E1A" w14:textId="77777777" w:rsidR="000F1D9A" w:rsidRPr="00E37FEB" w:rsidRDefault="007224B6">
      <w:pPr>
        <w:pStyle w:val="Corpodetexto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VLSFO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o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1000</m:t>
                    </m:r>
                  </m:den>
                </m:f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7,43×39.294.668,494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</m:t>
                    </m:r>
                  </m:den>
                </m:f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=291.959,387 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kg</m:t>
                </m:r>
                <m: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 w14:paraId="1A597B84" w14:textId="77777777" w:rsidR="000F1D9A" w:rsidRPr="00E37FEB" w:rsidRDefault="007224B6">
      <w:pPr>
        <w:pStyle w:val="FirstParagraph"/>
      </w:pPr>
      <w:r w:rsidRPr="00E37FEB">
        <w:t xml:space="preserve">Nessa fórmula,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VLSFO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v</m:t>
            </m:r>
          </m:sub>
        </m:sSub>
      </m:oMath>
      <w:r w:rsidRPr="00E37FEB">
        <w:t xml:space="preserve"> é a massa de VLSFO atribuída ao recorte, em kg;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E37FEB">
        <w:t xml:space="preserve"> é sua intensidade, em </w:t>
      </w:r>
      <m:oMath>
        <m:r>
          <m:rPr>
            <m:sty m:val="p"/>
          </m:rPr>
          <w:rPr>
            <w:rFonts w:ascii="Cambria Math" w:hAnsi="Cambria Math"/>
          </w:rPr>
          <m:t>g/(t⋅nm)</m:t>
        </m:r>
      </m:oMath>
      <w:r w:rsidRPr="00E37FEB">
        <w:t xml:space="preserve">;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o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d</m:t>
            </m:r>
          </m:sub>
        </m:sSub>
      </m:oMath>
      <w:r w:rsidRPr="00E37FEB">
        <w:t xml:space="preserve"> é seu trabalho de transporte, em </w:t>
      </w:r>
      <m:oMath>
        <m:r>
          <m:rPr>
            <m:sty m:val="p"/>
          </m:rPr>
          <w:rPr>
            <w:rFonts w:ascii="Cambria Math" w:hAnsi="Cambria Math"/>
          </w:rPr>
          <m:t>t⋅nm</m:t>
        </m:r>
      </m:oMath>
      <w:r w:rsidRPr="00E37FEB">
        <w:t>. A divisão por 1.000 converte gramas em quilogramas. Esse valor descreve a atividade histórica daquele recorte. Ele não é somado diretamente ao consumo de uma nova remessa simulada pelo usuário. Seu papel é informar o peso e a intensidade com que esse recorte participa da preparação do indicador Santos–Manaus.</w:t>
      </w:r>
    </w:p>
    <w:p w14:paraId="75E446E7" w14:textId="77777777" w:rsidR="000F1D9A" w:rsidRPr="00E37FEB" w:rsidRDefault="007224B6">
      <w:pPr>
        <w:pStyle w:val="Corpodetexto"/>
      </w:pPr>
      <w:r w:rsidRPr="00E37FEB">
        <w:lastRenderedPageBreak/>
        <w:t>Após repetir a reconstrução para todas as viagens registradas, o sistema calcula a média ponderada pelo trabalho de transporte. Ele não escolhe a intensidade de uma única viagem, nem escolhe o corredor com maior volume. A intensidade da ligação é:</w:t>
      </w:r>
    </w:p>
    <w:p w14:paraId="5180F57E" w14:textId="77777777" w:rsidR="000F1D9A" w:rsidRPr="00E37FEB" w:rsidRDefault="007224B6">
      <w:pPr>
        <w:pStyle w:val="Corpodetexto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rep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recortes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o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recortes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o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B56BA10" w14:textId="77777777" w:rsidR="000F1D9A" w:rsidRPr="00E37FEB" w:rsidRDefault="007224B6">
      <w:pPr>
        <w:pStyle w:val="FirstParagraph"/>
      </w:pPr>
      <w:r w:rsidRPr="00E37FEB">
        <w:t xml:space="preserve">Aqui,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o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d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rep</m:t>
            </m:r>
          </m:sup>
        </m:sSubSup>
      </m:oMath>
      <w:r w:rsidRPr="00E37FEB">
        <w:t xml:space="preserve"> é a intensidade representativa da ligação;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E37FEB">
        <w:t xml:space="preserve"> é a intensidade atribuída ao recorte </w:t>
      </w:r>
      <m:oMath>
        <m:r>
          <w:rPr>
            <w:rFonts w:ascii="Cambria Math" w:hAnsi="Cambria Math"/>
          </w:rPr>
          <m:t>v</m:t>
        </m:r>
      </m:oMath>
      <w:r w:rsidRPr="00E37FEB"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o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d</m:t>
            </m:r>
          </m:sub>
        </m:sSub>
      </m:oMath>
      <w:r w:rsidRPr="00E37FEB">
        <w:t xml:space="preserve"> é seu trabalho de transporte entre os portos escolhidos;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recortes</m:t>
            </m:r>
          </m:sub>
        </m:sSub>
      </m:oMath>
      <w:r w:rsidRPr="00E37FEB">
        <w:t xml:space="preserve"> </w:t>
      </w:r>
      <w:r w:rsidRPr="00E37FEB">
        <w:t>é o número de recortes aceitos. Assim, o sistema dá maior peso a um recorte que movimentou mais tonelada-milhas náuticas, sem descartar os demais recortes, diretos ou com escalas.</w:t>
      </w:r>
    </w:p>
    <w:p w14:paraId="292CE91B" w14:textId="77777777" w:rsidR="000F1D9A" w:rsidRPr="00E37FEB" w:rsidRDefault="007224B6">
      <w:pPr>
        <w:pStyle w:val="Corpodetexto"/>
      </w:pPr>
      <w:r w:rsidRPr="00E37FEB">
        <w:t xml:space="preserve">Em Santos–Manaus, os 89 recortes aceitos somam </w:t>
      </w:r>
      <m:oMath>
        <m:r>
          <w:rPr>
            <w:rFonts w:ascii="Cambria Math" w:hAnsi="Cambria Math"/>
          </w:rPr>
          <m:t>3.153.328.821,755 </m:t>
        </m:r>
        <m:r>
          <m:rPr>
            <m:sty m:val="p"/>
          </m:rPr>
          <w:rPr>
            <w:rFonts w:ascii="Cambria Math" w:hAnsi="Cambria Math"/>
          </w:rPr>
          <m:t>t⋅nm</m:t>
        </m:r>
      </m:oMath>
      <w:r w:rsidRPr="00E37FEB">
        <w:t xml:space="preserve"> de trabalho de transporte. Antes da média, são aplicadas as regras de intensidade explicadas na subseção anterior:</w:t>
      </w:r>
    </w:p>
    <w:p w14:paraId="3AF77CDD" w14:textId="77777777" w:rsidR="000F1D9A" w:rsidRPr="00E37FEB" w:rsidRDefault="007224B6">
      <w:pPr>
        <w:pStyle w:val="Compact"/>
        <w:numPr>
          <w:ilvl w:val="0"/>
          <w:numId w:val="4"/>
        </w:numPr>
      </w:pPr>
      <w:r w:rsidRPr="00E37FEB">
        <w:t>19 recortes usam a intensidade individual do IMO</w:t>
      </w:r>
    </w:p>
    <w:p w14:paraId="437DEBC6" w14:textId="77777777" w:rsidR="000F1D9A" w:rsidRPr="00E37FEB" w:rsidRDefault="007224B6">
      <w:pPr>
        <w:pStyle w:val="Compact"/>
        <w:numPr>
          <w:ilvl w:val="0"/>
          <w:numId w:val="4"/>
        </w:numPr>
      </w:pPr>
      <w:r w:rsidRPr="00E37FEB">
        <w:t>49 usam a estimativa pelo tipo porque não possuem correspondência individual no EU MRV; e</w:t>
      </w:r>
    </w:p>
    <w:p w14:paraId="50CADB54" w14:textId="77777777" w:rsidR="000F1D9A" w:rsidRPr="00E37FEB" w:rsidRDefault="007224B6">
      <w:pPr>
        <w:pStyle w:val="Compact"/>
        <w:numPr>
          <w:ilvl w:val="0"/>
          <w:numId w:val="4"/>
        </w:numPr>
      </w:pPr>
      <w:r w:rsidRPr="00E37FEB">
        <w:t>21 mantêm a viagem observada, mas recebem a estimativa pelo tipo porque o valor individual ultrapassou o limiar de anomalia.</w:t>
      </w:r>
    </w:p>
    <w:p w14:paraId="114CFB89" w14:textId="77777777" w:rsidR="000F1D9A" w:rsidRPr="00E37FEB" w:rsidRDefault="007224B6">
      <w:pPr>
        <w:pStyle w:val="FirstParagraph"/>
      </w:pPr>
      <w:r w:rsidRPr="00E37FEB">
        <w:t xml:space="preserve">A soma dos produtos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o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d</m:t>
            </m:r>
          </m:sub>
        </m:sSub>
      </m:oMath>
      <w:r w:rsidRPr="00E37FEB">
        <w:t xml:space="preserve"> é </w:t>
      </w:r>
      <m:oMath>
        <m:r>
          <w:rPr>
            <w:rFonts w:ascii="Cambria Math" w:hAnsi="Cambria Math"/>
          </w:rPr>
          <m:t>28.410.938.295,411 </m:t>
        </m:r>
        <m:r>
          <m:rPr>
            <m:sty m:val="p"/>
          </m:rPr>
          <w:rPr>
            <w:rFonts w:ascii="Cambria Math" w:hAnsi="Cambria Math"/>
          </w:rPr>
          <m:t>g</m:t>
        </m:r>
      </m:oMath>
      <w:r w:rsidRPr="00E37FEB">
        <w:t>. Logo:</w:t>
      </w:r>
    </w:p>
    <w:p w14:paraId="515A7E53" w14:textId="77777777" w:rsidR="000F1D9A" w:rsidRPr="00E37FEB" w:rsidRDefault="007224B6">
      <w:pPr>
        <w:pStyle w:val="Corpodetexto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Santos,Manaus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rep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28.410.938.295,411</m:t>
              </m:r>
            </m:num>
            <m:den>
              <m:r>
                <w:rPr>
                  <w:rFonts w:ascii="Cambria Math" w:hAnsi="Cambria Math"/>
                </w:rPr>
                <m:t>3.153.328.821,755</m:t>
              </m:r>
            </m:den>
          </m:f>
          <m:r>
            <w:rPr>
              <w:rFonts w:ascii="Cambria Math" w:hAnsi="Cambria Math"/>
            </w:rPr>
            <m:t>=9,009824 </m:t>
          </m:r>
          <m:r>
            <m:rPr>
              <m:sty m:val="p"/>
            </m:rPr>
            <w:rPr>
              <w:rFonts w:ascii="Cambria Math" w:hAnsi="Cambria Math"/>
            </w:rPr>
            <m:t>g/(t⋅nm)</m:t>
          </m:r>
          <m:r>
            <w:rPr>
              <w:rFonts w:ascii="Cambria Math" w:hAnsi="Cambria Math"/>
            </w:rPr>
            <m:t>.</m:t>
          </m:r>
        </m:oMath>
      </m:oMathPara>
    </w:p>
    <w:p w14:paraId="17AD21E7" w14:textId="77777777" w:rsidR="000F1D9A" w:rsidRPr="00E37FEB" w:rsidRDefault="007224B6">
      <w:pPr>
        <w:pStyle w:val="FirstParagraph"/>
      </w:pPr>
      <w:r w:rsidRPr="00E37FEB">
        <w:t>Esse resultado não é a intensidade de um navio escolhido como representante. É a média das 89 viagens registradas nas bases da ANTAQ para esse trecho, em que cada uma contribui conforme a carga efetivamente transportada e a distância percorrida.</w:t>
      </w:r>
    </w:p>
    <w:p w14:paraId="67FA5609" w14:textId="77777777" w:rsidR="000F1D9A" w:rsidRPr="00E37FEB" w:rsidRDefault="007224B6">
      <w:pPr>
        <w:pStyle w:val="Ttulo4"/>
      </w:pPr>
      <w:bookmarkStart w:id="43" w:name="distância-marítima-representativa-entre-"/>
      <w:bookmarkStart w:id="44" w:name="_Toc235532516"/>
      <w:r w:rsidRPr="00E37FEB">
        <w:t>3.3.4.4 Distância marítima representativa entre os portos</w:t>
      </w:r>
      <w:bookmarkEnd w:id="43"/>
      <w:bookmarkEnd w:id="44"/>
    </w:p>
    <w:p w14:paraId="09C37D2D" w14:textId="77777777" w:rsidR="000F1D9A" w:rsidRPr="00E37FEB" w:rsidRDefault="007224B6">
      <w:pPr>
        <w:pStyle w:val="FirstParagraph"/>
      </w:pPr>
      <w:r w:rsidRPr="00E37FEB">
        <w:t>Para calcular o consumo de uma nova remessa, o sistema usa uma distância marítima representativa entre o porto de origem e o porto de destino. Essa distância é calculada separadamente da intensidade. A intensidade usa o trabalho de transporte como peso; para a distância, o peso da média é a carga que permaneceu a bordo em cada recorte completo. Assim, a distância de uma viagem mais longa não é usada duas vezes no cálculo da média.</w:t>
      </w:r>
    </w:p>
    <w:p w14:paraId="2BA5DC06" w14:textId="77777777" w:rsidR="000F1D9A" w:rsidRPr="00E37FEB" w:rsidRDefault="007224B6">
      <w:pPr>
        <w:pStyle w:val="Corpodetexto"/>
      </w:pPr>
      <w:r w:rsidRPr="00E37FEB">
        <w:t>Antes dessa média, o sistema verifica se há recortes excepcionalmente longos para a mesma ligação e no mesmo sentido. Quando existem pelo menos 20 recortes completos, ele calcula o percentil 95 (P95) das distâncias totais observadas, sem ponderação. Os recortes acima desse limite continuam registrados na matriz e participam da intensidade marítima, mas não entram na média de distância. Com menos de 20 recortes, o filtro não é aplicado e todos permanecem na média. Portanto, o P95 funciona como um limite de t</w:t>
      </w:r>
      <w:r w:rsidRPr="00E37FEB">
        <w:t>riagem para a distância; ele não substitui a distância representativa pelo próprio valor do percentil.</w:t>
      </w:r>
    </w:p>
    <w:p w14:paraId="14F6A042" w14:textId="77777777" w:rsidR="000F1D9A" w:rsidRPr="00E37FEB" w:rsidRDefault="007224B6">
      <w:pPr>
        <w:pStyle w:val="Corpodetexto"/>
      </w:pPr>
      <w:r w:rsidRPr="00E37FEB">
        <w:lastRenderedPageBreak/>
        <w:t xml:space="preserve">Em cada recorte, o sistema primeiro soma as distâncias de seus subtrechos e calcula a carga média a bordo ponderada pela distância. Se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o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d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nm</m:t>
            </m:r>
          </m:sup>
        </m:sSubSup>
      </m:oMath>
      <w:r w:rsidRPr="00E37FEB">
        <w:t xml:space="preserve"> é a distância total do recorte, essa carga média é:</w:t>
      </w:r>
    </w:p>
    <w:p w14:paraId="546EC1CB" w14:textId="77777777" w:rsidR="000F1D9A" w:rsidRPr="00E37FEB" w:rsidRDefault="007224B6">
      <w:pPr>
        <w:pStyle w:val="Corpodetex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o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o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o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o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d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nm</m:t>
                  </m:r>
                </m:sup>
              </m:sSub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80D5CF7" w14:textId="77777777" w:rsidR="000F1D9A" w:rsidRPr="00E37FEB" w:rsidRDefault="007224B6">
      <w:pPr>
        <w:pStyle w:val="FirstParagraph"/>
      </w:pPr>
      <w:r w:rsidRPr="00E37FEB">
        <w:t xml:space="preserve">Na fórmula,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</m:oMath>
      <w:r w:rsidRPr="00E37FEB">
        <w:t xml:space="preserve"> é a carga a bordo no subtrecho </w:t>
      </w:r>
      <m:oMath>
        <m:r>
          <w:rPr>
            <w:rFonts w:ascii="Cambria Math" w:hAnsi="Cambria Math"/>
          </w:rPr>
          <m:t>s</m:t>
        </m:r>
      </m:oMath>
      <w:r w:rsidRPr="00E37FEB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</m:oMath>
      <w:r w:rsidRPr="00E37FEB">
        <w:t xml:space="preserve"> é a distância desse subtrecho 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o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d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nm</m:t>
            </m:r>
          </m:sup>
        </m:sSubSup>
      </m:oMath>
      <w:r w:rsidRPr="00E37FEB">
        <w:t xml:space="preserve"> é a soma das distâncias do recorte em milhas náuticas. Assim,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m</m:t>
                </m:r>
              </m:e>
            </m:bar>
          </m:e>
          <m:sub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o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d</m:t>
            </m:r>
          </m:sub>
        </m:sSub>
      </m:oMath>
      <w:r w:rsidRPr="00E37FEB">
        <w:t xml:space="preserve"> </w:t>
      </w:r>
      <w:r w:rsidRPr="00E37FEB">
        <w:t>é a carga média a bordo do recorte, em toneladas.</w:t>
      </w:r>
    </w:p>
    <w:p w14:paraId="73B44FDC" w14:textId="77777777" w:rsidR="000F1D9A" w:rsidRPr="00E37FEB" w:rsidRDefault="007224B6">
      <w:pPr>
        <w:pStyle w:val="Corpodetexto"/>
      </w:pPr>
      <w:r w:rsidRPr="00E37FEB">
        <w:t xml:space="preserve">Na viagem </w:t>
      </w:r>
      <w:r w:rsidRPr="00E37FEB">
        <w:rPr>
          <w:rStyle w:val="VerbatimChar"/>
        </w:rPr>
        <w:t>voyage_9612791_00011</w:t>
      </w:r>
      <w:r w:rsidRPr="00E37FEB">
        <w:t xml:space="preserve">, por exemplo, o trabalho de transporte de </w:t>
      </w:r>
      <m:oMath>
        <m:r>
          <w:rPr>
            <w:rFonts w:ascii="Cambria Math" w:hAnsi="Cambria Math"/>
          </w:rPr>
          <m:t>39.294.668,494 </m:t>
        </m:r>
        <m:r>
          <m:rPr>
            <m:sty m:val="p"/>
          </m:rPr>
          <w:rPr>
            <w:rFonts w:ascii="Cambria Math" w:hAnsi="Cambria Math"/>
          </w:rPr>
          <m:t>t⋅nm</m:t>
        </m:r>
      </m:oMath>
      <w:r w:rsidRPr="00E37FEB">
        <w:t xml:space="preserve"> é dividido pela distância total de </w:t>
      </w:r>
      <m:oMath>
        <m:r>
          <w:rPr>
            <w:rFonts w:ascii="Cambria Math" w:hAnsi="Cambria Math"/>
          </w:rPr>
          <m:t>2.952,579 </m:t>
        </m:r>
        <m:r>
          <m:rPr>
            <m:sty m:val="p"/>
          </m:rPr>
          <w:rPr>
            <w:rFonts w:ascii="Cambria Math" w:hAnsi="Cambria Math"/>
          </w:rPr>
          <m:t>nm</m:t>
        </m:r>
      </m:oMath>
      <w:r w:rsidRPr="00E37FEB">
        <w:t xml:space="preserve">, resultando </w:t>
      </w:r>
      <m:oMath>
        <m:r>
          <w:rPr>
            <w:rFonts w:ascii="Cambria Math" w:hAnsi="Cambria Math"/>
          </w:rPr>
          <m:t>13.308,592 </m:t>
        </m:r>
        <m:r>
          <m:rPr>
            <m:sty m:val="p"/>
          </m:rPr>
          <w:rPr>
            <w:rFonts w:ascii="Cambria Math" w:hAnsi="Cambria Math"/>
          </w:rPr>
          <m:t>t</m:t>
        </m:r>
      </m:oMath>
      <w:r w:rsidRPr="00E37FEB">
        <w:t>. Esse é o peso da referida viagem na média de distância; não é a carga de uma nova remessa simulada.</w:t>
      </w:r>
    </w:p>
    <w:p w14:paraId="6768ACD8" w14:textId="77777777" w:rsidR="000F1D9A" w:rsidRPr="00E37FEB" w:rsidRDefault="007224B6">
      <w:pPr>
        <w:pStyle w:val="Corpodetexto"/>
      </w:pPr>
      <w:r w:rsidRPr="00E37FEB">
        <w:t>Em seguida, a distância representativa é a média das distâncias completas dos recortes que permaneceram até o P95, ponderada por essa carga média:</w:t>
      </w:r>
    </w:p>
    <w:p w14:paraId="35BBD979" w14:textId="77777777" w:rsidR="000F1D9A" w:rsidRPr="00E37FEB" w:rsidRDefault="007224B6">
      <w:pPr>
        <w:pStyle w:val="Corpodetexto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rep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∈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w:rPr>
                          <w:rFonts w:ascii="Cambria Math" w:hAnsi="Cambria Math"/>
                        </w:rPr>
                        <m:t>95</m:t>
                      </m:r>
                    </m:sup>
                  </m:sSubSup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o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km</m:t>
                      </m:r>
                    </m:sup>
                  </m:sSubSup>
                </m:e>
              </m:nary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o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∈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w:rPr>
                          <w:rFonts w:ascii="Cambria Math" w:hAnsi="Cambria Math"/>
                        </w:rPr>
                        <m:t>95</m:t>
                      </m:r>
                    </m:sup>
                  </m:sSubSup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ba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o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292CC3B" w14:textId="77777777" w:rsidR="000F1D9A" w:rsidRPr="00E37FEB" w:rsidRDefault="007224B6">
      <w:pPr>
        <w:pStyle w:val="FirstParagraph"/>
      </w:pPr>
      <w:r w:rsidRPr="00E37FEB">
        <w:t xml:space="preserve">Nessa expressão,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D</m:t>
                </m:r>
              </m:e>
            </m:bar>
          </m:e>
          <m:sub>
            <m:r>
              <w:rPr>
                <w:rFonts w:ascii="Cambria Math" w:hAnsi="Cambria Math"/>
              </w:rPr>
              <m:t>o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d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rep</m:t>
            </m:r>
          </m:sup>
        </m:sSubSup>
      </m:oMath>
      <w:r w:rsidRPr="00E37FEB">
        <w:t xml:space="preserve"> é a distância marítima representativa da ligação, em quilômetros;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o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d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km</m:t>
            </m:r>
          </m:sup>
        </m:sSubSup>
      </m:oMath>
      <w:r w:rsidRPr="00E37FEB">
        <w:t xml:space="preserve"> é a distância total do mesmo recorte, em quilômetros; 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d</m:t>
            </m:r>
          </m:sub>
          <m:sup>
            <m: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95</m:t>
            </m:r>
          </m:sup>
        </m:sSubSup>
      </m:oMath>
      <w:r w:rsidRPr="00E37FEB">
        <w:t xml:space="preserve"> reúne os recortes cuja distância é menor ou igual ao P95 daquela ligação. Quando a ligação tem menos de 20 recortes, esse conjunto contém todos os recortes válidos.</w:t>
      </w:r>
    </w:p>
    <w:p w14:paraId="54B19BAB" w14:textId="77777777" w:rsidR="000F1D9A" w:rsidRPr="00E37FEB" w:rsidRDefault="007224B6">
      <w:pPr>
        <w:pStyle w:val="Corpodetexto"/>
      </w:pPr>
      <w:r w:rsidRPr="00E37FEB">
        <w:t>Essa média não monta uma rota artificial com trechos de navios diferentes. Cada distância é calculada dentro da própria viagem antes de entrar na média, e nenhum corredor único é escolhido para representar o cenário.</w:t>
      </w:r>
    </w:p>
    <w:p w14:paraId="3CADDDB8" w14:textId="77777777" w:rsidR="000F1D9A" w:rsidRPr="00E37FEB" w:rsidRDefault="007224B6">
      <w:pPr>
        <w:pStyle w:val="Corpodetexto"/>
      </w:pPr>
      <w:r w:rsidRPr="00E37FEB">
        <w:t xml:space="preserve">Em Santos–Manaus, foram reconstruídos 89 recortes completos em 22 corredores. O P95 das distâncias observadas foi </w:t>
      </w:r>
      <m:oMath>
        <m:r>
          <w:rPr>
            <w:rFonts w:ascii="Cambria Math" w:hAnsi="Cambria Math"/>
          </w:rPr>
          <m:t>6.975,000 </m:t>
        </m:r>
        <m:r>
          <m:rPr>
            <m:sty m:val="p"/>
          </m:rPr>
          <w:rPr>
            <w:rFonts w:ascii="Cambria Math" w:hAnsi="Cambria Math"/>
          </w:rPr>
          <m:t>km</m:t>
        </m:r>
      </m:oMath>
      <w:r w:rsidRPr="00E37FEB">
        <w:t xml:space="preserve">; dois recortes acima desse limite foram retirados apenas da média de distância. Os 87 recortes restantes, distribuídos em 20 corredores, resultam em </w:t>
      </w:r>
      <m:oMath>
        <m:r>
          <w:rPr>
            <w:rFonts w:ascii="Cambria Math" w:hAnsi="Cambria Math"/>
          </w:rPr>
          <m:t>6.094,975 </m:t>
        </m:r>
        <m:r>
          <m:rPr>
            <m:sty m:val="p"/>
          </m:rPr>
          <w:rPr>
            <w:rFonts w:ascii="Cambria Math" w:hAnsi="Cambria Math"/>
          </w:rPr>
          <m:t>km</m:t>
        </m:r>
      </m:oMath>
      <w:r w:rsidRPr="00E37FEB">
        <w:t xml:space="preserve">, ou </w:t>
      </w:r>
      <m:oMath>
        <m:r>
          <w:rPr>
            <w:rFonts w:ascii="Cambria Math" w:hAnsi="Cambria Math"/>
          </w:rPr>
          <m:t>3.291,023 </m:t>
        </m:r>
        <m:r>
          <m:rPr>
            <m:sty m:val="p"/>
          </m:rPr>
          <w:rPr>
            <w:rFonts w:ascii="Cambria Math" w:hAnsi="Cambria Math"/>
          </w:rPr>
          <m:t>nm</m:t>
        </m:r>
      </m:oMath>
      <w:r w:rsidRPr="00E37FEB">
        <w:t>. Os 89 recortes continuam na média de intensidade apresentada na Seção 3.3.4.3.</w:t>
      </w:r>
    </w:p>
    <w:p w14:paraId="751FAA37" w14:textId="77777777" w:rsidR="000F1D9A" w:rsidRPr="00E37FEB" w:rsidRDefault="007224B6">
      <w:pPr>
        <w:pStyle w:val="Ttulo3"/>
      </w:pPr>
      <w:bookmarkStart w:id="45" w:name="emissões-da-alternativa-multimodal"/>
      <w:bookmarkStart w:id="46" w:name="_Toc235532517"/>
      <w:r w:rsidRPr="00E37FEB">
        <w:t>3.3.5 Emissões da alternativa multimodal</w:t>
      </w:r>
      <w:bookmarkEnd w:id="45"/>
      <w:bookmarkEnd w:id="46"/>
    </w:p>
    <w:p w14:paraId="5AD20008" w14:textId="77777777" w:rsidR="000F1D9A" w:rsidRPr="00E37FEB" w:rsidRDefault="007224B6">
      <w:pPr>
        <w:pStyle w:val="FirstParagraph"/>
      </w:pPr>
      <w:r w:rsidRPr="00E37FEB">
        <w:t xml:space="preserve">Os trechos de </w:t>
      </w:r>
      <w:r w:rsidRPr="00E37FEB">
        <w:rPr>
          <w:i/>
        </w:rPr>
        <w:t>first mile</w:t>
      </w:r>
      <w:r w:rsidRPr="00E37FEB">
        <w:t xml:space="preserve"> e </w:t>
      </w:r>
      <w:r w:rsidRPr="00E37FEB">
        <w:rPr>
          <w:i/>
        </w:rPr>
        <w:t>last mile</w:t>
      </w:r>
      <w:r w:rsidRPr="00E37FEB">
        <w:t xml:space="preserve"> usam a mesma conversão de diesel em emissões descrita na Seção 3.2.3. As operações portuárias também aplicam esse fator diretamente aos litros de diesel calculados na Seção 3.3.3. Na navegação, o consumo de VLSFO (</w:t>
      </w:r>
      <w:r w:rsidRPr="00E37FEB">
        <w:rPr>
          <w:i/>
        </w:rPr>
        <w:t>very low sulphur fuel oil</w:t>
      </w:r>
      <w:r w:rsidRPr="00E37FEB">
        <w:t>, óleo combustível de baixíssimo teor de enxofre) é multiplicado pelo fator operacional correspondente. Em ambos os casos, a fronteira continua sendo TTW: considera-se apenas o combustível queimado durante a operação.</w:t>
      </w:r>
    </w:p>
    <w:p w14:paraId="45581D14" w14:textId="77777777" w:rsidR="000F1D9A" w:rsidRPr="00E37FEB" w:rsidRDefault="007224B6" w:rsidP="00E37FEB">
      <w:pPr>
        <w:pStyle w:val="TtulodeTabelaCL"/>
      </w:pPr>
      <w:r w:rsidRPr="00E37FEB">
        <w:lastRenderedPageBreak/>
        <w:t>Tabela 7 — Fatores de emissão específicos da alternativa multimodal.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2064"/>
        <w:gridCol w:w="4458"/>
        <w:gridCol w:w="2551"/>
      </w:tblGrid>
      <w:tr w:rsidR="000F1D9A" w:rsidRPr="00E37FEB" w14:paraId="2EAEF639" w14:textId="77777777" w:rsidTr="00E37FEB">
        <w:trPr>
          <w:tblHeader/>
          <w:jc w:val="center"/>
        </w:trPr>
        <w:tc>
          <w:tcPr>
            <w:tcW w:w="1137" w:type="pct"/>
            <w:shd w:val="clear" w:color="auto" w:fill="E8EEF5"/>
            <w:vAlign w:val="center"/>
          </w:tcPr>
          <w:p w14:paraId="606070DD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E</w:t>
            </w:r>
            <w:r w:rsidRPr="00E37FEB">
              <w:rPr>
                <w:b/>
                <w:sz w:val="18"/>
              </w:rPr>
              <w:t>tapa do transporte</w:t>
            </w:r>
          </w:p>
        </w:tc>
        <w:tc>
          <w:tcPr>
            <w:tcW w:w="2457" w:type="pct"/>
            <w:shd w:val="clear" w:color="auto" w:fill="E8EEF5"/>
            <w:vAlign w:val="center"/>
          </w:tcPr>
          <w:p w14:paraId="6ED6BE0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Fonte do fator</w:t>
            </w:r>
          </w:p>
        </w:tc>
        <w:tc>
          <w:tcPr>
            <w:tcW w:w="1407" w:type="pct"/>
            <w:shd w:val="clear" w:color="auto" w:fill="E8EEF5"/>
            <w:vAlign w:val="center"/>
          </w:tcPr>
          <w:p w14:paraId="3F43FF8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Fator de emissão</w:t>
            </w:r>
          </w:p>
        </w:tc>
      </w:tr>
      <w:tr w:rsidR="000F1D9A" w:rsidRPr="00E37FEB" w14:paraId="30F04F36" w14:textId="77777777" w:rsidTr="00E37FEB">
        <w:trPr>
          <w:jc w:val="center"/>
        </w:trPr>
        <w:tc>
          <w:tcPr>
            <w:tcW w:w="1137" w:type="pct"/>
            <w:vAlign w:val="center"/>
          </w:tcPr>
          <w:p w14:paraId="0928BF2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Operações portuárias</w:t>
            </w:r>
          </w:p>
        </w:tc>
        <w:tc>
          <w:tcPr>
            <w:tcW w:w="2457" w:type="pct"/>
            <w:vAlign w:val="center"/>
          </w:tcPr>
          <w:p w14:paraId="7B3AEC5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IPCC (2006).</w:t>
            </w:r>
          </w:p>
        </w:tc>
        <w:tc>
          <w:tcPr>
            <w:tcW w:w="1407" w:type="pct"/>
            <w:vAlign w:val="center"/>
          </w:tcPr>
          <w:p w14:paraId="1E8A0BB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2,68 kg CO₂e/L de diesel</w:t>
            </w:r>
          </w:p>
        </w:tc>
      </w:tr>
      <w:tr w:rsidR="000F1D9A" w:rsidRPr="00E37FEB" w14:paraId="2E8FF15A" w14:textId="77777777" w:rsidTr="00E37FEB">
        <w:trPr>
          <w:jc w:val="center"/>
        </w:trPr>
        <w:tc>
          <w:tcPr>
            <w:tcW w:w="1137" w:type="pct"/>
            <w:vAlign w:val="center"/>
          </w:tcPr>
          <w:p w14:paraId="0E1B9B6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Navegação</w:t>
            </w:r>
          </w:p>
        </w:tc>
        <w:tc>
          <w:tcPr>
            <w:tcW w:w="2457" w:type="pct"/>
            <w:vAlign w:val="center"/>
          </w:tcPr>
          <w:p w14:paraId="54251DD3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Costa et al. (2025): Resolução IMO MEPC.391(81).</w:t>
            </w:r>
          </w:p>
        </w:tc>
        <w:tc>
          <w:tcPr>
            <w:tcW w:w="1407" w:type="pct"/>
            <w:vAlign w:val="center"/>
          </w:tcPr>
          <w:p w14:paraId="2EF600F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3,114 kg CO₂e/kg de VLSFO</w:t>
            </w:r>
          </w:p>
        </w:tc>
      </w:tr>
    </w:tbl>
    <w:p w14:paraId="632AD991" w14:textId="77777777" w:rsidR="000F1D9A" w:rsidRPr="00E37FEB" w:rsidRDefault="007224B6">
      <w:pPr>
        <w:pStyle w:val="Ttulo3"/>
      </w:pPr>
      <w:bookmarkStart w:id="47" w:name="custo-do-combustível"/>
      <w:bookmarkStart w:id="48" w:name="_Toc235532518"/>
      <w:r w:rsidRPr="00E37FEB">
        <w:t>3.3.6 Custo do combustível</w:t>
      </w:r>
      <w:bookmarkEnd w:id="47"/>
      <w:bookmarkEnd w:id="48"/>
    </w:p>
    <w:p w14:paraId="7DE981A3" w14:textId="77777777" w:rsidR="000F1D9A" w:rsidRPr="00E37FEB" w:rsidRDefault="007224B6">
      <w:pPr>
        <w:pStyle w:val="FirstParagraph"/>
      </w:pPr>
      <w:r w:rsidRPr="00E37FEB">
        <w:t>O custo modelado do combustível considera apenas o combustível estimado em cada etapa; não é uma cotação de frete. Antes de cada execução, o sistema busca a tabela mais recente de preços do Diesel S10 publicada pela Agência Nacional do Petróleo, Gás Natural e Biocombustíveis (ANP).</w:t>
      </w:r>
    </w:p>
    <w:p w14:paraId="021F54FC" w14:textId="77777777" w:rsidR="000F1D9A" w:rsidRPr="00E37FEB" w:rsidRDefault="007224B6">
      <w:pPr>
        <w:pStyle w:val="Corpodetexto"/>
      </w:pPr>
      <w:r w:rsidRPr="00E37FEB">
        <w:t xml:space="preserve">No exemplo São Paulo–Rio Branco, a atualização retornou os preços da semana de 12 a 18 de julho de 2026, com data final de pesquisa em 18 de julho. Os acessos rodoviários, </w:t>
      </w:r>
      <w:r w:rsidRPr="00E37FEB">
        <w:rPr>
          <w:i/>
        </w:rPr>
        <w:t>first mile</w:t>
      </w:r>
      <w:r w:rsidRPr="00E37FEB">
        <w:t xml:space="preserve"> e </w:t>
      </w:r>
      <w:r w:rsidRPr="00E37FEB">
        <w:rPr>
          <w:i/>
        </w:rPr>
        <w:t>last mile</w:t>
      </w:r>
      <w:r w:rsidRPr="00E37FEB">
        <w:t xml:space="preserve">, usam a mesma regra de escolha do veículo e de cálculo de consumo da Seção 3.2.1. Para precificar o diesel, o </w:t>
      </w:r>
      <w:r w:rsidRPr="00E37FEB">
        <w:rPr>
          <w:i/>
        </w:rPr>
        <w:t>first mile</w:t>
      </w:r>
      <w:r w:rsidRPr="00E37FEB">
        <w:t xml:space="preserve"> usa a média entre a UF de origem e a UF do porto de embarque, e o </w:t>
      </w:r>
      <w:r w:rsidRPr="00E37FEB">
        <w:rPr>
          <w:i/>
        </w:rPr>
        <w:t>last mile</w:t>
      </w:r>
      <w:r w:rsidRPr="00E37FEB">
        <w:t>, a média entre a UF do porto de desembarque e a UF de destino. Nas operações portuárias, cada porto usa diretamente o preço do diesel na sua própria UF.</w:t>
      </w:r>
    </w:p>
    <w:p w14:paraId="070C0A50" w14:textId="77777777" w:rsidR="000F1D9A" w:rsidRPr="00E37FEB" w:rsidRDefault="007224B6">
      <w:pPr>
        <w:pStyle w:val="Corpodetexto"/>
      </w:pPr>
      <w:r w:rsidRPr="00E37FEB">
        <w:t xml:space="preserve">O sistema também busca a cotação mais recente disponível do VLSFO na </w:t>
      </w:r>
      <w:hyperlink r:id="rId16">
        <w:r w:rsidRPr="00E37FEB">
          <w:rPr>
            <w:rStyle w:val="Hyperlink"/>
          </w:rPr>
          <w:t>Ship &amp; Bunker</w:t>
        </w:r>
      </w:hyperlink>
      <w:r w:rsidRPr="00E37FEB">
        <w:t xml:space="preserve">. Nesta execução, a cotação de 18 de julho de 2026 foi US$ 741,50/mt. A sigla </w:t>
      </w:r>
      <w:r w:rsidRPr="00E37FEB">
        <w:rPr>
          <w:rStyle w:val="VerbatimChar"/>
        </w:rPr>
        <w:t>mt</w:t>
      </w:r>
      <w:r w:rsidRPr="00E37FEB">
        <w:t xml:space="preserve"> significa </w:t>
      </w:r>
      <w:r w:rsidRPr="00E37FEB">
        <w:rPr>
          <w:i/>
        </w:rPr>
        <w:t>metric tonne</w:t>
      </w:r>
      <w:r w:rsidRPr="00E37FEB">
        <w:t xml:space="preserve">, ou tonelada métrica, equivalente a 1.000 kg. A taxa de conversão USD/BRL também é sempre a mais recente: de R$ 5,141345 por US$, obtida pela ferramenta </w:t>
      </w:r>
      <w:hyperlink r:id="rId17">
        <w:r w:rsidRPr="00E37FEB">
          <w:rPr>
            <w:rStyle w:val="Hyperlink"/>
          </w:rPr>
          <w:t>CurrencyConverter</w:t>
        </w:r>
      </w:hyperlink>
      <w:r w:rsidRPr="00E37FEB">
        <w:t xml:space="preserve"> </w:t>
      </w:r>
      <w:r w:rsidRPr="00E37FEB">
        <w:t>a partir de dados do Banco Central Europeu (BCE), o preço convertido foi R$ 3.812,31/mt, ou R$ 3,812/kg. A Tabela 8 resume as fontes, os valores de origem e os preços usados no exemplo.</w:t>
      </w:r>
    </w:p>
    <w:p w14:paraId="73F44C78" w14:textId="77777777" w:rsidR="000F1D9A" w:rsidRPr="00E37FEB" w:rsidRDefault="007224B6" w:rsidP="00E37FEB">
      <w:pPr>
        <w:pStyle w:val="TtulodeTabelaCL"/>
      </w:pPr>
      <w:r w:rsidRPr="00E37FEB">
        <w:t>Tabela 8 — Preços de combustível usados no exemplo São Paulo–Rio Branco.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1460"/>
        <w:gridCol w:w="1971"/>
        <w:gridCol w:w="3388"/>
        <w:gridCol w:w="2254"/>
      </w:tblGrid>
      <w:tr w:rsidR="000F1D9A" w:rsidRPr="00E37FEB" w14:paraId="744B22EB" w14:textId="77777777" w:rsidTr="00E37FEB">
        <w:trPr>
          <w:tblHeader/>
          <w:jc w:val="center"/>
        </w:trPr>
        <w:tc>
          <w:tcPr>
            <w:tcW w:w="804" w:type="pct"/>
            <w:shd w:val="clear" w:color="auto" w:fill="E8EEF5"/>
            <w:vAlign w:val="center"/>
          </w:tcPr>
          <w:p w14:paraId="7E268B4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E</w:t>
            </w:r>
            <w:r w:rsidRPr="00E37FEB">
              <w:rPr>
                <w:b/>
                <w:sz w:val="18"/>
              </w:rPr>
              <w:t>tapa do transporte</w:t>
            </w:r>
          </w:p>
        </w:tc>
        <w:tc>
          <w:tcPr>
            <w:tcW w:w="1086" w:type="pct"/>
            <w:shd w:val="clear" w:color="auto" w:fill="E8EEF5"/>
            <w:vAlign w:val="center"/>
          </w:tcPr>
          <w:p w14:paraId="27B9D88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Fonte do preço</w:t>
            </w:r>
          </w:p>
        </w:tc>
        <w:tc>
          <w:tcPr>
            <w:tcW w:w="1867" w:type="pct"/>
            <w:shd w:val="clear" w:color="auto" w:fill="E8EEF5"/>
            <w:vAlign w:val="center"/>
          </w:tcPr>
          <w:p w14:paraId="1FB422F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Valores de origem</w:t>
            </w:r>
          </w:p>
        </w:tc>
        <w:tc>
          <w:tcPr>
            <w:tcW w:w="1242" w:type="pct"/>
            <w:shd w:val="clear" w:color="auto" w:fill="E8EEF5"/>
            <w:vAlign w:val="center"/>
          </w:tcPr>
          <w:p w14:paraId="5CAD02A4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Preço usado no exemplo</w:t>
            </w:r>
          </w:p>
        </w:tc>
      </w:tr>
      <w:tr w:rsidR="000F1D9A" w:rsidRPr="00E37FEB" w14:paraId="3DF4C54C" w14:textId="77777777" w:rsidTr="00E37FEB">
        <w:trPr>
          <w:jc w:val="center"/>
        </w:trPr>
        <w:tc>
          <w:tcPr>
            <w:tcW w:w="804" w:type="pct"/>
            <w:vAlign w:val="center"/>
          </w:tcPr>
          <w:p w14:paraId="01878D4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Rodovia direta</w:t>
            </w:r>
          </w:p>
        </w:tc>
        <w:tc>
          <w:tcPr>
            <w:tcW w:w="1086" w:type="pct"/>
            <w:vAlign w:val="center"/>
          </w:tcPr>
          <w:p w14:paraId="4844AD9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hyperlink r:id="rId18">
              <w:r w:rsidRPr="00E37FEB">
                <w:rPr>
                  <w:rStyle w:val="Hyperlink"/>
                  <w:sz w:val="18"/>
                </w:rPr>
                <w:t>ANP</w:t>
              </w:r>
            </w:hyperlink>
          </w:p>
        </w:tc>
        <w:tc>
          <w:tcPr>
            <w:tcW w:w="1867" w:type="pct"/>
            <w:vAlign w:val="center"/>
          </w:tcPr>
          <w:p w14:paraId="0DC48C4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Diesel S10:  São Paulo, R$ 6,960/L;  Acre, R$ 9,270/L.</w:t>
            </w:r>
          </w:p>
        </w:tc>
        <w:tc>
          <w:tcPr>
            <w:tcW w:w="1242" w:type="pct"/>
            <w:vAlign w:val="center"/>
          </w:tcPr>
          <w:p w14:paraId="4845EF2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R$ 8,115/L</w:t>
            </w:r>
          </w:p>
        </w:tc>
      </w:tr>
      <w:tr w:rsidR="000F1D9A" w:rsidRPr="00E37FEB" w14:paraId="48C73779" w14:textId="77777777" w:rsidTr="00E37FEB">
        <w:trPr>
          <w:jc w:val="center"/>
        </w:trPr>
        <w:tc>
          <w:tcPr>
            <w:tcW w:w="804" w:type="pct"/>
            <w:vAlign w:val="center"/>
          </w:tcPr>
          <w:p w14:paraId="7241C06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i/>
                <w:sz w:val="18"/>
              </w:rPr>
              <w:t>First mile</w:t>
            </w:r>
          </w:p>
        </w:tc>
        <w:tc>
          <w:tcPr>
            <w:tcW w:w="1086" w:type="pct"/>
            <w:vAlign w:val="center"/>
          </w:tcPr>
          <w:p w14:paraId="5F805BA2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hyperlink r:id="rId19">
              <w:r w:rsidRPr="00E37FEB">
                <w:rPr>
                  <w:rStyle w:val="Hyperlink"/>
                  <w:sz w:val="18"/>
                </w:rPr>
                <w:t>ANP</w:t>
              </w:r>
            </w:hyperlink>
          </w:p>
        </w:tc>
        <w:tc>
          <w:tcPr>
            <w:tcW w:w="1867" w:type="pct"/>
            <w:vAlign w:val="center"/>
          </w:tcPr>
          <w:p w14:paraId="5A4832B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Diesel S10:  São Paulo, R$ 6,960/L;  Porto de Santos (SP), R$ 6,960/L.</w:t>
            </w:r>
          </w:p>
        </w:tc>
        <w:tc>
          <w:tcPr>
            <w:tcW w:w="1242" w:type="pct"/>
            <w:vAlign w:val="center"/>
          </w:tcPr>
          <w:p w14:paraId="1ECD65CD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R$ 6,960/L</w:t>
            </w:r>
          </w:p>
        </w:tc>
      </w:tr>
      <w:tr w:rsidR="000F1D9A" w:rsidRPr="00E37FEB" w14:paraId="7486BAD9" w14:textId="77777777" w:rsidTr="00E37FEB">
        <w:trPr>
          <w:jc w:val="center"/>
        </w:trPr>
        <w:tc>
          <w:tcPr>
            <w:tcW w:w="804" w:type="pct"/>
            <w:vAlign w:val="center"/>
          </w:tcPr>
          <w:p w14:paraId="1DA7FA2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Operações portuárias</w:t>
            </w:r>
          </w:p>
        </w:tc>
        <w:tc>
          <w:tcPr>
            <w:tcW w:w="1086" w:type="pct"/>
            <w:vAlign w:val="center"/>
          </w:tcPr>
          <w:p w14:paraId="50351BF6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hyperlink r:id="rId20">
              <w:r w:rsidRPr="00E37FEB">
                <w:rPr>
                  <w:rStyle w:val="Hyperlink"/>
                  <w:sz w:val="18"/>
                </w:rPr>
                <w:t>ANP</w:t>
              </w:r>
            </w:hyperlink>
          </w:p>
        </w:tc>
        <w:tc>
          <w:tcPr>
            <w:tcW w:w="1867" w:type="pct"/>
            <w:vAlign w:val="center"/>
          </w:tcPr>
          <w:p w14:paraId="207E8C2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Diesel S10:  Porto de Santos (SP), R$ 6,960/L;  Porto de Manaus (AM), R$ 7,250/L.</w:t>
            </w:r>
          </w:p>
        </w:tc>
        <w:tc>
          <w:tcPr>
            <w:tcW w:w="1242" w:type="pct"/>
            <w:vAlign w:val="center"/>
          </w:tcPr>
          <w:p w14:paraId="31D286B6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R$ 6,960/L em Santos e  R$ 7,250/L em Manaus.</w:t>
            </w:r>
          </w:p>
        </w:tc>
      </w:tr>
      <w:tr w:rsidR="000F1D9A" w:rsidRPr="00E37FEB" w14:paraId="42A781A5" w14:textId="77777777" w:rsidTr="00E37FEB">
        <w:trPr>
          <w:jc w:val="center"/>
        </w:trPr>
        <w:tc>
          <w:tcPr>
            <w:tcW w:w="804" w:type="pct"/>
            <w:vAlign w:val="center"/>
          </w:tcPr>
          <w:p w14:paraId="6FBB02A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Navegação</w:t>
            </w:r>
          </w:p>
        </w:tc>
        <w:tc>
          <w:tcPr>
            <w:tcW w:w="1086" w:type="pct"/>
            <w:vAlign w:val="center"/>
          </w:tcPr>
          <w:p w14:paraId="7461A93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 xml:space="preserve">VLSFO: </w:t>
            </w:r>
            <w:hyperlink r:id="rId21">
              <w:r w:rsidRPr="00E37FEB">
                <w:rPr>
                  <w:rStyle w:val="Hyperlink"/>
                  <w:sz w:val="18"/>
                </w:rPr>
                <w:t>Ship &amp; Bunker</w:t>
              </w:r>
            </w:hyperlink>
            <w:r w:rsidRPr="00E37FEB">
              <w:rPr>
                <w:sz w:val="18"/>
              </w:rPr>
              <w:t>;  Taxa USD/BRL: BCE.</w:t>
            </w:r>
          </w:p>
        </w:tc>
        <w:tc>
          <w:tcPr>
            <w:tcW w:w="1867" w:type="pct"/>
            <w:vAlign w:val="center"/>
          </w:tcPr>
          <w:p w14:paraId="61A4A5A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VLSFO: US$ 741,50/mt;  USD/BRL: R$ 5,141345 por US$.</w:t>
            </w:r>
          </w:p>
        </w:tc>
        <w:tc>
          <w:tcPr>
            <w:tcW w:w="1242" w:type="pct"/>
            <w:vAlign w:val="center"/>
          </w:tcPr>
          <w:p w14:paraId="0472C97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R$ 3,812/kg</w:t>
            </w:r>
          </w:p>
        </w:tc>
      </w:tr>
      <w:tr w:rsidR="000F1D9A" w:rsidRPr="00E37FEB" w14:paraId="5C40FDA2" w14:textId="77777777" w:rsidTr="00E37FEB">
        <w:trPr>
          <w:jc w:val="center"/>
        </w:trPr>
        <w:tc>
          <w:tcPr>
            <w:tcW w:w="804" w:type="pct"/>
            <w:vAlign w:val="center"/>
          </w:tcPr>
          <w:p w14:paraId="2F255F4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i/>
                <w:sz w:val="18"/>
              </w:rPr>
              <w:t>Last mile</w:t>
            </w:r>
          </w:p>
        </w:tc>
        <w:tc>
          <w:tcPr>
            <w:tcW w:w="1086" w:type="pct"/>
            <w:vAlign w:val="center"/>
          </w:tcPr>
          <w:p w14:paraId="47C3D89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hyperlink r:id="rId22">
              <w:r w:rsidRPr="00E37FEB">
                <w:rPr>
                  <w:rStyle w:val="Hyperlink"/>
                  <w:sz w:val="18"/>
                </w:rPr>
                <w:t>ANP</w:t>
              </w:r>
            </w:hyperlink>
          </w:p>
        </w:tc>
        <w:tc>
          <w:tcPr>
            <w:tcW w:w="1867" w:type="pct"/>
            <w:vAlign w:val="center"/>
          </w:tcPr>
          <w:p w14:paraId="3F58F77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Diesel S10:  Porto de Manaus (AM), R$ 7,250/L;  Acre, R$ 9,270/L.</w:t>
            </w:r>
          </w:p>
        </w:tc>
        <w:tc>
          <w:tcPr>
            <w:tcW w:w="1242" w:type="pct"/>
            <w:vAlign w:val="center"/>
          </w:tcPr>
          <w:p w14:paraId="531B600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R$ 8,260/L</w:t>
            </w:r>
          </w:p>
        </w:tc>
      </w:tr>
    </w:tbl>
    <w:p w14:paraId="444F160E" w14:textId="77777777" w:rsidR="000F1D9A" w:rsidRPr="00E37FEB" w:rsidRDefault="007224B6">
      <w:pPr>
        <w:pStyle w:val="Ttulo3"/>
      </w:pPr>
      <w:bookmarkStart w:id="49" w:name="resultado-consolidado-da-alternativa-mul"/>
      <w:bookmarkStart w:id="50" w:name="_Toc235532519"/>
      <w:r w:rsidRPr="00E37FEB">
        <w:t>3.3.7 Resultado consolidado da alternativa multimodal do exemplo São Paulo–Rio Branco</w:t>
      </w:r>
      <w:bookmarkEnd w:id="49"/>
      <w:bookmarkEnd w:id="50"/>
    </w:p>
    <w:p w14:paraId="290DE7A3" w14:textId="77777777" w:rsidR="000F1D9A" w:rsidRPr="00E37FEB" w:rsidRDefault="007224B6">
      <w:pPr>
        <w:pStyle w:val="FirstParagraph"/>
      </w:pPr>
      <w:r w:rsidRPr="00E37FEB">
        <w:t>Para a remessa de 14 t entre São Paulo (SP) e Rio Branco (AC), a Tabela 9 reúne os resultados das etapas que compõem a alternativa multimodal. Os cálculos e as fontes de cada etapa estão descritos nas Seções 3.3.1 a 3.3.6.</w:t>
      </w:r>
    </w:p>
    <w:p w14:paraId="157C15CF" w14:textId="77777777" w:rsidR="000F1D9A" w:rsidRPr="00E37FEB" w:rsidRDefault="007224B6" w:rsidP="00E37FEB">
      <w:pPr>
        <w:pStyle w:val="TtulodeTabelaCL"/>
      </w:pPr>
      <w:r w:rsidRPr="00E37FEB">
        <w:lastRenderedPageBreak/>
        <w:t>Tabela 9 — Resultado da alternativa multimodal no exemplo São Paulo–Rio Branco, para uma remessa de 14 t.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1198"/>
        <w:gridCol w:w="1089"/>
        <w:gridCol w:w="2384"/>
        <w:gridCol w:w="1325"/>
        <w:gridCol w:w="1328"/>
        <w:gridCol w:w="1749"/>
      </w:tblGrid>
      <w:tr w:rsidR="000F1D9A" w:rsidRPr="00E37FEB" w14:paraId="2B7FD27E" w14:textId="77777777" w:rsidTr="00E37FEB">
        <w:trPr>
          <w:tblHeader/>
          <w:jc w:val="center"/>
        </w:trPr>
        <w:tc>
          <w:tcPr>
            <w:tcW w:w="660" w:type="pct"/>
            <w:shd w:val="clear" w:color="auto" w:fill="E8EEF5"/>
            <w:vAlign w:val="center"/>
          </w:tcPr>
          <w:p w14:paraId="545D6583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E</w:t>
            </w:r>
            <w:r w:rsidRPr="00E37FEB">
              <w:rPr>
                <w:b/>
                <w:sz w:val="18"/>
              </w:rPr>
              <w:t>tapa</w:t>
            </w:r>
          </w:p>
        </w:tc>
        <w:tc>
          <w:tcPr>
            <w:tcW w:w="600" w:type="pct"/>
            <w:shd w:val="clear" w:color="auto" w:fill="E8EEF5"/>
            <w:vAlign w:val="center"/>
          </w:tcPr>
          <w:p w14:paraId="1E0C3F1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Percurso</w:t>
            </w:r>
          </w:p>
        </w:tc>
        <w:tc>
          <w:tcPr>
            <w:tcW w:w="1314" w:type="pct"/>
            <w:shd w:val="clear" w:color="auto" w:fill="E8EEF5"/>
            <w:vAlign w:val="center"/>
          </w:tcPr>
          <w:p w14:paraId="56DD096E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Distância</w:t>
            </w:r>
          </w:p>
        </w:tc>
        <w:tc>
          <w:tcPr>
            <w:tcW w:w="730" w:type="pct"/>
            <w:shd w:val="clear" w:color="auto" w:fill="E8EEF5"/>
            <w:vAlign w:val="center"/>
          </w:tcPr>
          <w:p w14:paraId="78BFA403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Combustível estimado</w:t>
            </w:r>
          </w:p>
        </w:tc>
        <w:tc>
          <w:tcPr>
            <w:tcW w:w="732" w:type="pct"/>
            <w:shd w:val="clear" w:color="auto" w:fill="E8EEF5"/>
            <w:vAlign w:val="center"/>
          </w:tcPr>
          <w:p w14:paraId="6B040C3C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Custo modelado do combustível</w:t>
            </w:r>
          </w:p>
        </w:tc>
        <w:tc>
          <w:tcPr>
            <w:tcW w:w="964" w:type="pct"/>
            <w:shd w:val="clear" w:color="auto" w:fill="E8EEF5"/>
            <w:vAlign w:val="center"/>
          </w:tcPr>
          <w:p w14:paraId="15565176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Emissões operacionais TTW</w:t>
            </w:r>
          </w:p>
        </w:tc>
      </w:tr>
      <w:tr w:rsidR="000F1D9A" w:rsidRPr="00E37FEB" w14:paraId="70FAB664" w14:textId="77777777" w:rsidTr="00E37FEB">
        <w:trPr>
          <w:jc w:val="center"/>
        </w:trPr>
        <w:tc>
          <w:tcPr>
            <w:tcW w:w="660" w:type="pct"/>
            <w:vAlign w:val="center"/>
          </w:tcPr>
          <w:p w14:paraId="61BAEF3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i/>
                <w:sz w:val="18"/>
              </w:rPr>
              <w:t>First mile</w:t>
            </w:r>
          </w:p>
        </w:tc>
        <w:tc>
          <w:tcPr>
            <w:tcW w:w="600" w:type="pct"/>
            <w:vAlign w:val="center"/>
          </w:tcPr>
          <w:p w14:paraId="5B77B06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São Paulo–Porto de Santos</w:t>
            </w:r>
          </w:p>
        </w:tc>
        <w:tc>
          <w:tcPr>
            <w:tcW w:w="1314" w:type="pct"/>
            <w:vAlign w:val="center"/>
          </w:tcPr>
          <w:p w14:paraId="19B630D6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86,170 km</w:t>
            </w:r>
          </w:p>
        </w:tc>
        <w:tc>
          <w:tcPr>
            <w:tcW w:w="730" w:type="pct"/>
            <w:vAlign w:val="center"/>
          </w:tcPr>
          <w:p w14:paraId="7D7C5309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37,465 L de diesel</w:t>
            </w:r>
          </w:p>
        </w:tc>
        <w:tc>
          <w:tcPr>
            <w:tcW w:w="732" w:type="pct"/>
            <w:vAlign w:val="center"/>
          </w:tcPr>
          <w:p w14:paraId="258A838C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R$ 260,76</w:t>
            </w:r>
          </w:p>
        </w:tc>
        <w:tc>
          <w:tcPr>
            <w:tcW w:w="964" w:type="pct"/>
            <w:vAlign w:val="center"/>
          </w:tcPr>
          <w:p w14:paraId="4DE54E53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100,41 kg CO₂e</w:t>
            </w:r>
          </w:p>
        </w:tc>
      </w:tr>
      <w:tr w:rsidR="000F1D9A" w:rsidRPr="00E37FEB" w14:paraId="04DA540D" w14:textId="77777777" w:rsidTr="00E37FEB">
        <w:trPr>
          <w:jc w:val="center"/>
        </w:trPr>
        <w:tc>
          <w:tcPr>
            <w:tcW w:w="660" w:type="pct"/>
            <w:vAlign w:val="center"/>
          </w:tcPr>
          <w:p w14:paraId="5D341E4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Navegação</w:t>
            </w:r>
          </w:p>
        </w:tc>
        <w:tc>
          <w:tcPr>
            <w:tcW w:w="600" w:type="pct"/>
            <w:vAlign w:val="center"/>
          </w:tcPr>
          <w:p w14:paraId="337A5EB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Porto de Santos–Porto de Manaus</w:t>
            </w:r>
          </w:p>
        </w:tc>
        <w:tc>
          <w:tcPr>
            <w:tcW w:w="1314" w:type="pct"/>
            <w:vAlign w:val="center"/>
          </w:tcPr>
          <w:p w14:paraId="788F580E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6.094,975 km(3.291,023 milhas náuticas)</w:t>
            </w:r>
          </w:p>
        </w:tc>
        <w:tc>
          <w:tcPr>
            <w:tcW w:w="730" w:type="pct"/>
            <w:vAlign w:val="center"/>
          </w:tcPr>
          <w:p w14:paraId="2E321449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415,122 kg de VLSFO</w:t>
            </w:r>
          </w:p>
        </w:tc>
        <w:tc>
          <w:tcPr>
            <w:tcW w:w="732" w:type="pct"/>
            <w:vAlign w:val="center"/>
          </w:tcPr>
          <w:p w14:paraId="52411075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R$ 1.582,57</w:t>
            </w:r>
          </w:p>
        </w:tc>
        <w:tc>
          <w:tcPr>
            <w:tcW w:w="964" w:type="pct"/>
            <w:vAlign w:val="center"/>
          </w:tcPr>
          <w:p w14:paraId="25212D79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1.292,69 kg CO₂e</w:t>
            </w:r>
          </w:p>
        </w:tc>
      </w:tr>
      <w:tr w:rsidR="000F1D9A" w:rsidRPr="00E37FEB" w14:paraId="436754E9" w14:textId="77777777" w:rsidTr="00E37FEB">
        <w:trPr>
          <w:jc w:val="center"/>
        </w:trPr>
        <w:tc>
          <w:tcPr>
            <w:tcW w:w="660" w:type="pct"/>
            <w:vAlign w:val="center"/>
          </w:tcPr>
          <w:p w14:paraId="46D72913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Operações portuárias</w:t>
            </w:r>
          </w:p>
        </w:tc>
        <w:tc>
          <w:tcPr>
            <w:tcW w:w="600" w:type="pct"/>
            <w:vAlign w:val="center"/>
          </w:tcPr>
          <w:p w14:paraId="474F9A24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Santos e Manaus</w:t>
            </w:r>
          </w:p>
        </w:tc>
        <w:tc>
          <w:tcPr>
            <w:tcW w:w="1314" w:type="pct"/>
            <w:vAlign w:val="center"/>
          </w:tcPr>
          <w:p w14:paraId="53D9218E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—</w:t>
            </w:r>
          </w:p>
        </w:tc>
        <w:tc>
          <w:tcPr>
            <w:tcW w:w="730" w:type="pct"/>
            <w:vAlign w:val="center"/>
          </w:tcPr>
          <w:p w14:paraId="4BE9338E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4,820 L de diesel</w:t>
            </w:r>
          </w:p>
        </w:tc>
        <w:tc>
          <w:tcPr>
            <w:tcW w:w="732" w:type="pct"/>
            <w:vAlign w:val="center"/>
          </w:tcPr>
          <w:p w14:paraId="4C6BA8CD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R$ 34,25</w:t>
            </w:r>
          </w:p>
        </w:tc>
        <w:tc>
          <w:tcPr>
            <w:tcW w:w="964" w:type="pct"/>
            <w:vAlign w:val="center"/>
          </w:tcPr>
          <w:p w14:paraId="59378E9F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12,92 kg CO₂e</w:t>
            </w:r>
          </w:p>
        </w:tc>
      </w:tr>
      <w:tr w:rsidR="000F1D9A" w:rsidRPr="00E37FEB" w14:paraId="74B6988D" w14:textId="77777777" w:rsidTr="00E37FEB">
        <w:trPr>
          <w:jc w:val="center"/>
        </w:trPr>
        <w:tc>
          <w:tcPr>
            <w:tcW w:w="660" w:type="pct"/>
            <w:vAlign w:val="center"/>
          </w:tcPr>
          <w:p w14:paraId="6E313EB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i/>
                <w:sz w:val="18"/>
              </w:rPr>
              <w:t>Last mile</w:t>
            </w:r>
          </w:p>
        </w:tc>
        <w:tc>
          <w:tcPr>
            <w:tcW w:w="600" w:type="pct"/>
            <w:vAlign w:val="center"/>
          </w:tcPr>
          <w:p w14:paraId="7240DF8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Porto de Manaus–Rio Branco</w:t>
            </w:r>
          </w:p>
        </w:tc>
        <w:tc>
          <w:tcPr>
            <w:tcW w:w="1314" w:type="pct"/>
            <w:vAlign w:val="center"/>
          </w:tcPr>
          <w:p w14:paraId="3DCC3C73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1.403,691 km</w:t>
            </w:r>
          </w:p>
        </w:tc>
        <w:tc>
          <w:tcPr>
            <w:tcW w:w="730" w:type="pct"/>
            <w:vAlign w:val="center"/>
          </w:tcPr>
          <w:p w14:paraId="5F37CBBC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610,300 L de diesel</w:t>
            </w:r>
          </w:p>
        </w:tc>
        <w:tc>
          <w:tcPr>
            <w:tcW w:w="732" w:type="pct"/>
            <w:vAlign w:val="center"/>
          </w:tcPr>
          <w:p w14:paraId="7A8FE1D5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R$ 5.041,08</w:t>
            </w:r>
          </w:p>
        </w:tc>
        <w:tc>
          <w:tcPr>
            <w:tcW w:w="964" w:type="pct"/>
            <w:vAlign w:val="center"/>
          </w:tcPr>
          <w:p w14:paraId="7CD78FDA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1.635,60 kg CO₂e</w:t>
            </w:r>
          </w:p>
        </w:tc>
      </w:tr>
      <w:tr w:rsidR="000F1D9A" w:rsidRPr="00E37FEB" w14:paraId="3580F8D5" w14:textId="77777777" w:rsidTr="00E37FEB">
        <w:trPr>
          <w:jc w:val="center"/>
        </w:trPr>
        <w:tc>
          <w:tcPr>
            <w:tcW w:w="660" w:type="pct"/>
            <w:vAlign w:val="center"/>
          </w:tcPr>
          <w:p w14:paraId="1C074AE4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b/>
                <w:sz w:val="18"/>
              </w:rPr>
              <w:t>Total</w:t>
            </w:r>
          </w:p>
        </w:tc>
        <w:tc>
          <w:tcPr>
            <w:tcW w:w="600" w:type="pct"/>
            <w:vAlign w:val="center"/>
          </w:tcPr>
          <w:p w14:paraId="5ED0D56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—</w:t>
            </w:r>
          </w:p>
        </w:tc>
        <w:tc>
          <w:tcPr>
            <w:tcW w:w="1314" w:type="pct"/>
            <w:vAlign w:val="center"/>
          </w:tcPr>
          <w:p w14:paraId="0C98DD8B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b/>
                <w:sz w:val="18"/>
              </w:rPr>
              <w:t>7.584,836 km</w:t>
            </w:r>
          </w:p>
        </w:tc>
        <w:tc>
          <w:tcPr>
            <w:tcW w:w="730" w:type="pct"/>
            <w:vAlign w:val="center"/>
          </w:tcPr>
          <w:p w14:paraId="5F77C548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—</w:t>
            </w:r>
          </w:p>
        </w:tc>
        <w:tc>
          <w:tcPr>
            <w:tcW w:w="732" w:type="pct"/>
            <w:vAlign w:val="center"/>
          </w:tcPr>
          <w:p w14:paraId="10D8464F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b/>
                <w:sz w:val="18"/>
              </w:rPr>
              <w:t>R$ 6.918,66</w:t>
            </w:r>
          </w:p>
        </w:tc>
        <w:tc>
          <w:tcPr>
            <w:tcW w:w="964" w:type="pct"/>
            <w:vAlign w:val="center"/>
          </w:tcPr>
          <w:p w14:paraId="540DEE6F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b/>
                <w:sz w:val="18"/>
              </w:rPr>
              <w:t>3.041,62 kg CO₂e</w:t>
            </w:r>
          </w:p>
        </w:tc>
      </w:tr>
    </w:tbl>
    <w:p w14:paraId="2FD6DB6C" w14:textId="77777777" w:rsidR="000F1D9A" w:rsidRPr="00E37FEB" w:rsidRDefault="007224B6">
      <w:pPr>
        <w:pStyle w:val="Ttulo2"/>
      </w:pPr>
      <w:bookmarkStart w:id="51" w:name="resultado-final-do-exemplo-são-paulorio-"/>
      <w:bookmarkStart w:id="52" w:name="_Toc235532520"/>
      <w:r w:rsidRPr="00E37FEB">
        <w:t>3.4 Resultado final do exemplo São Paulo–Rio Branco</w:t>
      </w:r>
      <w:bookmarkEnd w:id="51"/>
      <w:bookmarkEnd w:id="52"/>
    </w:p>
    <w:p w14:paraId="60AC821E" w14:textId="77777777" w:rsidR="000F1D9A" w:rsidRPr="00E37FEB" w:rsidRDefault="007224B6">
      <w:pPr>
        <w:pStyle w:val="FirstParagraph"/>
      </w:pPr>
      <w:r w:rsidRPr="00E37FEB">
        <w:t>Esta seção compara, para a mesma remessa de 14 t, os resultados totais da alternativa A, rodoviária direta, e da alternativa B, multimodal. Os valores das alternativas A e B foram consolidados nas Seções 3.2.4 e 3.3.7, respectivamente.</w:t>
      </w:r>
    </w:p>
    <w:p w14:paraId="5508A877" w14:textId="77777777" w:rsidR="000F1D9A" w:rsidRPr="00E37FEB" w:rsidRDefault="007224B6" w:rsidP="00E37FEB">
      <w:pPr>
        <w:pStyle w:val="TtulodeTabelaCL"/>
      </w:pPr>
      <w:r w:rsidRPr="00E37FEB">
        <w:t>Tabela 10 — Comparação dos resultados totais no exemplo São Paulo–Rio Branco, para uma remessa de 14 t.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2130"/>
        <w:gridCol w:w="2169"/>
        <w:gridCol w:w="2058"/>
        <w:gridCol w:w="2716"/>
      </w:tblGrid>
      <w:tr w:rsidR="000F1D9A" w:rsidRPr="00E37FEB" w14:paraId="1F5C64D9" w14:textId="77777777" w:rsidTr="00E37FEB">
        <w:trPr>
          <w:tblHeader/>
          <w:jc w:val="center"/>
        </w:trPr>
        <w:tc>
          <w:tcPr>
            <w:tcW w:w="1173" w:type="pct"/>
            <w:shd w:val="clear" w:color="auto" w:fill="E8EEF5"/>
            <w:vAlign w:val="center"/>
          </w:tcPr>
          <w:p w14:paraId="4833C8D4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I</w:t>
            </w:r>
            <w:r w:rsidRPr="00E37FEB">
              <w:rPr>
                <w:b/>
                <w:sz w:val="18"/>
              </w:rPr>
              <w:t>ndicador</w:t>
            </w:r>
          </w:p>
        </w:tc>
        <w:tc>
          <w:tcPr>
            <w:tcW w:w="1195" w:type="pct"/>
            <w:shd w:val="clear" w:color="auto" w:fill="E8EEF5"/>
            <w:vAlign w:val="center"/>
          </w:tcPr>
          <w:p w14:paraId="05AC4091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Alternativa A: rodovia direta</w:t>
            </w:r>
          </w:p>
        </w:tc>
        <w:tc>
          <w:tcPr>
            <w:tcW w:w="1134" w:type="pct"/>
            <w:shd w:val="clear" w:color="auto" w:fill="E8EEF5"/>
            <w:vAlign w:val="center"/>
          </w:tcPr>
          <w:p w14:paraId="3C359C18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Alternativa B: multimodal</w:t>
            </w:r>
          </w:p>
        </w:tc>
        <w:tc>
          <w:tcPr>
            <w:tcW w:w="1497" w:type="pct"/>
            <w:shd w:val="clear" w:color="auto" w:fill="E8EEF5"/>
            <w:vAlign w:val="center"/>
          </w:tcPr>
          <w:p w14:paraId="6FB21F0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Resultado da alternativa B em relação à A</w:t>
            </w:r>
          </w:p>
        </w:tc>
      </w:tr>
      <w:tr w:rsidR="000F1D9A" w:rsidRPr="00E37FEB" w14:paraId="03D3B524" w14:textId="77777777" w:rsidTr="00E37FEB">
        <w:trPr>
          <w:jc w:val="center"/>
        </w:trPr>
        <w:tc>
          <w:tcPr>
            <w:tcW w:w="1173" w:type="pct"/>
            <w:vAlign w:val="center"/>
          </w:tcPr>
          <w:p w14:paraId="3695997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Distância percorrida</w:t>
            </w:r>
          </w:p>
        </w:tc>
        <w:tc>
          <w:tcPr>
            <w:tcW w:w="1195" w:type="pct"/>
            <w:vAlign w:val="center"/>
          </w:tcPr>
          <w:p w14:paraId="242E6D9D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3.491,431 km</w:t>
            </w:r>
          </w:p>
        </w:tc>
        <w:tc>
          <w:tcPr>
            <w:tcW w:w="1134" w:type="pct"/>
            <w:vAlign w:val="center"/>
          </w:tcPr>
          <w:p w14:paraId="242FD6A9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7.584,836 km</w:t>
            </w:r>
          </w:p>
        </w:tc>
        <w:tc>
          <w:tcPr>
            <w:tcW w:w="1497" w:type="pct"/>
            <w:vAlign w:val="center"/>
          </w:tcPr>
          <w:p w14:paraId="5A4AD4D4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4.093,405 km a mais (117,24%).</w:t>
            </w:r>
          </w:p>
        </w:tc>
      </w:tr>
      <w:tr w:rsidR="000F1D9A" w:rsidRPr="00E37FEB" w14:paraId="0F7D9CB0" w14:textId="77777777" w:rsidTr="00E37FEB">
        <w:trPr>
          <w:jc w:val="center"/>
        </w:trPr>
        <w:tc>
          <w:tcPr>
            <w:tcW w:w="1173" w:type="pct"/>
            <w:vAlign w:val="center"/>
          </w:tcPr>
          <w:p w14:paraId="6BD8DDA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Emissões operacionais TTW</w:t>
            </w:r>
          </w:p>
        </w:tc>
        <w:tc>
          <w:tcPr>
            <w:tcW w:w="1195" w:type="pct"/>
            <w:vAlign w:val="center"/>
          </w:tcPr>
          <w:p w14:paraId="79BD0724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4.068,28 kg CO₂e</w:t>
            </w:r>
          </w:p>
        </w:tc>
        <w:tc>
          <w:tcPr>
            <w:tcW w:w="1134" w:type="pct"/>
            <w:vAlign w:val="center"/>
          </w:tcPr>
          <w:p w14:paraId="63C7F36D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3.041,62 kg CO₂e</w:t>
            </w:r>
          </w:p>
        </w:tc>
        <w:tc>
          <w:tcPr>
            <w:tcW w:w="1497" w:type="pct"/>
            <w:vAlign w:val="center"/>
          </w:tcPr>
          <w:p w14:paraId="08D2867A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1.026,66 kg CO₂e a menos (25,24%).</w:t>
            </w:r>
          </w:p>
        </w:tc>
      </w:tr>
      <w:tr w:rsidR="000F1D9A" w:rsidRPr="00E37FEB" w14:paraId="34243A3D" w14:textId="77777777" w:rsidTr="00E37FEB">
        <w:trPr>
          <w:jc w:val="center"/>
        </w:trPr>
        <w:tc>
          <w:tcPr>
            <w:tcW w:w="1173" w:type="pct"/>
            <w:vAlign w:val="center"/>
          </w:tcPr>
          <w:p w14:paraId="60F0BF6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Custo modelado do combustível</w:t>
            </w:r>
          </w:p>
        </w:tc>
        <w:tc>
          <w:tcPr>
            <w:tcW w:w="1195" w:type="pct"/>
            <w:vAlign w:val="center"/>
          </w:tcPr>
          <w:p w14:paraId="0EEC172F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R$ 12.318,68</w:t>
            </w:r>
          </w:p>
        </w:tc>
        <w:tc>
          <w:tcPr>
            <w:tcW w:w="1134" w:type="pct"/>
            <w:vAlign w:val="center"/>
          </w:tcPr>
          <w:p w14:paraId="1242191A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R$ 6.918,66</w:t>
            </w:r>
          </w:p>
        </w:tc>
        <w:tc>
          <w:tcPr>
            <w:tcW w:w="1497" w:type="pct"/>
            <w:vAlign w:val="center"/>
          </w:tcPr>
          <w:p w14:paraId="0CC9C8AD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R$ 5.400,02 a menos (43,84%).</w:t>
            </w:r>
          </w:p>
        </w:tc>
      </w:tr>
    </w:tbl>
    <w:p w14:paraId="6CDB0223" w14:textId="77777777" w:rsidR="000F1D9A" w:rsidRPr="00E37FEB" w:rsidRDefault="007224B6">
      <w:pPr>
        <w:pStyle w:val="Corpodetexto"/>
      </w:pPr>
      <w:r w:rsidRPr="00E37FEB">
        <w:t>Embora a alternativa multimodal percorra uma distância total maior, ela apresenta menor custo modelado do combustível e menores emissões operacionais TTW no cenário analisado.</w:t>
      </w:r>
    </w:p>
    <w:p w14:paraId="28EDD999" w14:textId="77777777" w:rsidR="000F1D9A" w:rsidRPr="00E37FEB" w:rsidRDefault="007224B6">
      <w:pPr>
        <w:pStyle w:val="Ttulo1"/>
      </w:pPr>
      <w:bookmarkStart w:id="53" w:name="implementação-computacional"/>
      <w:bookmarkStart w:id="54" w:name="_Toc235532521"/>
      <w:r w:rsidRPr="00E37FEB">
        <w:t>4. Implementação computacional</w:t>
      </w:r>
      <w:bookmarkEnd w:id="53"/>
      <w:bookmarkEnd w:id="54"/>
    </w:p>
    <w:p w14:paraId="47C1972D" w14:textId="77777777" w:rsidR="000F1D9A" w:rsidRPr="00E37FEB" w:rsidRDefault="007224B6">
      <w:pPr>
        <w:pStyle w:val="FirstParagraph"/>
      </w:pPr>
      <w:r w:rsidRPr="00E37FEB">
        <w:t>A Seção 3 descreve o que é calculado: duas alternativas que prestam o mesmo serviço logístico, seus trechos, os dados usados e as regras físicas aplicadas. Esta seção mostra como essas regras foram transformadas em software: o objetivo não é repetir as fórmulas, mas explicar como o sistema recebe os dados, executa cada etapa, trata uma informação ausente e registra a origem de cada resultado.</w:t>
      </w:r>
    </w:p>
    <w:p w14:paraId="68D175F5" w14:textId="77777777" w:rsidR="000F1D9A" w:rsidRPr="00E37FEB" w:rsidRDefault="007224B6">
      <w:pPr>
        <w:pStyle w:val="Corpodetexto"/>
      </w:pPr>
      <w:r w:rsidRPr="00E37FEB">
        <w:lastRenderedPageBreak/>
        <w:t>O CabotageLens separa a preparação dos dados históricos da execução de uma comparação. Assim, uma pessoa que informa uma origem, um destino e uma carga não precisa reconstruir toda a base da Agência Nacional de Transportes Aquaviários (ANTAQ) nem consultar novamente a base de Monitoramento, Reporte e Verificação da União Europeia (EU MRV), por exemplo. A aplicação utiliza os artefatos marítimos já preparados e concentra a execução na montagem do cenário porta a porta.</w:t>
      </w:r>
    </w:p>
    <w:p w14:paraId="46A72553" w14:textId="77777777" w:rsidR="000F1D9A" w:rsidRPr="00E37FEB" w:rsidRDefault="007224B6">
      <w:pPr>
        <w:pStyle w:val="Corpodetexto"/>
      </w:pPr>
      <w:r w:rsidRPr="00E37FEB">
        <w:t>As ferramentas e os serviços empregados são utilizados em suas modalidades gratuitas. Os limites de consulta, armazenamento e processamento dessas modalidades são compatíveis com o escopo acadêmico, o volume de dados e a quantidade de cenários avaliados neste estudo. Dessa forma, a execução do sistema não depende de infraestrutura ou licenças pagas para cumprir seu propósito.</w:t>
      </w:r>
    </w:p>
    <w:p w14:paraId="154FBB85" w14:textId="77777777" w:rsidR="000F1D9A" w:rsidRPr="00E37FEB" w:rsidRDefault="007224B6">
      <w:pPr>
        <w:pStyle w:val="Ttulo2"/>
      </w:pPr>
      <w:bookmarkStart w:id="55" w:name="arquitetura-do-sistema-e-tecnologias-uti"/>
      <w:bookmarkStart w:id="56" w:name="_Toc235532522"/>
      <w:r w:rsidRPr="00E37FEB">
        <w:t>4.1 Arquitetura do sistema e tecnologias utilizadas</w:t>
      </w:r>
      <w:bookmarkEnd w:id="55"/>
      <w:bookmarkEnd w:id="56"/>
    </w:p>
    <w:p w14:paraId="2ED9930B" w14:textId="77777777" w:rsidR="000F1D9A" w:rsidRPr="00E37FEB" w:rsidRDefault="007224B6">
      <w:pPr>
        <w:pStyle w:val="FirstParagraph"/>
      </w:pPr>
      <w:r w:rsidRPr="00E37FEB">
        <w:t>O sistema é desenvolvido em Python. A interface, os cálculos, a organização dos dados e as integrações externas ficam em componentes separados.</w:t>
      </w:r>
    </w:p>
    <w:p w14:paraId="6BEAC989" w14:textId="77777777" w:rsidR="000F1D9A" w:rsidRPr="00E37FEB" w:rsidRDefault="007224B6">
      <w:pPr>
        <w:pStyle w:val="Corpodetexto"/>
      </w:pPr>
      <w:r w:rsidRPr="00E37FEB">
        <w:t>A Tabela 11 apresenta as tecnologias e os serviços essenciais para entender a execução do sistema. Ela não lista todas as bibliotecas Python utilizadas internamente no código. Essas ferramentas também não devem ser confundidas com as fontes metodológicas e de insumos: ANTAQ, EU MRV, Agência Nacional do Petróleo, Gás Natural e Biocombustíveis (ANP) e Ship &amp; Bunker fornecem dados ou preços externos; as tecnologias da tabela permitem obter, tratar, calcular, armazenar ou apresentar essas informações.</w:t>
      </w:r>
    </w:p>
    <w:p w14:paraId="294283FB" w14:textId="77777777" w:rsidR="000F1D9A" w:rsidRPr="00E37FEB" w:rsidRDefault="007224B6" w:rsidP="00E37FEB">
      <w:pPr>
        <w:pStyle w:val="TtulodeTabelaCL"/>
      </w:pPr>
      <w:r w:rsidRPr="00E37FEB">
        <w:t>Tabela 11 — Tecnologias e serviços utilizados na implementação do CabotageLens.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1980"/>
        <w:gridCol w:w="3440"/>
        <w:gridCol w:w="3653"/>
      </w:tblGrid>
      <w:tr w:rsidR="000F1D9A" w:rsidRPr="00E37FEB" w14:paraId="71EEB0A5" w14:textId="77777777" w:rsidTr="00E37FEB">
        <w:trPr>
          <w:tblHeader/>
          <w:jc w:val="center"/>
        </w:trPr>
        <w:tc>
          <w:tcPr>
            <w:tcW w:w="1091" w:type="pct"/>
            <w:shd w:val="clear" w:color="auto" w:fill="E8EEF5"/>
            <w:vAlign w:val="center"/>
          </w:tcPr>
          <w:p w14:paraId="77CE0DB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T</w:t>
            </w:r>
            <w:r w:rsidRPr="00E37FEB">
              <w:rPr>
                <w:b/>
                <w:sz w:val="18"/>
              </w:rPr>
              <w:t>ecnologia ou serviço</w:t>
            </w:r>
          </w:p>
        </w:tc>
        <w:tc>
          <w:tcPr>
            <w:tcW w:w="1896" w:type="pct"/>
            <w:shd w:val="clear" w:color="auto" w:fill="E8EEF5"/>
            <w:vAlign w:val="center"/>
          </w:tcPr>
          <w:p w14:paraId="36F14E5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Função no sistema</w:t>
            </w:r>
          </w:p>
        </w:tc>
        <w:tc>
          <w:tcPr>
            <w:tcW w:w="2013" w:type="pct"/>
            <w:shd w:val="clear" w:color="auto" w:fill="E8EEF5"/>
            <w:vAlign w:val="center"/>
          </w:tcPr>
          <w:p w14:paraId="6258562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Papel na execução</w:t>
            </w:r>
          </w:p>
        </w:tc>
      </w:tr>
      <w:tr w:rsidR="000F1D9A" w:rsidRPr="00E37FEB" w14:paraId="100249C8" w14:textId="77777777" w:rsidTr="00E37FEB">
        <w:trPr>
          <w:jc w:val="center"/>
        </w:trPr>
        <w:tc>
          <w:tcPr>
            <w:tcW w:w="1091" w:type="pct"/>
            <w:vAlign w:val="center"/>
          </w:tcPr>
          <w:p w14:paraId="6CFBA1E6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hyperlink r:id="rId23">
              <w:r w:rsidRPr="00E37FEB">
                <w:rPr>
                  <w:rStyle w:val="Hyperlink"/>
                  <w:sz w:val="18"/>
                </w:rPr>
                <w:t>Python</w:t>
              </w:r>
            </w:hyperlink>
          </w:p>
        </w:tc>
        <w:tc>
          <w:tcPr>
            <w:tcW w:w="1896" w:type="pct"/>
            <w:vAlign w:val="center"/>
          </w:tcPr>
          <w:p w14:paraId="0C7EED6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Linguagem principal do projeto.</w:t>
            </w:r>
          </w:p>
        </w:tc>
        <w:tc>
          <w:tcPr>
            <w:tcW w:w="2013" w:type="pct"/>
            <w:vAlign w:val="center"/>
          </w:tcPr>
          <w:p w14:paraId="7C66D4E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Executa o tratamento de dados, a reconstrução marítima, os cálculos e os scripts de atualização.</w:t>
            </w:r>
          </w:p>
        </w:tc>
      </w:tr>
      <w:tr w:rsidR="000F1D9A" w:rsidRPr="00E37FEB" w14:paraId="765542F5" w14:textId="77777777" w:rsidTr="00E37FEB">
        <w:trPr>
          <w:jc w:val="center"/>
        </w:trPr>
        <w:tc>
          <w:tcPr>
            <w:tcW w:w="1091" w:type="pct"/>
            <w:vAlign w:val="center"/>
          </w:tcPr>
          <w:p w14:paraId="42D5496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hyperlink r:id="rId24">
              <w:r w:rsidRPr="00E37FEB">
                <w:rPr>
                  <w:rStyle w:val="Hyperlink"/>
                  <w:sz w:val="18"/>
                </w:rPr>
                <w:t>Streamlit</w:t>
              </w:r>
            </w:hyperlink>
          </w:p>
        </w:tc>
        <w:tc>
          <w:tcPr>
            <w:tcW w:w="1896" w:type="pct"/>
            <w:vAlign w:val="center"/>
          </w:tcPr>
          <w:p w14:paraId="0B6E0D2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Ferramenta para construir a interface web em Python.</w:t>
            </w:r>
          </w:p>
        </w:tc>
        <w:tc>
          <w:tcPr>
            <w:tcW w:w="2013" w:type="pct"/>
            <w:vAlign w:val="center"/>
          </w:tcPr>
          <w:p w14:paraId="17FA3F26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Recebe o cenário informado pelo usuário e apresenta mapas, totais, detalhamentos e avisos.</w:t>
            </w:r>
          </w:p>
        </w:tc>
      </w:tr>
      <w:tr w:rsidR="000F1D9A" w:rsidRPr="00E37FEB" w14:paraId="10B3F853" w14:textId="77777777" w:rsidTr="00E37FEB">
        <w:trPr>
          <w:jc w:val="center"/>
        </w:trPr>
        <w:tc>
          <w:tcPr>
            <w:tcW w:w="1091" w:type="pct"/>
            <w:vAlign w:val="center"/>
          </w:tcPr>
          <w:p w14:paraId="3FF6AD03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hyperlink r:id="rId25">
              <w:r w:rsidRPr="00E37FEB">
                <w:rPr>
                  <w:rStyle w:val="Hyperlink"/>
                  <w:sz w:val="18"/>
                </w:rPr>
                <w:t>Supabase</w:t>
              </w:r>
            </w:hyperlink>
          </w:p>
        </w:tc>
        <w:tc>
          <w:tcPr>
            <w:tcW w:w="1896" w:type="pct"/>
            <w:vAlign w:val="center"/>
          </w:tcPr>
          <w:p w14:paraId="7558173D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Serviço de banco de dados.</w:t>
            </w:r>
          </w:p>
        </w:tc>
        <w:tc>
          <w:tcPr>
            <w:tcW w:w="2013" w:type="pct"/>
            <w:vAlign w:val="center"/>
          </w:tcPr>
          <w:p w14:paraId="4F80867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Guarda pontos geocodificados, rotas reutilizáveis, execuções em lote e resultados que precisam permanecer disponíveis.</w:t>
            </w:r>
          </w:p>
        </w:tc>
      </w:tr>
      <w:tr w:rsidR="000F1D9A" w:rsidRPr="00E37FEB" w14:paraId="6E44ACF3" w14:textId="77777777" w:rsidTr="00E37FEB">
        <w:trPr>
          <w:jc w:val="center"/>
        </w:trPr>
        <w:tc>
          <w:tcPr>
            <w:tcW w:w="1091" w:type="pct"/>
            <w:vAlign w:val="center"/>
          </w:tcPr>
          <w:p w14:paraId="634A413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hyperlink r:id="rId26">
              <w:r w:rsidRPr="00E37FEB">
                <w:rPr>
                  <w:rStyle w:val="Hyperlink"/>
                  <w:sz w:val="18"/>
                </w:rPr>
                <w:t>OpenRouteService (ORS)</w:t>
              </w:r>
            </w:hyperlink>
          </w:p>
        </w:tc>
        <w:tc>
          <w:tcPr>
            <w:tcW w:w="1896" w:type="pct"/>
            <w:vAlign w:val="center"/>
          </w:tcPr>
          <w:p w14:paraId="32B5F776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Serviço externo de localização e roteamento.</w:t>
            </w:r>
          </w:p>
        </w:tc>
        <w:tc>
          <w:tcPr>
            <w:tcW w:w="2013" w:type="pct"/>
            <w:vAlign w:val="center"/>
          </w:tcPr>
          <w:p w14:paraId="09E34116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É o provedor principal para transformar um local em coordenadas e obter a geometria das rotas rodoviárias.</w:t>
            </w:r>
          </w:p>
        </w:tc>
      </w:tr>
      <w:tr w:rsidR="000F1D9A" w:rsidRPr="00E37FEB" w14:paraId="5B123DC7" w14:textId="77777777" w:rsidTr="00E37FEB">
        <w:trPr>
          <w:jc w:val="center"/>
        </w:trPr>
        <w:tc>
          <w:tcPr>
            <w:tcW w:w="1091" w:type="pct"/>
            <w:vAlign w:val="center"/>
          </w:tcPr>
          <w:p w14:paraId="5BABDCD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hyperlink r:id="rId27">
              <w:r w:rsidRPr="00E37FEB">
                <w:rPr>
                  <w:rStyle w:val="Hyperlink"/>
                  <w:sz w:val="18"/>
                </w:rPr>
                <w:t>LocationIQ</w:t>
              </w:r>
            </w:hyperlink>
          </w:p>
        </w:tc>
        <w:tc>
          <w:tcPr>
            <w:tcW w:w="1896" w:type="pct"/>
            <w:vAlign w:val="center"/>
          </w:tcPr>
          <w:p w14:paraId="6B42FF3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Serviço externo alternativo de localização e roteamento.</w:t>
            </w:r>
          </w:p>
        </w:tc>
        <w:tc>
          <w:tcPr>
            <w:tcW w:w="2013" w:type="pct"/>
            <w:vAlign w:val="center"/>
          </w:tcPr>
          <w:p w14:paraId="0444B64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É consultado somente quando o ORS não entrega uma resposta utilizável.</w:t>
            </w:r>
          </w:p>
        </w:tc>
      </w:tr>
      <w:tr w:rsidR="000F1D9A" w:rsidRPr="00E37FEB" w14:paraId="0C2F1677" w14:textId="77777777" w:rsidTr="00E37FEB">
        <w:trPr>
          <w:jc w:val="center"/>
        </w:trPr>
        <w:tc>
          <w:tcPr>
            <w:tcW w:w="1091" w:type="pct"/>
            <w:vAlign w:val="center"/>
          </w:tcPr>
          <w:p w14:paraId="65D8CFA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hyperlink r:id="rId28">
              <w:r w:rsidRPr="00E37FEB">
                <w:rPr>
                  <w:rStyle w:val="Hyperlink"/>
                  <w:sz w:val="18"/>
                </w:rPr>
                <w:t>requests</w:t>
              </w:r>
            </w:hyperlink>
            <w:r w:rsidRPr="00E37FEB">
              <w:rPr>
                <w:sz w:val="18"/>
              </w:rPr>
              <w:t xml:space="preserve"> e </w:t>
            </w:r>
            <w:hyperlink r:id="rId29">
              <w:r w:rsidRPr="00E37FEB">
                <w:rPr>
                  <w:rStyle w:val="Hyperlink"/>
                  <w:sz w:val="18"/>
                </w:rPr>
                <w:t>Beautiful Soup</w:t>
              </w:r>
            </w:hyperlink>
          </w:p>
        </w:tc>
        <w:tc>
          <w:tcPr>
            <w:tcW w:w="1896" w:type="pct"/>
            <w:vAlign w:val="center"/>
          </w:tcPr>
          <w:p w14:paraId="49A3747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 xml:space="preserve">Bibliotecas Python: </w:t>
            </w:r>
            <w:r w:rsidRPr="00E37FEB">
              <w:rPr>
                <w:rStyle w:val="VerbatimChar"/>
                <w:rFonts w:ascii="Calibri" w:hAnsi="Calibri"/>
                <w:sz w:val="18"/>
              </w:rPr>
              <w:t>requests</w:t>
            </w:r>
            <w:r w:rsidRPr="00E37FEB">
              <w:rPr>
                <w:sz w:val="18"/>
              </w:rPr>
              <w:t xml:space="preserve"> </w:t>
            </w:r>
            <w:r w:rsidRPr="00E37FEB">
              <w:rPr>
                <w:sz w:val="18"/>
              </w:rPr>
              <w:t>realiza consultas pela internet; Beautiful Soup lê a estrutura de páginas em HyperText Markup Language (HTML).</w:t>
            </w:r>
          </w:p>
        </w:tc>
        <w:tc>
          <w:tcPr>
            <w:tcW w:w="2013" w:type="pct"/>
            <w:vAlign w:val="center"/>
          </w:tcPr>
          <w:p w14:paraId="1EB7CC8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Ajudam a buscar serviços externos e, no fluxo de preparação marítima, a localizar no portal da ANTAQ os arquivos públicos a serem baixados.</w:t>
            </w:r>
          </w:p>
        </w:tc>
      </w:tr>
      <w:tr w:rsidR="000F1D9A" w:rsidRPr="00E37FEB" w14:paraId="3A06D7CF" w14:textId="77777777" w:rsidTr="00E37FEB">
        <w:trPr>
          <w:jc w:val="center"/>
        </w:trPr>
        <w:tc>
          <w:tcPr>
            <w:tcW w:w="1091" w:type="pct"/>
            <w:vAlign w:val="center"/>
          </w:tcPr>
          <w:p w14:paraId="057D9386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hyperlink r:id="rId30">
              <w:r w:rsidRPr="00E37FEB">
                <w:rPr>
                  <w:rStyle w:val="Hyperlink"/>
                  <w:sz w:val="18"/>
                </w:rPr>
                <w:t>CurrencyConverter</w:t>
              </w:r>
            </w:hyperlink>
          </w:p>
        </w:tc>
        <w:tc>
          <w:tcPr>
            <w:tcW w:w="1896" w:type="pct"/>
            <w:vAlign w:val="center"/>
          </w:tcPr>
          <w:p w14:paraId="3D91295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Biblioteca Python para conversão de moedas.</w:t>
            </w:r>
          </w:p>
        </w:tc>
        <w:tc>
          <w:tcPr>
            <w:tcW w:w="2013" w:type="pct"/>
            <w:vAlign w:val="center"/>
          </w:tcPr>
          <w:p w14:paraId="04EAAD4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Converte para reais a referência internacional de preço do combustível marítimo quando ela está em dólar por tonelada.</w:t>
            </w:r>
          </w:p>
        </w:tc>
      </w:tr>
    </w:tbl>
    <w:p w14:paraId="3391F791" w14:textId="77777777" w:rsidR="000F1D9A" w:rsidRPr="00E37FEB" w:rsidRDefault="007224B6" w:rsidP="00E37FEB">
      <w:pPr>
        <w:pStyle w:val="FontedeTabelaCL"/>
      </w:pPr>
      <w:r w:rsidRPr="00E37FEB">
        <w:lastRenderedPageBreak/>
        <w:t>Fonte: elaboração própria a partir da arquitetura versionada do CabotageLens.</w:t>
      </w:r>
    </w:p>
    <w:p w14:paraId="01D34794" w14:textId="77777777" w:rsidR="000F1D9A" w:rsidRPr="00E37FEB" w:rsidRDefault="007224B6">
      <w:pPr>
        <w:pStyle w:val="Corpodetexto"/>
      </w:pPr>
      <w:r w:rsidRPr="00E37FEB">
        <w:t>E</w:t>
      </w:r>
      <w:r w:rsidRPr="00E37FEB">
        <w:t>m termos simples, uma biblioteca Python é um conjunto de funções prontas que pode ser usado no código do sistema. Ela apoia tarefas como consultar uma página na internet ou converter moedas, mas não é uma fonte de dados nem substitui as regras de cálculo descritas neste estudo.</w:t>
      </w:r>
    </w:p>
    <w:p w14:paraId="216D9A56" w14:textId="77777777" w:rsidR="000F1D9A" w:rsidRPr="00E37FEB" w:rsidRDefault="007224B6">
      <w:pPr>
        <w:pStyle w:val="Ttulo2"/>
      </w:pPr>
      <w:bookmarkStart w:id="57" w:name="dados-de-entrada-tratamento-de-endereços"/>
      <w:bookmarkStart w:id="58" w:name="_Toc235532523"/>
      <w:r w:rsidRPr="00E37FEB">
        <w:t>4.2 Dados de entrada, tratamento de endereços e geocodificação</w:t>
      </w:r>
      <w:bookmarkEnd w:id="57"/>
      <w:bookmarkEnd w:id="58"/>
    </w:p>
    <w:p w14:paraId="04C6971C" w14:textId="77777777" w:rsidR="000F1D9A" w:rsidRPr="00E37FEB" w:rsidRDefault="007224B6">
      <w:pPr>
        <w:pStyle w:val="Ttulo3"/>
      </w:pPr>
      <w:bookmarkStart w:id="59" w:name="dados-recebidos-pelo-pipeline"/>
      <w:bookmarkStart w:id="60" w:name="_Toc235532524"/>
      <w:r w:rsidRPr="00E37FEB">
        <w:t>4.2.1 Dados recebidos pelo pipeline</w:t>
      </w:r>
      <w:bookmarkEnd w:id="59"/>
      <w:bookmarkEnd w:id="60"/>
    </w:p>
    <w:p w14:paraId="519FCAB0" w14:textId="77777777" w:rsidR="000F1D9A" w:rsidRPr="00E37FEB" w:rsidRDefault="007224B6">
      <w:pPr>
        <w:pStyle w:val="FirstParagraph"/>
      </w:pPr>
      <w:r w:rsidRPr="00E37FEB">
        <w:t>Cada execução do pipeline recebe três dados: a origem, o destino e a massa da remessa. A origem e o destino definem os pontos inicial e final das duas alternativas; a massa, informada em toneladas, define a carga que será transportada em ambas. Antes dos cálculos, o pipeline normaliza os textos, verifica a massa e reúne os três valores em um único cenário. Assim, a rota rodoviária e a rota multimodal sempre partem dos mesmos pontos e transportam a mesma carga.</w:t>
      </w:r>
    </w:p>
    <w:p w14:paraId="7A2FA0A5" w14:textId="77777777" w:rsidR="000F1D9A" w:rsidRPr="00E37FEB" w:rsidRDefault="007224B6">
      <w:pPr>
        <w:pStyle w:val="Ttulo3"/>
      </w:pPr>
      <w:bookmarkStart w:id="61" w:name="do-texto-às-coordenadas"/>
      <w:bookmarkStart w:id="62" w:name="_Toc235532525"/>
      <w:r w:rsidRPr="00E37FEB">
        <w:t>4.2.2 Do texto às coordenadas</w:t>
      </w:r>
      <w:bookmarkEnd w:id="61"/>
      <w:bookmarkEnd w:id="62"/>
    </w:p>
    <w:p w14:paraId="1032CA90" w14:textId="77777777" w:rsidR="000F1D9A" w:rsidRPr="00E37FEB" w:rsidRDefault="007224B6">
      <w:pPr>
        <w:pStyle w:val="FirstParagraph"/>
      </w:pPr>
      <w:r w:rsidRPr="00E37FEB">
        <w:t>Origem e destino precisam ser convertidos em latitude e longitude antes de uma rota ser calculada. Esse procedimento é chamado de geocodificação. A entrada pode ser o nome de uma cidade, um endereço completo, coordenadas já conhecidas ou um Código de Endereçamento Postal (CEP).</w:t>
      </w:r>
    </w:p>
    <w:p w14:paraId="0791AA17" w14:textId="77777777" w:rsidR="000F1D9A" w:rsidRPr="00E37FEB" w:rsidRDefault="007224B6">
      <w:pPr>
        <w:pStyle w:val="Corpodetexto"/>
      </w:pPr>
      <w:r w:rsidRPr="00E37FEB">
        <w:t xml:space="preserve">Quando o provedor encontra uma correspondência suficiente, o motor de geocodificação também pode reconhecer abreviações e pequenos erros de digitação. Por exemplo, </w:t>
      </w:r>
      <w:r w:rsidRPr="00E37FEB">
        <w:rPr>
          <w:rStyle w:val="VerbatimChar"/>
        </w:rPr>
        <w:t>av prof luciano galberto</w:t>
      </w:r>
      <w:r w:rsidRPr="00E37FEB">
        <w:t xml:space="preserve"> é interpretado corretamente como “</w:t>
      </w:r>
      <w:r w:rsidRPr="00E37FEB">
        <w:t>Avenida Professor Luciano Gualberto, São Paulo, SP”.</w:t>
      </w:r>
    </w:p>
    <w:p w14:paraId="7A36FB89" w14:textId="77777777" w:rsidR="000F1D9A" w:rsidRPr="00E37FEB" w:rsidRDefault="007224B6">
      <w:pPr>
        <w:pStyle w:val="Ttulo3"/>
      </w:pPr>
      <w:bookmarkStart w:id="63" w:name="consulta-aos-serviços-de-localização"/>
      <w:bookmarkStart w:id="64" w:name="_Toc235532526"/>
      <w:r w:rsidRPr="00E37FEB">
        <w:t>4.2.3 Consulta aos serviços de localização</w:t>
      </w:r>
      <w:bookmarkEnd w:id="63"/>
      <w:bookmarkEnd w:id="64"/>
    </w:p>
    <w:p w14:paraId="2A5CA60A" w14:textId="77777777" w:rsidR="000F1D9A" w:rsidRPr="00E37FEB" w:rsidRDefault="007224B6">
      <w:pPr>
        <w:pStyle w:val="FirstParagraph"/>
      </w:pPr>
      <w:r w:rsidRPr="00E37FEB">
        <w:t>O pipeline envia o texto de origem ou destino primeiro ao OpenRouteService (ORS). Se o ORS devolver uma localização válida, recebe o rótulo do local, a latitude, a longitude e a identificação do provedor. Quando o ORS não devolve uma resposta utilizável, o pipeline envia a mesma consulta ao LocationIQ. A saída desta etapa é um ponto identificado por coordenadas (latitude e longitude).</w:t>
      </w:r>
    </w:p>
    <w:p w14:paraId="3F5A9D6F" w14:textId="77777777" w:rsidR="000F1D9A" w:rsidRPr="00E37FEB" w:rsidRDefault="007224B6">
      <w:pPr>
        <w:pStyle w:val="Ttulo3"/>
      </w:pPr>
      <w:bookmarkStart w:id="65" w:name="fluxograma-explicativo"/>
      <w:bookmarkStart w:id="66" w:name="_Toc235532527"/>
      <w:r w:rsidRPr="00E37FEB">
        <w:t>4.2.4 Fluxograma explicativo</w:t>
      </w:r>
      <w:bookmarkEnd w:id="65"/>
      <w:bookmarkEnd w:id="66"/>
    </w:p>
    <w:p w14:paraId="12566FF6" w14:textId="77777777" w:rsidR="000F1D9A" w:rsidRPr="00E37FEB" w:rsidRDefault="007224B6">
      <w:pPr>
        <w:pStyle w:val="FirstParagraph"/>
      </w:pPr>
      <w:r w:rsidRPr="00E37FEB">
        <w:t>O fluxograma mostra o caminho de quatro formas de entrada para o mesmo local:</w:t>
      </w:r>
    </w:p>
    <w:p w14:paraId="1911F288" w14:textId="77777777" w:rsidR="000F1D9A" w:rsidRPr="00E37FEB" w:rsidRDefault="007224B6" w:rsidP="00E37FEB">
      <w:pPr>
        <w:pStyle w:val="Corpodetexto"/>
        <w:keepLines/>
        <w:spacing w:before="120" w:after="80"/>
        <w:jc w:val="center"/>
      </w:pPr>
      <w:r w:rsidRPr="00E37FEB">
        <w:rPr>
          <w:noProof/>
        </w:rPr>
        <w:lastRenderedPageBreak/>
        <w:drawing>
          <wp:inline distT="0" distB="0" distL="0" distR="0" wp14:anchorId="6870667B" wp14:editId="5F73B41D">
            <wp:extent cx="5334000" cy="2464111"/>
            <wp:effectExtent l="0" t="0" r="0" b="0"/>
            <wp:docPr id="56668139" name="Picture" descr="Fluxo de geocodificação de diferentes formas de entrada para o mesmo loc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8139" name="Picture" descr="Fluxo de geocodificação de diferentes formas de entrada para o mesmo local.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4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920DCB" w14:textId="77777777" w:rsidR="000F1D9A" w:rsidRPr="00E37FEB" w:rsidRDefault="007224B6">
      <w:pPr>
        <w:pStyle w:val="Corpodetexto"/>
      </w:pPr>
      <w:r w:rsidRPr="00E37FEB">
        <w:t>Após a geocodificação de um local, suas coordenadas são armazenadas no banco de dados Supabase/PostgreSQL. Se o mesmo ponto for usado novamente, o sistema reutiliza esse resultado em vez de realizar outra geocodificação.</w:t>
      </w:r>
    </w:p>
    <w:p w14:paraId="5E27FC09" w14:textId="77777777" w:rsidR="000F1D9A" w:rsidRPr="00E37FEB" w:rsidRDefault="007224B6">
      <w:pPr>
        <w:pStyle w:val="Ttulo3"/>
      </w:pPr>
      <w:bookmarkStart w:id="67" w:name="validação-das-coordenadas"/>
      <w:bookmarkStart w:id="68" w:name="_Toc235532528"/>
      <w:r w:rsidRPr="00E37FEB">
        <w:t>4.2.5 Validação das coordenadas</w:t>
      </w:r>
      <w:bookmarkEnd w:id="67"/>
      <w:bookmarkEnd w:id="68"/>
    </w:p>
    <w:p w14:paraId="3EFCD690" w14:textId="77777777" w:rsidR="000F1D9A" w:rsidRPr="00E37FEB" w:rsidRDefault="007224B6">
      <w:pPr>
        <w:pStyle w:val="FirstParagraph"/>
      </w:pPr>
      <w:r w:rsidRPr="00E37FEB">
        <w:t xml:space="preserve">Antes de calcular uma rota, é preciso verificar se o endereço foi associado à região correta. Para isso, foi usado o endereço de referência </w:t>
      </w:r>
      <w:r w:rsidRPr="00E37FEB">
        <w:rPr>
          <w:rStyle w:val="VerbatimChar"/>
        </w:rPr>
        <w:t>Avenida Professor Luciano Gualberto, São Paulo, SP</w:t>
      </w:r>
      <w:r w:rsidRPr="00E37FEB">
        <w:t>. A consulta independente no Google Maps retornou as coordenadas latitude igual a −23,560017° e longitude igual a −46,727769°, apresentadas na Figura 3. Para o mesmo endereço, o motor de geocodificação retornou as coordenadas (−23,558808°; −46,730357°). A distância em linha reta entre os dois pontos é aproximadamente 296 m.</w:t>
      </w:r>
    </w:p>
    <w:p w14:paraId="04C01E5E" w14:textId="77777777" w:rsidR="000F1D9A" w:rsidRPr="00E37FEB" w:rsidRDefault="007224B6" w:rsidP="00E37FEB">
      <w:pPr>
        <w:pStyle w:val="Corpodetexto"/>
        <w:keepLines/>
        <w:spacing w:before="120" w:after="80"/>
        <w:jc w:val="center"/>
      </w:pPr>
      <w:r w:rsidRPr="00E37FEB">
        <w:rPr>
          <w:noProof/>
        </w:rPr>
        <w:drawing>
          <wp:inline distT="0" distB="0" distL="0" distR="0" wp14:anchorId="31379348" wp14:editId="74D1A402">
            <wp:extent cx="5334000" cy="1991534"/>
            <wp:effectExtent l="0" t="0" r="0" b="0"/>
            <wp:docPr id="1427699528" name="Picture" descr="Consulta do endereço Avenida Professor Luciano Gualberto no Google Ma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99528" name="Picture" descr="Consulta do endereço Avenida Professor Luciano Gualberto no Google Maps.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1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59BDA2" w14:textId="77777777" w:rsidR="000F1D9A" w:rsidRPr="00E37FEB" w:rsidRDefault="007224B6" w:rsidP="00E37FEB">
      <w:pPr>
        <w:pStyle w:val="LegendadeFiguraCL"/>
      </w:pPr>
      <w:r w:rsidRPr="00E37FEB">
        <w:t>Figura 3 — Consulta independente do endereço Avenida Professor Luciano Gualberto, São Paulo, SP, no Google Maps. Fonte: captura de tela do Google Maps realizada em 18 de julho de 2026.</w:t>
      </w:r>
    </w:p>
    <w:p w14:paraId="62CCE69C" w14:textId="77777777" w:rsidR="000F1D9A" w:rsidRPr="00E37FEB" w:rsidRDefault="007224B6">
      <w:pPr>
        <w:pStyle w:val="Corpodetexto"/>
      </w:pPr>
      <w:r w:rsidRPr="00E37FEB">
        <w:t>A</w:t>
      </w:r>
      <w:r w:rsidRPr="00E37FEB">
        <w:t xml:space="preserve"> Figura 4 mostra a consulta, no Google Maps, das coordenadas devolvidas pelo motor; os dois pontos permanecem na Avenida Professor Luciano Gualberto, na região da Universidade de São Paulo (USP).</w:t>
      </w:r>
    </w:p>
    <w:p w14:paraId="69B7EB0D" w14:textId="77777777" w:rsidR="000F1D9A" w:rsidRPr="00E37FEB" w:rsidRDefault="007224B6" w:rsidP="00E37FEB">
      <w:pPr>
        <w:pStyle w:val="Corpodetexto"/>
        <w:keepLines/>
        <w:spacing w:before="120" w:after="80"/>
        <w:jc w:val="center"/>
      </w:pPr>
      <w:r w:rsidRPr="00E37FEB">
        <w:rPr>
          <w:noProof/>
        </w:rPr>
        <w:lastRenderedPageBreak/>
        <w:drawing>
          <wp:inline distT="0" distB="0" distL="0" distR="0" wp14:anchorId="4D0AF6FB" wp14:editId="298DDB03">
            <wp:extent cx="5334000" cy="1717071"/>
            <wp:effectExtent l="0" t="0" r="0" b="0"/>
            <wp:docPr id="1095368877" name="Picture" descr="Consulta no Google Maps das coordenadas retornadas pelo motor de geocodific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68877" name="Picture" descr="Consulta no Google Maps das coordenadas retornadas pelo motor de geocodificação.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7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C13FA4" w14:textId="77777777" w:rsidR="000F1D9A" w:rsidRPr="00E37FEB" w:rsidRDefault="007224B6" w:rsidP="00E37FEB">
      <w:pPr>
        <w:pStyle w:val="LegendadeFiguraCL"/>
      </w:pPr>
      <w:r w:rsidRPr="00E37FEB">
        <w:t>Figura 4 — Consulta no Google Maps das coordenadas retornadas pelo motor de geocodificação para a Avenida Professor Luciano Gualberto. Fonte: captura de tela do Google Maps realizada em 18 de julho de 2026.</w:t>
      </w:r>
    </w:p>
    <w:p w14:paraId="43B36253" w14:textId="77777777" w:rsidR="000F1D9A" w:rsidRPr="00E37FEB" w:rsidRDefault="007224B6">
      <w:pPr>
        <w:pStyle w:val="Corpodetexto"/>
      </w:pPr>
      <w:r w:rsidRPr="00E37FEB">
        <w:t>E</w:t>
      </w:r>
      <w:r w:rsidRPr="00E37FEB">
        <w:t>ssa comparação confirma que as coordenadas apontam para a região correta em escala de endereço. Ela não comprova precisão cadastral, como a posição de um portão ou de um número específico do imóvel, mas é suficiente para o propósito deste estudo.</w:t>
      </w:r>
    </w:p>
    <w:p w14:paraId="53CFEBA2" w14:textId="77777777" w:rsidR="000F1D9A" w:rsidRPr="00E37FEB" w:rsidRDefault="007224B6">
      <w:pPr>
        <w:pStyle w:val="Ttulo2"/>
      </w:pPr>
      <w:bookmarkStart w:id="69" w:name="implementação-da-alternativa-rodoviária"/>
      <w:bookmarkStart w:id="70" w:name="_Toc235532529"/>
      <w:r w:rsidRPr="00E37FEB">
        <w:t>4.3 Implementação da alternativa rodoviária</w:t>
      </w:r>
      <w:bookmarkEnd w:id="69"/>
      <w:bookmarkEnd w:id="70"/>
    </w:p>
    <w:p w14:paraId="6A8F8BC0" w14:textId="77777777" w:rsidR="000F1D9A" w:rsidRPr="00E37FEB" w:rsidRDefault="007224B6">
      <w:pPr>
        <w:pStyle w:val="Ttulo3"/>
      </w:pPr>
      <w:bookmarkStart w:id="71" w:name="consulta-de-rota-rodoviária"/>
      <w:bookmarkStart w:id="72" w:name="_Toc235532530"/>
      <w:r w:rsidRPr="00E37FEB">
        <w:t>4.3.1 Consulta de rota rodoviária</w:t>
      </w:r>
      <w:bookmarkEnd w:id="71"/>
      <w:bookmarkEnd w:id="72"/>
    </w:p>
    <w:p w14:paraId="1FF14627" w14:textId="77777777" w:rsidR="000F1D9A" w:rsidRPr="00E37FEB" w:rsidRDefault="007224B6">
      <w:pPr>
        <w:pStyle w:val="FirstParagraph"/>
      </w:pPr>
      <w:r w:rsidRPr="00E37FEB">
        <w:t>Com as coordenadas da origem e do destino já definidas, o sistema envia esse par primeiro ao OpenRouteService (ORS). Se o ORS não devolver uma rota utilizável, envia o mesmo par ao LocationIQ. O provedor que responder devolve a distância rodoviária e sua identificação, que ficam associadas ao cenário.</w:t>
      </w:r>
    </w:p>
    <w:p w14:paraId="061D143F" w14:textId="77777777" w:rsidR="000F1D9A" w:rsidRPr="00E37FEB" w:rsidRDefault="007224B6">
      <w:pPr>
        <w:pStyle w:val="Corpodetexto"/>
      </w:pPr>
      <w:r w:rsidRPr="00E37FEB">
        <w:t>No exemplo São Paulo–Rio Branco, após a geocodificação descrita na Seção 4.2, o ORS recebeu as coordenadas de São Paulo (latitude −23,550520°; longitude −46,633308°) e de Rio Branco (latitude −9,989637°; longitude −67,822462°). A distância rodoviária devolvida foi 3.491,431 km.</w:t>
      </w:r>
    </w:p>
    <w:p w14:paraId="249E72B4" w14:textId="77777777" w:rsidR="000F1D9A" w:rsidRPr="00E37FEB" w:rsidRDefault="007224B6" w:rsidP="00E37FEB">
      <w:pPr>
        <w:pStyle w:val="Corpodetexto"/>
        <w:keepLines/>
        <w:spacing w:before="120" w:after="80"/>
        <w:jc w:val="center"/>
      </w:pPr>
      <w:r w:rsidRPr="00E37FEB">
        <w:rPr>
          <w:noProof/>
        </w:rPr>
        <w:drawing>
          <wp:inline distT="0" distB="0" distL="0" distR="0" wp14:anchorId="1C3CF6B6" wp14:editId="4217C65A">
            <wp:extent cx="5334000" cy="2461846"/>
            <wp:effectExtent l="0" t="0" r="0" b="0"/>
            <wp:docPr id="1212610062" name="Picture" descr="Fluxo da consulta de rota rodoviária entre São Paulo e Rio Bran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10062" name="Picture" descr="Fluxo da consulta de rota rodoviária entre São Paulo e Rio Branco.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A3379C" w14:textId="77777777" w:rsidR="000F1D9A" w:rsidRPr="00E37FEB" w:rsidRDefault="007224B6">
      <w:pPr>
        <w:pStyle w:val="Ttulo4"/>
      </w:pPr>
      <w:bookmarkStart w:id="73" w:name="validação-da-distância-rodoviária"/>
      <w:bookmarkStart w:id="74" w:name="_Toc235532531"/>
      <w:r w:rsidRPr="00E37FEB">
        <w:lastRenderedPageBreak/>
        <w:t>4.3.1.1 Validação da distância rodoviária</w:t>
      </w:r>
      <w:bookmarkEnd w:id="73"/>
      <w:bookmarkEnd w:id="74"/>
    </w:p>
    <w:p w14:paraId="29993BCE" w14:textId="77777777" w:rsidR="000F1D9A" w:rsidRPr="00E37FEB" w:rsidRDefault="007224B6">
      <w:pPr>
        <w:pStyle w:val="FirstParagraph"/>
      </w:pPr>
      <w:r w:rsidRPr="00E37FEB">
        <w:t>A Figura 5 apresenta uma consulta independente no Google Maps para a mesma ligação entre São Paulo e Rio Branco. A rota selecionada pelo Google Maps tem 3.497 km, enquanto o motor do sistema retornou 3.491,431 km. A diferença é de 5,569 km, ou 0,16% da distância exibida no Google Maps.</w:t>
      </w:r>
    </w:p>
    <w:p w14:paraId="76982978" w14:textId="77777777" w:rsidR="000F1D9A" w:rsidRPr="00E37FEB" w:rsidRDefault="007224B6" w:rsidP="00E37FEB">
      <w:pPr>
        <w:pStyle w:val="Corpodetexto"/>
        <w:keepLines/>
        <w:spacing w:before="120" w:after="80"/>
        <w:jc w:val="center"/>
      </w:pPr>
      <w:r w:rsidRPr="00E37FEB">
        <w:rPr>
          <w:noProof/>
        </w:rPr>
        <w:drawing>
          <wp:inline distT="0" distB="0" distL="0" distR="0" wp14:anchorId="22B7CA40" wp14:editId="25213061">
            <wp:extent cx="5334000" cy="3712705"/>
            <wp:effectExtent l="0" t="0" r="0" b="0"/>
            <wp:docPr id="797888189" name="Picture" descr="Rota rodoviária entre São Paulo e Rio Branco no Google Ma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88189" name="Picture" descr="Rota rodoviária entre São Paulo e Rio Branco no Google Maps.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2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7BE66A" w14:textId="77777777" w:rsidR="000F1D9A" w:rsidRPr="00E37FEB" w:rsidRDefault="007224B6" w:rsidP="00E37FEB">
      <w:pPr>
        <w:pStyle w:val="LegendadeFiguraCL"/>
      </w:pPr>
      <w:r w:rsidRPr="00E37FEB">
        <w:t>Figura 5 — Consulta no Google Maps para São Paulo–Rio Branco: rota selecionada de 3.497 km. Fonte: captura de tela do Google Maps realizada em 15 de julho de 2026.</w:t>
      </w:r>
    </w:p>
    <w:p w14:paraId="1A435A3C" w14:textId="77777777" w:rsidR="000F1D9A" w:rsidRPr="00E37FEB" w:rsidRDefault="007224B6">
      <w:pPr>
        <w:pStyle w:val="Corpodetexto"/>
      </w:pPr>
      <w:r w:rsidRPr="00E37FEB">
        <w:t>E</w:t>
      </w:r>
      <w:r w:rsidRPr="00E37FEB">
        <w:t>ssa proximidade mostra que a distância usada no cálculo representa uma rota pela malha rodoviária, e não a distância geográfica em linha reta entre as cidades. Usar a distância em linha reta reduziria artificialmente os quilômetros percorridos e poderia distorcer as estimativas de consumo, custo e emissões.</w:t>
      </w:r>
    </w:p>
    <w:p w14:paraId="24E96E97" w14:textId="77777777" w:rsidR="000F1D9A" w:rsidRPr="00E37FEB" w:rsidRDefault="007224B6">
      <w:pPr>
        <w:pStyle w:val="Ttulo3"/>
      </w:pPr>
      <w:bookmarkStart w:id="75" w:name="consulta-do-preço-do-diesel"/>
      <w:bookmarkStart w:id="76" w:name="_Toc235532532"/>
      <w:r w:rsidRPr="00E37FEB">
        <w:t>4.3.2 Consulta do preço do diesel</w:t>
      </w:r>
      <w:bookmarkEnd w:id="75"/>
      <w:bookmarkEnd w:id="76"/>
    </w:p>
    <w:p w14:paraId="2A445293" w14:textId="77777777" w:rsidR="000F1D9A" w:rsidRPr="00E37FEB" w:rsidRDefault="007224B6">
      <w:pPr>
        <w:pStyle w:val="FirstParagraph"/>
      </w:pPr>
      <w:r w:rsidRPr="00E37FEB">
        <w:t xml:space="preserve">Para calcular o custo, a rotina Python busca os preços mais recentes de Diesel S10. Ela baixa a planilha semanal de preços de revenda por estado da Agência Nacional do Petróleo, Gás Natural e Biocombustíveis (ANP), disponibilizada no </w:t>
      </w:r>
      <w:hyperlink r:id="rId36">
        <w:r w:rsidRPr="00E37FEB">
          <w:rPr>
            <w:rStyle w:val="Hyperlink"/>
          </w:rPr>
          <w:t>site oficial da agência</w:t>
        </w:r>
      </w:hyperlink>
      <w:r w:rsidRPr="00E37FEB">
        <w:t>.</w:t>
      </w:r>
    </w:p>
    <w:p w14:paraId="1A20A254" w14:textId="77777777" w:rsidR="000F1D9A" w:rsidRPr="00E37FEB" w:rsidRDefault="007224B6">
      <w:pPr>
        <w:pStyle w:val="Corpodetexto"/>
      </w:pPr>
      <w:r w:rsidRPr="00E37FEB">
        <w:t>Após confirmar que o XLSX baixado gerou uma tabela válida de preços por Unidade da Federação (UF), a rotina também salva os dois arquivos no Supabase Storage, o espaço de armazenamento de arquivos do projeto, para garantir rastreabilidade e uma alternativa caso o site da ANP esteja indisponível.</w:t>
      </w:r>
    </w:p>
    <w:p w14:paraId="71002A95" w14:textId="77777777" w:rsidR="000F1D9A" w:rsidRPr="00E37FEB" w:rsidRDefault="007224B6" w:rsidP="00E37FEB">
      <w:pPr>
        <w:pStyle w:val="TtulodeTabelaCL"/>
      </w:pPr>
      <w:r w:rsidRPr="00E37FEB">
        <w:lastRenderedPageBreak/>
        <w:t xml:space="preserve">Tabela 12 — Recorte bruto da planilha semanal da ANP para </w:t>
      </w:r>
      <w:r w:rsidRPr="00E37FEB">
        <w:rPr>
          <w:rStyle w:val="VerbatimChar"/>
        </w:rPr>
        <w:t>OLEO DIESEL S10</w:t>
      </w:r>
      <w:r w:rsidRPr="00E37FEB">
        <w:t>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1064"/>
        <w:gridCol w:w="939"/>
        <w:gridCol w:w="1155"/>
        <w:gridCol w:w="1502"/>
        <w:gridCol w:w="1343"/>
        <w:gridCol w:w="1477"/>
        <w:gridCol w:w="1593"/>
      </w:tblGrid>
      <w:tr w:rsidR="000F1D9A" w:rsidRPr="00E37FEB" w14:paraId="38E9158E" w14:textId="77777777" w:rsidTr="00E37FEB">
        <w:trPr>
          <w:tblHeader/>
          <w:jc w:val="center"/>
        </w:trPr>
        <w:tc>
          <w:tcPr>
            <w:tcW w:w="586" w:type="pct"/>
            <w:shd w:val="clear" w:color="auto" w:fill="E8EEF5"/>
            <w:vAlign w:val="center"/>
          </w:tcPr>
          <w:p w14:paraId="2E6E8D9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D</w:t>
            </w:r>
            <w:r w:rsidRPr="00E37FEB">
              <w:rPr>
                <w:b/>
                <w:sz w:val="18"/>
              </w:rPr>
              <w:t>ATA INICIAL</w:t>
            </w:r>
          </w:p>
        </w:tc>
        <w:tc>
          <w:tcPr>
            <w:tcW w:w="517" w:type="pct"/>
            <w:shd w:val="clear" w:color="auto" w:fill="E8EEF5"/>
            <w:vAlign w:val="center"/>
          </w:tcPr>
          <w:p w14:paraId="6239BBD4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DATA FINAL</w:t>
            </w:r>
          </w:p>
        </w:tc>
        <w:tc>
          <w:tcPr>
            <w:tcW w:w="636" w:type="pct"/>
            <w:shd w:val="clear" w:color="auto" w:fill="E8EEF5"/>
            <w:vAlign w:val="center"/>
          </w:tcPr>
          <w:p w14:paraId="5BE7B12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REGIÃO</w:t>
            </w:r>
          </w:p>
        </w:tc>
        <w:tc>
          <w:tcPr>
            <w:tcW w:w="828" w:type="pct"/>
            <w:shd w:val="clear" w:color="auto" w:fill="E8EEF5"/>
            <w:vAlign w:val="center"/>
          </w:tcPr>
          <w:p w14:paraId="6283BF5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ESTADO</w:t>
            </w:r>
          </w:p>
        </w:tc>
        <w:tc>
          <w:tcPr>
            <w:tcW w:w="740" w:type="pct"/>
            <w:shd w:val="clear" w:color="auto" w:fill="E8EEF5"/>
            <w:vAlign w:val="center"/>
          </w:tcPr>
          <w:p w14:paraId="734F6F53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PRODUTO</w:t>
            </w:r>
          </w:p>
        </w:tc>
        <w:tc>
          <w:tcPr>
            <w:tcW w:w="814" w:type="pct"/>
            <w:shd w:val="clear" w:color="auto" w:fill="E8EEF5"/>
            <w:vAlign w:val="center"/>
          </w:tcPr>
          <w:p w14:paraId="496EA86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UNIDADE DE MEDIDA</w:t>
            </w:r>
          </w:p>
        </w:tc>
        <w:tc>
          <w:tcPr>
            <w:tcW w:w="878" w:type="pct"/>
            <w:shd w:val="clear" w:color="auto" w:fill="E8EEF5"/>
            <w:vAlign w:val="center"/>
          </w:tcPr>
          <w:p w14:paraId="353E7A5D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PREÇO MÉDIO REVENDA</w:t>
            </w:r>
          </w:p>
        </w:tc>
      </w:tr>
      <w:tr w:rsidR="000F1D9A" w:rsidRPr="00E37FEB" w14:paraId="33D045CC" w14:textId="77777777" w:rsidTr="00E37FEB">
        <w:trPr>
          <w:jc w:val="center"/>
        </w:trPr>
        <w:tc>
          <w:tcPr>
            <w:tcW w:w="586" w:type="pct"/>
            <w:vAlign w:val="center"/>
          </w:tcPr>
          <w:p w14:paraId="60ECC54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07-12-26</w:t>
            </w:r>
          </w:p>
        </w:tc>
        <w:tc>
          <w:tcPr>
            <w:tcW w:w="517" w:type="pct"/>
            <w:vAlign w:val="center"/>
          </w:tcPr>
          <w:p w14:paraId="7658DC5A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07-18-26</w:t>
            </w:r>
          </w:p>
        </w:tc>
        <w:tc>
          <w:tcPr>
            <w:tcW w:w="636" w:type="pct"/>
            <w:vAlign w:val="center"/>
          </w:tcPr>
          <w:p w14:paraId="4A0A654D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SUDESTE</w:t>
            </w:r>
          </w:p>
        </w:tc>
        <w:tc>
          <w:tcPr>
            <w:tcW w:w="828" w:type="pct"/>
            <w:vAlign w:val="center"/>
          </w:tcPr>
          <w:p w14:paraId="0BDD1783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SAO PAULO</w:t>
            </w:r>
          </w:p>
        </w:tc>
        <w:tc>
          <w:tcPr>
            <w:tcW w:w="740" w:type="pct"/>
            <w:vAlign w:val="center"/>
          </w:tcPr>
          <w:p w14:paraId="3BDBBC94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OLEO DIESEL S10</w:t>
            </w:r>
          </w:p>
        </w:tc>
        <w:tc>
          <w:tcPr>
            <w:tcW w:w="814" w:type="pct"/>
            <w:vAlign w:val="center"/>
          </w:tcPr>
          <w:p w14:paraId="77DE583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R$/l</w:t>
            </w:r>
          </w:p>
        </w:tc>
        <w:tc>
          <w:tcPr>
            <w:tcW w:w="878" w:type="pct"/>
            <w:vAlign w:val="center"/>
          </w:tcPr>
          <w:p w14:paraId="27EC6AF7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6.96</w:t>
            </w:r>
          </w:p>
        </w:tc>
      </w:tr>
      <w:tr w:rsidR="000F1D9A" w:rsidRPr="00E37FEB" w14:paraId="7FA744CA" w14:textId="77777777" w:rsidTr="00E37FEB">
        <w:trPr>
          <w:jc w:val="center"/>
        </w:trPr>
        <w:tc>
          <w:tcPr>
            <w:tcW w:w="586" w:type="pct"/>
            <w:vAlign w:val="center"/>
          </w:tcPr>
          <w:p w14:paraId="58126233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07-12-26</w:t>
            </w:r>
          </w:p>
        </w:tc>
        <w:tc>
          <w:tcPr>
            <w:tcW w:w="517" w:type="pct"/>
            <w:vAlign w:val="center"/>
          </w:tcPr>
          <w:p w14:paraId="544E161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07-18-26</w:t>
            </w:r>
          </w:p>
        </w:tc>
        <w:tc>
          <w:tcPr>
            <w:tcW w:w="636" w:type="pct"/>
            <w:vAlign w:val="center"/>
          </w:tcPr>
          <w:p w14:paraId="52B363B3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NORTE</w:t>
            </w:r>
          </w:p>
        </w:tc>
        <w:tc>
          <w:tcPr>
            <w:tcW w:w="828" w:type="pct"/>
            <w:vAlign w:val="center"/>
          </w:tcPr>
          <w:p w14:paraId="4704ABF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ACRE</w:t>
            </w:r>
          </w:p>
        </w:tc>
        <w:tc>
          <w:tcPr>
            <w:tcW w:w="740" w:type="pct"/>
            <w:vAlign w:val="center"/>
          </w:tcPr>
          <w:p w14:paraId="1945BF5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OLEO DIESEL S10</w:t>
            </w:r>
          </w:p>
        </w:tc>
        <w:tc>
          <w:tcPr>
            <w:tcW w:w="814" w:type="pct"/>
            <w:vAlign w:val="center"/>
          </w:tcPr>
          <w:p w14:paraId="23CAC85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R$/l</w:t>
            </w:r>
          </w:p>
        </w:tc>
        <w:tc>
          <w:tcPr>
            <w:tcW w:w="878" w:type="pct"/>
            <w:vAlign w:val="center"/>
          </w:tcPr>
          <w:p w14:paraId="3575B4D6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9.27</w:t>
            </w:r>
          </w:p>
        </w:tc>
      </w:tr>
      <w:tr w:rsidR="000F1D9A" w:rsidRPr="00E37FEB" w14:paraId="5B46ADDF" w14:textId="77777777" w:rsidTr="00E37FEB">
        <w:trPr>
          <w:jc w:val="center"/>
        </w:trPr>
        <w:tc>
          <w:tcPr>
            <w:tcW w:w="586" w:type="pct"/>
            <w:vAlign w:val="center"/>
          </w:tcPr>
          <w:p w14:paraId="4F06EB6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07-12-26</w:t>
            </w:r>
          </w:p>
        </w:tc>
        <w:tc>
          <w:tcPr>
            <w:tcW w:w="517" w:type="pct"/>
            <w:vAlign w:val="center"/>
          </w:tcPr>
          <w:p w14:paraId="578279C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07-18-26</w:t>
            </w:r>
          </w:p>
        </w:tc>
        <w:tc>
          <w:tcPr>
            <w:tcW w:w="636" w:type="pct"/>
            <w:vAlign w:val="center"/>
          </w:tcPr>
          <w:p w14:paraId="4385D40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NORTE</w:t>
            </w:r>
          </w:p>
        </w:tc>
        <w:tc>
          <w:tcPr>
            <w:tcW w:w="828" w:type="pct"/>
            <w:vAlign w:val="center"/>
          </w:tcPr>
          <w:p w14:paraId="0024E8F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AMAZONAS</w:t>
            </w:r>
          </w:p>
        </w:tc>
        <w:tc>
          <w:tcPr>
            <w:tcW w:w="740" w:type="pct"/>
            <w:vAlign w:val="center"/>
          </w:tcPr>
          <w:p w14:paraId="230B0BD4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OLEO DIESEL S10</w:t>
            </w:r>
          </w:p>
        </w:tc>
        <w:tc>
          <w:tcPr>
            <w:tcW w:w="814" w:type="pct"/>
            <w:vAlign w:val="center"/>
          </w:tcPr>
          <w:p w14:paraId="79D1764A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R$/l</w:t>
            </w:r>
          </w:p>
        </w:tc>
        <w:tc>
          <w:tcPr>
            <w:tcW w:w="878" w:type="pct"/>
            <w:vAlign w:val="center"/>
          </w:tcPr>
          <w:p w14:paraId="73B3FEE6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7.25</w:t>
            </w:r>
          </w:p>
        </w:tc>
      </w:tr>
      <w:tr w:rsidR="000F1D9A" w:rsidRPr="00E37FEB" w14:paraId="087D951C" w14:textId="77777777" w:rsidTr="00E37FEB">
        <w:trPr>
          <w:jc w:val="center"/>
        </w:trPr>
        <w:tc>
          <w:tcPr>
            <w:tcW w:w="586" w:type="pct"/>
            <w:vAlign w:val="center"/>
          </w:tcPr>
          <w:p w14:paraId="418928A4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07-12-26</w:t>
            </w:r>
          </w:p>
        </w:tc>
        <w:tc>
          <w:tcPr>
            <w:tcW w:w="517" w:type="pct"/>
            <w:vAlign w:val="center"/>
          </w:tcPr>
          <w:p w14:paraId="45E8F33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07-18-26</w:t>
            </w:r>
          </w:p>
        </w:tc>
        <w:tc>
          <w:tcPr>
            <w:tcW w:w="636" w:type="pct"/>
            <w:vAlign w:val="center"/>
          </w:tcPr>
          <w:p w14:paraId="14C87F4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NORDESTE</w:t>
            </w:r>
          </w:p>
        </w:tc>
        <w:tc>
          <w:tcPr>
            <w:tcW w:w="828" w:type="pct"/>
            <w:vAlign w:val="center"/>
          </w:tcPr>
          <w:p w14:paraId="6AC83E0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PERNAMBUCO</w:t>
            </w:r>
          </w:p>
        </w:tc>
        <w:tc>
          <w:tcPr>
            <w:tcW w:w="740" w:type="pct"/>
            <w:vAlign w:val="center"/>
          </w:tcPr>
          <w:p w14:paraId="1F0188D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OLEO DIESEL S10</w:t>
            </w:r>
          </w:p>
        </w:tc>
        <w:tc>
          <w:tcPr>
            <w:tcW w:w="814" w:type="pct"/>
            <w:vAlign w:val="center"/>
          </w:tcPr>
          <w:p w14:paraId="18EA526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R$/l</w:t>
            </w:r>
          </w:p>
        </w:tc>
        <w:tc>
          <w:tcPr>
            <w:tcW w:w="878" w:type="pct"/>
            <w:vAlign w:val="center"/>
          </w:tcPr>
          <w:p w14:paraId="706908A5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6.88</w:t>
            </w:r>
          </w:p>
        </w:tc>
      </w:tr>
    </w:tbl>
    <w:p w14:paraId="54CE0DB1" w14:textId="77777777" w:rsidR="000F1D9A" w:rsidRPr="00E37FEB" w:rsidRDefault="007224B6" w:rsidP="00E37FEB">
      <w:pPr>
        <w:pStyle w:val="FontedeTabelaCL"/>
      </w:pPr>
      <w:r w:rsidRPr="00E37FEB">
        <w:t xml:space="preserve">Fonte: planilha semanal de preços de revenda por estado da ANP, aba </w:t>
      </w:r>
      <w:r w:rsidRPr="00E37FEB">
        <w:rPr>
          <w:rStyle w:val="VerbatimChar"/>
        </w:rPr>
        <w:t>ESTADOS - DESDE 30.12.2012</w:t>
      </w:r>
      <w:r w:rsidRPr="00E37FEB">
        <w:t xml:space="preserve">, produto </w:t>
      </w:r>
      <w:r w:rsidRPr="00E37FEB">
        <w:rPr>
          <w:rStyle w:val="VerbatimChar"/>
        </w:rPr>
        <w:t>OLEO DIESEL S10</w:t>
      </w:r>
      <w:r w:rsidRPr="00E37FEB">
        <w:t xml:space="preserve">, período de 12 a 18 de julho de 2026. Valores reproduzidos do arquivo </w:t>
      </w:r>
      <w:r w:rsidRPr="00E37FEB">
        <w:rPr>
          <w:rStyle w:val="VerbatimChar"/>
        </w:rPr>
        <w:t>SEMANAL_ESTADOS-DESDE_2013.xlsx</w:t>
      </w:r>
      <w:r w:rsidRPr="00E37FEB">
        <w:t xml:space="preserve"> usado para conferir a rotina de leitura.</w:t>
      </w:r>
    </w:p>
    <w:p w14:paraId="7FF013D1" w14:textId="77777777" w:rsidR="000F1D9A" w:rsidRPr="00E37FEB" w:rsidRDefault="007224B6">
      <w:pPr>
        <w:pStyle w:val="Ttulo3"/>
      </w:pPr>
      <w:bookmarkStart w:id="77" w:name="consumo-custo-e-emissões-rodoviárias"/>
      <w:bookmarkStart w:id="78" w:name="_Toc235532533"/>
      <w:r w:rsidRPr="00E37FEB">
        <w:t>4</w:t>
      </w:r>
      <w:r w:rsidRPr="00E37FEB">
        <w:t>.3.3 Consumo, custo e emissões rodoviárias</w:t>
      </w:r>
      <w:bookmarkEnd w:id="77"/>
      <w:bookmarkEnd w:id="78"/>
    </w:p>
    <w:p w14:paraId="383534EF" w14:textId="77777777" w:rsidR="000F1D9A" w:rsidRPr="00E37FEB" w:rsidRDefault="007224B6">
      <w:pPr>
        <w:pStyle w:val="FirstParagraph"/>
      </w:pPr>
      <w:r w:rsidRPr="00E37FEB">
        <w:t>Com a distância disponível, o avaliador aplica as regras das Seções 3.2.1 a 3.2.3. Ele seleciona a configuração rodoviária representativa a partir da massa da remessa, calcula os litros de diesel de cada perna e converte esse consumo em custo e emissões.</w:t>
      </w:r>
    </w:p>
    <w:p w14:paraId="6C3C7FFA" w14:textId="77777777" w:rsidR="000F1D9A" w:rsidRPr="00E37FEB" w:rsidRDefault="007224B6">
      <w:pPr>
        <w:pStyle w:val="Corpodetexto"/>
      </w:pPr>
      <w:r w:rsidRPr="00E37FEB">
        <w:t>Cada perna guarda, além do valor calculado, a distância, o tipo de veículo, o preço de diesel, o fator de emissão e a origem desses insumos. Dessa forma, o total rodoviário pode ser auditado sem misturá-lo com as parcelas portuárias ou marítimas.</w:t>
      </w:r>
    </w:p>
    <w:p w14:paraId="68067AC7" w14:textId="77777777" w:rsidR="000F1D9A" w:rsidRPr="00E37FEB" w:rsidRDefault="007224B6">
      <w:pPr>
        <w:pStyle w:val="Ttulo3"/>
      </w:pPr>
      <w:bookmarkStart w:id="79" w:name="resumo-do-pipeline-da-alternativa-direta"/>
      <w:bookmarkStart w:id="80" w:name="_Toc235532534"/>
      <w:r w:rsidRPr="00E37FEB">
        <w:t>4.3.4 Resumo do pipeline da alternativa direta</w:t>
      </w:r>
      <w:bookmarkEnd w:id="79"/>
      <w:bookmarkEnd w:id="80"/>
    </w:p>
    <w:p w14:paraId="5BA0FFEE" w14:textId="77777777" w:rsidR="000F1D9A" w:rsidRPr="00E37FEB" w:rsidRDefault="007224B6">
      <w:pPr>
        <w:pStyle w:val="FirstParagraph"/>
      </w:pPr>
      <w:r w:rsidRPr="00E37FEB">
        <w:t>A alternativa direta é calculada de forma independente da alternativa multimodal. O pipeline recebe origem, destino e carga; transforma os locais em coordenadas; obtém a distância pela malha rodoviária; seleciona o veículo representativo; estima o consumo de diesel; e, por fim, converte esse consumo em custo modelado do combustível e emissões operacionais. O resultado serve como referência para a comparação, sem incluir portos ou navegação.</w:t>
      </w:r>
    </w:p>
    <w:p w14:paraId="4A872CEB" w14:textId="77777777" w:rsidR="000F1D9A" w:rsidRPr="00E37FEB" w:rsidRDefault="007224B6">
      <w:pPr>
        <w:pStyle w:val="Corpodetexto"/>
      </w:pPr>
      <w:r w:rsidRPr="00E37FEB">
        <w:t>No exemplo São Paulo–Rio Branco, uma remessa de 14 t percorre 3.491,431 km. O sistema seleciona uma carreta de cinco eixos, com eficiência de 2,3 km/L, e estima 1.518,014 L de Diesel S10. Com o preço e o fator de emissão definidos nas Seções 3.2.2 e 3.2.3, o resultado é R$ 12.318,68 de custo modelado do combustível e 4.068,28 kg CO₂e de emissões operacionais TTW.</w:t>
      </w:r>
    </w:p>
    <w:p w14:paraId="3ED31CF2" w14:textId="77777777" w:rsidR="000F1D9A" w:rsidRPr="00E37FEB" w:rsidRDefault="007224B6" w:rsidP="00E37FEB">
      <w:pPr>
        <w:pStyle w:val="Corpodetexto"/>
        <w:keepLines/>
        <w:spacing w:before="120" w:after="80"/>
        <w:jc w:val="center"/>
      </w:pPr>
      <w:r w:rsidRPr="00E37FEB">
        <w:rPr>
          <w:noProof/>
        </w:rPr>
        <w:lastRenderedPageBreak/>
        <w:drawing>
          <wp:inline distT="0" distB="0" distL="0" distR="0" wp14:anchorId="6BF792DB" wp14:editId="0549D03C">
            <wp:extent cx="5334000" cy="2322216"/>
            <wp:effectExtent l="0" t="0" r="0" b="0"/>
            <wp:docPr id="71286936" name="Picture" descr="Fluxo do cálculo de consumo, custo e emissões da alternativa rodoviár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6936" name="Picture" descr="Fluxo do cálculo de consumo, custo e emissões da alternativa rodoviária.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2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0A4721" w14:textId="77777777" w:rsidR="000F1D9A" w:rsidRPr="00E37FEB" w:rsidRDefault="007224B6">
      <w:pPr>
        <w:pStyle w:val="Ttulo2"/>
      </w:pPr>
      <w:bookmarkStart w:id="81" w:name="montagem-da-alternativa-multimodal"/>
      <w:bookmarkStart w:id="82" w:name="_Toc235532535"/>
      <w:r w:rsidRPr="00E37FEB">
        <w:t>4.4 Montagem da alternativa multimodal</w:t>
      </w:r>
      <w:bookmarkEnd w:id="81"/>
      <w:bookmarkEnd w:id="82"/>
    </w:p>
    <w:p w14:paraId="5957A74F" w14:textId="77777777" w:rsidR="000F1D9A" w:rsidRPr="00E37FEB" w:rsidRDefault="007224B6">
      <w:pPr>
        <w:pStyle w:val="FirstParagraph"/>
      </w:pPr>
      <w:r w:rsidRPr="00E37FEB">
        <w:t>Após calcular a rota rodoviária direta, o sistema monta a alternativa multimodal. Essa etapa reutiliza os veículos representativos do transporte rodoviário, os endereços já geocodificados, os preços de diesel por unidade federativa e a cotação do VLSFO.</w:t>
      </w:r>
    </w:p>
    <w:p w14:paraId="12BA783D" w14:textId="77777777" w:rsidR="000F1D9A" w:rsidRPr="00E37FEB" w:rsidRDefault="007224B6">
      <w:pPr>
        <w:pStyle w:val="Ttulo3"/>
      </w:pPr>
      <w:bookmarkStart w:id="83" w:name="consulta-e-conversão-do-preço-do-vlsfo"/>
      <w:bookmarkStart w:id="84" w:name="_Toc235532536"/>
      <w:r w:rsidRPr="00E37FEB">
        <w:t>4.4.1 Consulta e conversão do preço do VLSFO</w:t>
      </w:r>
      <w:bookmarkEnd w:id="83"/>
      <w:bookmarkEnd w:id="84"/>
    </w:p>
    <w:p w14:paraId="16A37D47" w14:textId="77777777" w:rsidR="000F1D9A" w:rsidRPr="00E37FEB" w:rsidRDefault="007224B6">
      <w:pPr>
        <w:pStyle w:val="FirstParagraph"/>
      </w:pPr>
      <w:r w:rsidRPr="00E37FEB">
        <w:t>Antes de avaliar a alternativa multimodal, o pipeline busca a cotação mais recente disponível do VLSFO (</w:t>
      </w:r>
      <w:r w:rsidRPr="00E37FEB">
        <w:rPr>
          <w:i/>
        </w:rPr>
        <w:t>very low sulphur fuel oil</w:t>
      </w:r>
      <w:r w:rsidRPr="00E37FEB">
        <w:t xml:space="preserve">, óleo combustível de baixíssimo teor de enxofre) na </w:t>
      </w:r>
      <w:hyperlink r:id="rId38">
        <w:r w:rsidRPr="00E37FEB">
          <w:rPr>
            <w:rStyle w:val="Hyperlink"/>
          </w:rPr>
          <w:t>Ship &amp; Bunker</w:t>
        </w:r>
      </w:hyperlink>
      <w:r w:rsidRPr="00E37FEB">
        <w:t xml:space="preserve">. A biblioteca Python </w:t>
      </w:r>
      <w:r w:rsidRPr="00E37FEB">
        <w:rPr>
          <w:rStyle w:val="VerbatimChar"/>
        </w:rPr>
        <w:t>requests</w:t>
      </w:r>
      <w:r w:rsidRPr="00E37FEB">
        <w:t xml:space="preserve"> acessa a página brasileira do serviço e obtém o preço do VLSFO em dólares por tonelada métrica (US$/mt).</w:t>
      </w:r>
    </w:p>
    <w:p w14:paraId="1909BA5A" w14:textId="77777777" w:rsidR="000F1D9A" w:rsidRPr="00E37FEB" w:rsidRDefault="007224B6">
      <w:pPr>
        <w:pStyle w:val="Corpodetexto"/>
      </w:pPr>
      <w:r w:rsidRPr="00E37FEB">
        <w:t xml:space="preserve">A cotação internacional precisa ser convertida antes de entrar no cálculo de custo. A biblioteca Python </w:t>
      </w:r>
      <w:hyperlink r:id="rId39">
        <w:r w:rsidRPr="00E37FEB">
          <w:rPr>
            <w:rStyle w:val="Hyperlink"/>
          </w:rPr>
          <w:t>CurrencyConverter</w:t>
        </w:r>
      </w:hyperlink>
      <w:r w:rsidRPr="00E37FEB">
        <w:t xml:space="preserve"> obtém a taxa USD/BRL a partir das referências do Banco Central Europeu (BCE).</w:t>
      </w:r>
    </w:p>
    <w:p w14:paraId="253ED2F5" w14:textId="77777777" w:rsidR="000F1D9A" w:rsidRPr="00E37FEB" w:rsidRDefault="007224B6">
      <w:pPr>
        <w:pStyle w:val="Corpodetexto"/>
      </w:pPr>
      <w:r w:rsidRPr="00E37FEB">
        <w:t>No exemplo São Paulo–Rio Branco, a conversão é:</w:t>
      </w:r>
    </w:p>
    <w:p w14:paraId="762FC6AF" w14:textId="77777777" w:rsidR="000F1D9A" w:rsidRPr="00E37FEB" w:rsidRDefault="007224B6">
      <w:pPr>
        <w:pStyle w:val="Corpodetexto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VLSFO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R$/mt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=741,50 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US$/mt</m:t>
                </m:r>
                <m:r>
                  <w:rPr>
                    <w:rFonts w:ascii="Cambria Math" w:hAnsi="Cambria Math"/>
                  </w:rPr>
                  <m:t>×5,141345 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R$/US$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=3.812,31 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R$/mt</m:t>
                </m:r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VLSFO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R$/kg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3.812,31 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R$/mt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1.000 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kg/mt</m:t>
                    </m:r>
                  </m:den>
                </m:f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=3,812 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R$/kg</m:t>
                </m:r>
                <m: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 w14:paraId="21E624EE" w14:textId="77777777" w:rsidR="000F1D9A" w:rsidRPr="00E37FEB" w:rsidRDefault="007224B6">
      <w:pPr>
        <w:pStyle w:val="FirstParagraph"/>
      </w:pPr>
      <w:r w:rsidRPr="00E37FEB">
        <w:t xml:space="preserve">Nas duas linhas,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VLSFO</m:t>
            </m:r>
          </m:sub>
        </m:sSub>
      </m:oMath>
      <w:r w:rsidRPr="00E37FEB">
        <w:t xml:space="preserve"> representa o preço do VLSFO e o sobrescrito informa a unidade em que ele está expresso. Esse é o valor entregue ao avaliador para calcular o custo do combustível marítimo. A fonte, os valores e a regra de custo estão detalhados na Seção 3.3.6 e na Tabela 8.</w:t>
      </w:r>
    </w:p>
    <w:p w14:paraId="152393F5" w14:textId="77777777" w:rsidR="000F1D9A" w:rsidRPr="00E37FEB" w:rsidRDefault="007224B6">
      <w:pPr>
        <w:pStyle w:val="Ttulo3"/>
      </w:pPr>
      <w:bookmarkStart w:id="85" w:name="matriz-marítima"/>
      <w:bookmarkStart w:id="86" w:name="_Toc235532537"/>
      <w:r w:rsidRPr="00E37FEB">
        <w:lastRenderedPageBreak/>
        <w:t>4.4.2 Matriz marítima</w:t>
      </w:r>
      <w:bookmarkEnd w:id="85"/>
      <w:bookmarkEnd w:id="86"/>
    </w:p>
    <w:p w14:paraId="10EFDB26" w14:textId="77777777" w:rsidR="000F1D9A" w:rsidRPr="00E37FEB" w:rsidRDefault="007224B6">
      <w:pPr>
        <w:pStyle w:val="FirstParagraph"/>
      </w:pPr>
      <w:r w:rsidRPr="00E37FEB">
        <w:t>Antes de definir os portos de um novo cenário, o sistema prepara a referência marítima com base em viagens de cabotagem que realmente ocorreram. O produto dessa preparação é uma matriz marítima construída com dados observados.</w:t>
      </w:r>
    </w:p>
    <w:p w14:paraId="5CB6FCAC" w14:textId="77777777" w:rsidR="000F1D9A" w:rsidRPr="00E37FEB" w:rsidRDefault="007224B6">
      <w:pPr>
        <w:pStyle w:val="Corpodetexto"/>
      </w:pPr>
      <w:r w:rsidRPr="00E37FEB">
        <w:t xml:space="preserve">Quando a matriz não apresenta uma distância entre dois portos, a implementação usa como fallback os dados de distância marítima publicados pelo </w:t>
      </w:r>
      <w:hyperlink r:id="rId40">
        <w:r w:rsidRPr="00E37FEB">
          <w:rPr>
            <w:rStyle w:val="Hyperlink"/>
          </w:rPr>
          <w:t>Geógrafos</w:t>
        </w:r>
      </w:hyperlink>
      <w:r w:rsidRPr="00E37FEB">
        <w:t>.</w:t>
      </w:r>
    </w:p>
    <w:p w14:paraId="73083157" w14:textId="77777777" w:rsidR="000F1D9A" w:rsidRPr="00E37FEB" w:rsidRDefault="007224B6">
      <w:pPr>
        <w:pStyle w:val="Ttulo4"/>
      </w:pPr>
      <w:bookmarkStart w:id="87" w:name="dados-da-antaq"/>
      <w:bookmarkStart w:id="88" w:name="_Toc235532538"/>
      <w:r w:rsidRPr="00E37FEB">
        <w:t>4.4.2.1 Dados da ANTAQ</w:t>
      </w:r>
      <w:bookmarkEnd w:id="87"/>
      <w:bookmarkEnd w:id="88"/>
    </w:p>
    <w:p w14:paraId="1C59D529" w14:textId="77777777" w:rsidR="000F1D9A" w:rsidRPr="00E37FEB" w:rsidRDefault="007224B6">
      <w:pPr>
        <w:pStyle w:val="FirstParagraph"/>
      </w:pPr>
      <w:r w:rsidRPr="00E37FEB">
        <w:t xml:space="preserve">A rotina de atualização acessa o </w:t>
      </w:r>
      <w:hyperlink r:id="rId41">
        <w:r w:rsidRPr="00E37FEB">
          <w:rPr>
            <w:rStyle w:val="Hyperlink"/>
          </w:rPr>
          <w:t>Painel Estatístico Aquaviário da ANTAQ</w:t>
        </w:r>
      </w:hyperlink>
      <w:r w:rsidRPr="00E37FEB">
        <w:t xml:space="preserve">, portal oficial de download das tabelas públicas. A biblioteca Python </w:t>
      </w:r>
      <w:r w:rsidRPr="00E37FEB">
        <w:rPr>
          <w:rStyle w:val="VerbatimChar"/>
        </w:rPr>
        <w:t>requests</w:t>
      </w:r>
      <w:r w:rsidRPr="00E37FEB">
        <w:t xml:space="preserve"> </w:t>
      </w:r>
      <w:r w:rsidRPr="00E37FEB">
        <w:t>realiza as consultas e baixa os arquivos em formato TXT. A biblioteca Python Beautiful Soup lê a página e seus arquivos de apoio para localizar os endereços de download disponibilizados pela ANTAQ. São obtidas as tabelas de Carga, Atracação e Tempos de Atracação. Os campos de Carga e Atracação usados na reconstrução estão detalhados na Seção 3.3.4.1, nas Tabelas 4 e 5.</w:t>
      </w:r>
    </w:p>
    <w:p w14:paraId="3D5357CB" w14:textId="77777777" w:rsidR="000F1D9A" w:rsidRPr="00E37FEB" w:rsidRDefault="007224B6">
      <w:pPr>
        <w:pStyle w:val="Corpodetexto"/>
      </w:pPr>
      <w:r w:rsidRPr="00E37FEB">
        <w:t>A atualização também sincroniza os dados necessários e os artefatos gerados para o Supabase Storage, o local de armazenamento de arquivos do projeto. Dessa forma, os arquivos usados na reconstrução e a matriz marítima permanecem disponíveis para reutilização e rastreabilidade, sem depender do acesso imediato ao portal da ANTAQ.</w:t>
      </w:r>
    </w:p>
    <w:p w14:paraId="415BCEAD" w14:textId="77777777" w:rsidR="000F1D9A" w:rsidRPr="00E37FEB" w:rsidRDefault="007224B6">
      <w:pPr>
        <w:pStyle w:val="Ttulo4"/>
      </w:pPr>
      <w:bookmarkStart w:id="89" w:name="reconstrução-das-viagens-1"/>
      <w:bookmarkStart w:id="90" w:name="_Toc235532539"/>
      <w:r w:rsidRPr="00E37FEB">
        <w:t>4.4.2.2 Reconstrução das viagens</w:t>
      </w:r>
      <w:bookmarkEnd w:id="89"/>
      <w:bookmarkEnd w:id="90"/>
    </w:p>
    <w:p w14:paraId="7A14AB12" w14:textId="77777777" w:rsidR="000F1D9A" w:rsidRPr="00E37FEB" w:rsidRDefault="007224B6">
      <w:pPr>
        <w:pStyle w:val="FirstParagraph"/>
      </w:pPr>
      <w:r w:rsidRPr="00E37FEB">
        <w:t>Para implementar a lógica apresentada na Seção 3.3.4.1.3, a função de reconstrução reúne os registros de cabotagem conteinerizada e relaciona cada movimentação de carga à escala correspondente. A tabela de Atracação fornece o porto, a data e o número da Organização Marítima Internacional (IMO) do navio; a tabela de Carga informa o que foi embarcado e desembarcado.</w:t>
      </w:r>
    </w:p>
    <w:p w14:paraId="05F3C4C8" w14:textId="77777777" w:rsidR="000F1D9A" w:rsidRPr="00E37FEB" w:rsidRDefault="007224B6">
      <w:pPr>
        <w:pStyle w:val="Corpodetexto"/>
      </w:pPr>
      <w:r w:rsidRPr="00E37FEB">
        <w:t xml:space="preserve">Em seguida, as escalas do mesmo navio são reunidas em ordem cronológica. A carga a bordo também é reconstruída em cada escala. O sistema calcula o saldo entre o que embarcou e o que desembarcou do navio e aplica esse saldo ao subtrecho seguinte. Quando o recorte de dados começa com o navio já carregado, é calculada a carga inicial mínima necessária para evitar valores negativos. A partir dessa reconstrução, em cada viagem, o sistema identifica os pares de portos em que o navio atracou primeiro na origem e, </w:t>
      </w:r>
      <w:r w:rsidRPr="00E37FEB">
        <w:t>posteriormente, no destino. A parte da viagem entre essas duas escalas forma um recorte completo, direto ou com escalas intermediárias. Por exemplo, Santos–Suape–Pecém–Manaus contribui para Santos–Manaus com seus três subtrechos; Manaus–Suape–Santos não contribui, pois está no sentido contrário.</w:t>
      </w:r>
    </w:p>
    <w:p w14:paraId="73D0EE37" w14:textId="77777777" w:rsidR="000F1D9A" w:rsidRPr="00E37FEB" w:rsidRDefault="007224B6">
      <w:pPr>
        <w:pStyle w:val="Corpodetexto"/>
      </w:pPr>
      <w:r w:rsidRPr="00E37FEB">
        <w:t>O resultado da reconstrução também é gravado em tabelas criadas no banco de dados do projeto no Supabase PostgreSQL, o que permite consultar as viagens já reconstruídas sem repetir o processamento dos arquivos brutos:</w:t>
      </w:r>
    </w:p>
    <w:p w14:paraId="314FB1B6" w14:textId="77777777" w:rsidR="000F1D9A" w:rsidRPr="00E37FEB" w:rsidRDefault="007224B6">
      <w:pPr>
        <w:pStyle w:val="Compact"/>
        <w:numPr>
          <w:ilvl w:val="0"/>
          <w:numId w:val="5"/>
        </w:numPr>
      </w:pPr>
      <w:r w:rsidRPr="00E37FEB">
        <w:lastRenderedPageBreak/>
        <w:t xml:space="preserve">A tabela </w:t>
      </w:r>
      <w:r w:rsidRPr="00E37FEB">
        <w:rPr>
          <w:rStyle w:val="VerbatimChar"/>
        </w:rPr>
        <w:t>antaq_voyages</w:t>
      </w:r>
      <w:r w:rsidRPr="00E37FEB">
        <w:t xml:space="preserve"> registra cada viagem reconstruída;</w:t>
      </w:r>
    </w:p>
    <w:p w14:paraId="5961652A" w14:textId="77777777" w:rsidR="000F1D9A" w:rsidRPr="00E37FEB" w:rsidRDefault="007224B6">
      <w:pPr>
        <w:pStyle w:val="Compact"/>
        <w:numPr>
          <w:ilvl w:val="0"/>
          <w:numId w:val="5"/>
        </w:numPr>
      </w:pPr>
      <w:r w:rsidRPr="00E37FEB">
        <w:t xml:space="preserve">A tabela </w:t>
      </w:r>
      <w:r w:rsidRPr="00E37FEB">
        <w:rPr>
          <w:rStyle w:val="VerbatimChar"/>
        </w:rPr>
        <w:t>antaq_voyage_stops</w:t>
      </w:r>
      <w:r w:rsidRPr="00E37FEB">
        <w:t xml:space="preserve"> armazena suas paradas em ordem;</w:t>
      </w:r>
    </w:p>
    <w:p w14:paraId="0872D221" w14:textId="77777777" w:rsidR="000F1D9A" w:rsidRPr="00E37FEB" w:rsidRDefault="007224B6">
      <w:pPr>
        <w:pStyle w:val="Compact"/>
        <w:numPr>
          <w:ilvl w:val="0"/>
          <w:numId w:val="5"/>
        </w:numPr>
      </w:pPr>
      <w:r w:rsidRPr="00E37FEB">
        <w:t>A tabela</w:t>
      </w:r>
      <w:r w:rsidRPr="00E37FEB">
        <w:rPr>
          <w:rStyle w:val="VerbatimChar"/>
        </w:rPr>
        <w:t>antaq_voyage_stop_calls</w:t>
      </w:r>
      <w:r w:rsidRPr="00E37FEB">
        <w:t xml:space="preserve"> preserva as escalas que formaram cada parada.</w:t>
      </w:r>
    </w:p>
    <w:p w14:paraId="37F3F59C" w14:textId="77777777" w:rsidR="000F1D9A" w:rsidRPr="00E37FEB" w:rsidRDefault="007224B6">
      <w:pPr>
        <w:pStyle w:val="Ttulo4"/>
      </w:pPr>
      <w:bookmarkStart w:id="91" w:name="dados-da-eu-mrv"/>
      <w:bookmarkStart w:id="92" w:name="_Toc235532540"/>
      <w:r w:rsidRPr="00E37FEB">
        <w:t>4.4.2.3 Dados da EU MRV</w:t>
      </w:r>
      <w:bookmarkEnd w:id="91"/>
      <w:bookmarkEnd w:id="92"/>
    </w:p>
    <w:p w14:paraId="25222F4D" w14:textId="77777777" w:rsidR="000F1D9A" w:rsidRPr="00E37FEB" w:rsidRDefault="007224B6">
      <w:pPr>
        <w:pStyle w:val="FirstParagraph"/>
      </w:pPr>
      <w:r w:rsidRPr="00E37FEB">
        <w:t xml:space="preserve">Os arquivos anuais da base europeia de Monitoramento, Reporte e Verificação da União Europeia (EU MRV) são obtidos no </w:t>
      </w:r>
      <w:hyperlink r:id="rId42">
        <w:r w:rsidRPr="00E37FEB">
          <w:rPr>
            <w:rStyle w:val="Hyperlink"/>
          </w:rPr>
          <w:t>THETIS-MRV, da Agência Europeia de Segurança Marítima</w:t>
        </w:r>
      </w:hyperlink>
      <w:r w:rsidRPr="00E37FEB">
        <w:t xml:space="preserve"> e armazenados no Supabase Storage. Os campos e o exemplo de correspondência por IMO estão apresentados na Seção 3.3.4.2 e na Tabela 6.</w:t>
      </w:r>
    </w:p>
    <w:p w14:paraId="2B7D5758" w14:textId="77777777" w:rsidR="000F1D9A" w:rsidRPr="00E37FEB" w:rsidRDefault="007224B6">
      <w:pPr>
        <w:pStyle w:val="Ttulo4"/>
      </w:pPr>
      <w:bookmarkStart w:id="93" w:name="cálculo-do-trabalho-de-transporte"/>
      <w:bookmarkStart w:id="94" w:name="_Toc235532541"/>
      <w:r w:rsidRPr="00E37FEB">
        <w:t>4.4.2.4 Cálculo do trabalho de transporte</w:t>
      </w:r>
      <w:bookmarkEnd w:id="93"/>
      <w:bookmarkEnd w:id="94"/>
    </w:p>
    <w:p w14:paraId="028C918E" w14:textId="77777777" w:rsidR="000F1D9A" w:rsidRPr="00E37FEB" w:rsidRDefault="007224B6">
      <w:pPr>
        <w:pStyle w:val="FirstParagraph"/>
      </w:pPr>
      <w:r w:rsidRPr="00E37FEB">
        <w:t>Como explicado na Seção 3.3.4.2, o sistema procura primeiro o IMO do navio observado na ANTAQ. Se não houver indicador individual utilizável, ou se ele for classificado como atípico, é aplicada uma referência robusta de navios da mesma classe ou, se necessário, do mesmo tipo. A carga a bordo, a distância e a intensidade permitem calcular o trabalho de transporte e o consumo estimado de cada viagem.</w:t>
      </w:r>
    </w:p>
    <w:p w14:paraId="65B8AC1B" w14:textId="77777777" w:rsidR="000F1D9A" w:rsidRPr="00E37FEB" w:rsidRDefault="007224B6">
      <w:pPr>
        <w:pStyle w:val="Ttulo4"/>
      </w:pPr>
      <w:bookmarkStart w:id="95" w:name="compilação-na-estrutura-matricial"/>
      <w:bookmarkStart w:id="96" w:name="_Toc235532542"/>
      <w:r w:rsidRPr="00E37FEB">
        <w:t>4.4.2.5 Compilação na estrutura matricial</w:t>
      </w:r>
      <w:bookmarkEnd w:id="95"/>
      <w:bookmarkEnd w:id="96"/>
    </w:p>
    <w:p w14:paraId="78AF7880" w14:textId="77777777" w:rsidR="000F1D9A" w:rsidRPr="00E37FEB" w:rsidRDefault="007224B6">
      <w:pPr>
        <w:pStyle w:val="FirstParagraph"/>
      </w:pPr>
      <w:r w:rsidRPr="00E37FEB">
        <w:t xml:space="preserve">Os resultados são reunidos na estrutura </w:t>
      </w:r>
      <w:r w:rsidRPr="00E37FEB">
        <w:rPr>
          <w:rStyle w:val="VerbatimChar"/>
        </w:rPr>
        <w:t>SeaMatrix</w:t>
      </w:r>
      <w:r w:rsidRPr="00E37FEB">
        <w:t xml:space="preserve">. Para cada par ordenado de portos, ela mantém a distância representativa dos recortes completos após a verificação de P95, ponderada pela carga média a bordo, e a intensidade, ponderada pelo trabalho de transporte de todos os recortes elegíveis. Também registra a quantidade de recortes, o limite P95 quando aplicável e a procedência dos dados. A matriz é direcional: Santos → Manaus e Manaus → Santos são consultas diferentes, pois reúnem viagens, cargas e distâncias observadas diferentes. A </w:t>
      </w:r>
      <w:r w:rsidRPr="00E37FEB">
        <w:rPr>
          <w:rStyle w:val="VerbatimChar"/>
        </w:rPr>
        <w:t>SeaMatrix</w:t>
      </w:r>
      <w:r w:rsidRPr="00E37FEB">
        <w:t xml:space="preserve"> </w:t>
      </w:r>
      <w:r w:rsidRPr="00E37FEB">
        <w:t xml:space="preserve">também é salva no Supabase Storage como o arquivo JSON </w:t>
      </w:r>
      <w:r w:rsidRPr="00E37FEB">
        <w:rPr>
          <w:rStyle w:val="VerbatimChar"/>
        </w:rPr>
        <w:t>data/sea_matrix.json</w:t>
      </w:r>
      <w:r w:rsidRPr="00E37FEB">
        <w:t>.</w:t>
      </w:r>
    </w:p>
    <w:p w14:paraId="7EAEBE88" w14:textId="77777777" w:rsidR="000F1D9A" w:rsidRPr="00E37FEB" w:rsidRDefault="007224B6" w:rsidP="00E37FEB">
      <w:pPr>
        <w:pStyle w:val="Corpodetexto"/>
        <w:keepLines/>
        <w:spacing w:before="120" w:after="80"/>
        <w:jc w:val="center"/>
      </w:pPr>
      <w:r w:rsidRPr="00E37FEB">
        <w:rPr>
          <w:noProof/>
        </w:rPr>
        <w:drawing>
          <wp:inline distT="0" distB="0" distL="0" distR="0" wp14:anchorId="4273946A" wp14:editId="7BC63CD9">
            <wp:extent cx="5334000" cy="1632789"/>
            <wp:effectExtent l="0" t="0" r="0" b="0"/>
            <wp:docPr id="382434034" name="Picture" descr="Fluxo de preparação da matriz marítima SeaMatrix com dados ANTAQ e EU MRV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34034" name="Picture" descr="Fluxo de preparação da matriz marítima SeaMatrix com dados ANTAQ e EU MRV.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2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D06750" w14:textId="77777777" w:rsidR="000F1D9A" w:rsidRPr="00E37FEB" w:rsidRDefault="007224B6">
      <w:pPr>
        <w:pStyle w:val="Corpodetexto"/>
      </w:pPr>
      <w:r w:rsidRPr="00E37FEB">
        <w:t>As Tabelas 13 e 14 mostram parte da matriz marítima preparada com dados reais. As linhas indicam o porto de origem e, as colunas, o porto de destino.</w:t>
      </w:r>
    </w:p>
    <w:p w14:paraId="26181DF0" w14:textId="77777777" w:rsidR="000F1D9A" w:rsidRPr="00E37FEB" w:rsidRDefault="007224B6">
      <w:pPr>
        <w:pStyle w:val="Corpodetexto"/>
      </w:pPr>
      <w:r w:rsidRPr="00E37FEB">
        <w:t xml:space="preserve">A Tabela 13 apresenta a distância representativa de cada sentido. Quando há 20 ou mais recortes, as distâncias acima do P95 são retiradas antes da média ponderada pela carga média a bordo, conforme explicado na Seção 3.3.4.4. Nota-se que a distância de ida pode ser diferente da distância de volta, </w:t>
      </w:r>
      <w:r w:rsidRPr="00E37FEB">
        <w:lastRenderedPageBreak/>
        <w:t>uma vez que cada sentido reúne seu próprio conjunto de viagens, cargas e distâncias observadas. As duas tabelas incluem recortes diretos e recortes com escalas intermediárias. O travessão indica que origem e destino são o mesmo porto, situação que não forma uma perna marítima.</w:t>
      </w:r>
    </w:p>
    <w:p w14:paraId="06414AAC" w14:textId="77777777" w:rsidR="000F1D9A" w:rsidRPr="00E37FEB" w:rsidRDefault="007224B6" w:rsidP="00E37FEB">
      <w:pPr>
        <w:pStyle w:val="TtulodeTabelaCL"/>
      </w:pPr>
      <w:r w:rsidRPr="00E37FEB">
        <w:t>Tabela 13 — Distância marítima representativa após a triagem P95, ponderada pela carga média a bordo, na matriz marítima (km).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2158"/>
        <w:gridCol w:w="1383"/>
        <w:gridCol w:w="1383"/>
        <w:gridCol w:w="1383"/>
        <w:gridCol w:w="1383"/>
        <w:gridCol w:w="1383"/>
      </w:tblGrid>
      <w:tr w:rsidR="000F1D9A" w:rsidRPr="00E37FEB" w14:paraId="12538FF3" w14:textId="77777777" w:rsidTr="00E37FEB">
        <w:trPr>
          <w:tblHeader/>
          <w:jc w:val="center"/>
        </w:trPr>
        <w:tc>
          <w:tcPr>
            <w:tcW w:w="1190" w:type="pct"/>
            <w:shd w:val="clear" w:color="auto" w:fill="E8EEF5"/>
            <w:vAlign w:val="center"/>
          </w:tcPr>
          <w:p w14:paraId="11DA4AB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O</w:t>
            </w:r>
            <w:r w:rsidRPr="00E37FEB">
              <w:rPr>
                <w:b/>
                <w:sz w:val="18"/>
              </w:rPr>
              <w:t>rigem / destino</w:t>
            </w:r>
          </w:p>
        </w:tc>
        <w:tc>
          <w:tcPr>
            <w:tcW w:w="762" w:type="pct"/>
            <w:shd w:val="clear" w:color="auto" w:fill="E8EEF5"/>
            <w:vAlign w:val="center"/>
          </w:tcPr>
          <w:p w14:paraId="7E719BC8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Santos</w:t>
            </w:r>
          </w:p>
        </w:tc>
        <w:tc>
          <w:tcPr>
            <w:tcW w:w="762" w:type="pct"/>
            <w:shd w:val="clear" w:color="auto" w:fill="E8EEF5"/>
            <w:vAlign w:val="center"/>
          </w:tcPr>
          <w:p w14:paraId="67723C2B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Salvador</w:t>
            </w:r>
          </w:p>
        </w:tc>
        <w:tc>
          <w:tcPr>
            <w:tcW w:w="762" w:type="pct"/>
            <w:shd w:val="clear" w:color="auto" w:fill="E8EEF5"/>
            <w:vAlign w:val="center"/>
          </w:tcPr>
          <w:p w14:paraId="247B28D8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Suape</w:t>
            </w:r>
          </w:p>
        </w:tc>
        <w:tc>
          <w:tcPr>
            <w:tcW w:w="762" w:type="pct"/>
            <w:shd w:val="clear" w:color="auto" w:fill="E8EEF5"/>
            <w:vAlign w:val="center"/>
          </w:tcPr>
          <w:p w14:paraId="23DABD8A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Pecém</w:t>
            </w:r>
          </w:p>
        </w:tc>
        <w:tc>
          <w:tcPr>
            <w:tcW w:w="762" w:type="pct"/>
            <w:shd w:val="clear" w:color="auto" w:fill="E8EEF5"/>
            <w:vAlign w:val="center"/>
          </w:tcPr>
          <w:p w14:paraId="19A60D29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Manaus</w:t>
            </w:r>
          </w:p>
        </w:tc>
      </w:tr>
      <w:tr w:rsidR="000F1D9A" w:rsidRPr="00E37FEB" w14:paraId="7C700DF4" w14:textId="77777777" w:rsidTr="00E37FEB">
        <w:trPr>
          <w:jc w:val="center"/>
        </w:trPr>
        <w:tc>
          <w:tcPr>
            <w:tcW w:w="1190" w:type="pct"/>
            <w:vAlign w:val="center"/>
          </w:tcPr>
          <w:p w14:paraId="2AC61DA4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Santos</w:t>
            </w:r>
          </w:p>
        </w:tc>
        <w:tc>
          <w:tcPr>
            <w:tcW w:w="762" w:type="pct"/>
            <w:vAlign w:val="center"/>
          </w:tcPr>
          <w:p w14:paraId="0D6BF78B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—</w:t>
            </w:r>
          </w:p>
        </w:tc>
        <w:tc>
          <w:tcPr>
            <w:tcW w:w="762" w:type="pct"/>
            <w:vAlign w:val="center"/>
          </w:tcPr>
          <w:p w14:paraId="0204569B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2.516,136</w:t>
            </w:r>
          </w:p>
        </w:tc>
        <w:tc>
          <w:tcPr>
            <w:tcW w:w="762" w:type="pct"/>
            <w:vAlign w:val="center"/>
          </w:tcPr>
          <w:p w14:paraId="7B7B3A3E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2.912,073</w:t>
            </w:r>
          </w:p>
        </w:tc>
        <w:tc>
          <w:tcPr>
            <w:tcW w:w="762" w:type="pct"/>
            <w:vAlign w:val="center"/>
          </w:tcPr>
          <w:p w14:paraId="417656BC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3.578,767</w:t>
            </w:r>
          </w:p>
        </w:tc>
        <w:tc>
          <w:tcPr>
            <w:tcW w:w="762" w:type="pct"/>
            <w:vAlign w:val="center"/>
          </w:tcPr>
          <w:p w14:paraId="73EA3E97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6.094,975</w:t>
            </w:r>
          </w:p>
        </w:tc>
      </w:tr>
      <w:tr w:rsidR="000F1D9A" w:rsidRPr="00E37FEB" w14:paraId="20CA6DB7" w14:textId="77777777" w:rsidTr="00E37FEB">
        <w:trPr>
          <w:jc w:val="center"/>
        </w:trPr>
        <w:tc>
          <w:tcPr>
            <w:tcW w:w="1190" w:type="pct"/>
            <w:vAlign w:val="center"/>
          </w:tcPr>
          <w:p w14:paraId="71D4477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Salvador</w:t>
            </w:r>
          </w:p>
        </w:tc>
        <w:tc>
          <w:tcPr>
            <w:tcW w:w="762" w:type="pct"/>
            <w:vAlign w:val="center"/>
          </w:tcPr>
          <w:p w14:paraId="77C5B95A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2.867,589</w:t>
            </w:r>
          </w:p>
        </w:tc>
        <w:tc>
          <w:tcPr>
            <w:tcW w:w="762" w:type="pct"/>
            <w:vAlign w:val="center"/>
          </w:tcPr>
          <w:p w14:paraId="7764A2E9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—</w:t>
            </w:r>
          </w:p>
        </w:tc>
        <w:tc>
          <w:tcPr>
            <w:tcW w:w="762" w:type="pct"/>
            <w:vAlign w:val="center"/>
          </w:tcPr>
          <w:p w14:paraId="6ACAB02A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4.122,437</w:t>
            </w:r>
          </w:p>
        </w:tc>
        <w:tc>
          <w:tcPr>
            <w:tcW w:w="762" w:type="pct"/>
            <w:vAlign w:val="center"/>
          </w:tcPr>
          <w:p w14:paraId="7CD52E45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3.475,834</w:t>
            </w:r>
          </w:p>
        </w:tc>
        <w:tc>
          <w:tcPr>
            <w:tcW w:w="762" w:type="pct"/>
            <w:vAlign w:val="center"/>
          </w:tcPr>
          <w:p w14:paraId="195D0661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3.819,166</w:t>
            </w:r>
          </w:p>
        </w:tc>
      </w:tr>
      <w:tr w:rsidR="000F1D9A" w:rsidRPr="00E37FEB" w14:paraId="666C6C57" w14:textId="77777777" w:rsidTr="00E37FEB">
        <w:trPr>
          <w:jc w:val="center"/>
        </w:trPr>
        <w:tc>
          <w:tcPr>
            <w:tcW w:w="1190" w:type="pct"/>
            <w:vAlign w:val="center"/>
          </w:tcPr>
          <w:p w14:paraId="10DFBAF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Suape</w:t>
            </w:r>
          </w:p>
        </w:tc>
        <w:tc>
          <w:tcPr>
            <w:tcW w:w="762" w:type="pct"/>
            <w:vAlign w:val="center"/>
          </w:tcPr>
          <w:p w14:paraId="7214FD2E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3.800,410</w:t>
            </w:r>
          </w:p>
        </w:tc>
        <w:tc>
          <w:tcPr>
            <w:tcW w:w="762" w:type="pct"/>
            <w:vAlign w:val="center"/>
          </w:tcPr>
          <w:p w14:paraId="2A41D149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2.801,434</w:t>
            </w:r>
          </w:p>
        </w:tc>
        <w:tc>
          <w:tcPr>
            <w:tcW w:w="762" w:type="pct"/>
            <w:vAlign w:val="center"/>
          </w:tcPr>
          <w:p w14:paraId="3A06B5DC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—</w:t>
            </w:r>
          </w:p>
        </w:tc>
        <w:tc>
          <w:tcPr>
            <w:tcW w:w="762" w:type="pct"/>
            <w:vAlign w:val="center"/>
          </w:tcPr>
          <w:p w14:paraId="2E7B98AE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940,458</w:t>
            </w:r>
          </w:p>
        </w:tc>
        <w:tc>
          <w:tcPr>
            <w:tcW w:w="762" w:type="pct"/>
            <w:vAlign w:val="center"/>
          </w:tcPr>
          <w:p w14:paraId="569D2A4B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3.214,997</w:t>
            </w:r>
          </w:p>
        </w:tc>
      </w:tr>
      <w:tr w:rsidR="000F1D9A" w:rsidRPr="00E37FEB" w14:paraId="1C0DDF73" w14:textId="77777777" w:rsidTr="00E37FEB">
        <w:trPr>
          <w:jc w:val="center"/>
        </w:trPr>
        <w:tc>
          <w:tcPr>
            <w:tcW w:w="1190" w:type="pct"/>
            <w:vAlign w:val="center"/>
          </w:tcPr>
          <w:p w14:paraId="6885316D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Pecém</w:t>
            </w:r>
          </w:p>
        </w:tc>
        <w:tc>
          <w:tcPr>
            <w:tcW w:w="762" w:type="pct"/>
            <w:vAlign w:val="center"/>
          </w:tcPr>
          <w:p w14:paraId="58C60B0C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4.103,118</w:t>
            </w:r>
          </w:p>
        </w:tc>
        <w:tc>
          <w:tcPr>
            <w:tcW w:w="762" w:type="pct"/>
            <w:vAlign w:val="center"/>
          </w:tcPr>
          <w:p w14:paraId="40A2AD24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2.437,283</w:t>
            </w:r>
          </w:p>
        </w:tc>
        <w:tc>
          <w:tcPr>
            <w:tcW w:w="762" w:type="pct"/>
            <w:vAlign w:val="center"/>
          </w:tcPr>
          <w:p w14:paraId="3BD9197E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5.301,235</w:t>
            </w:r>
          </w:p>
        </w:tc>
        <w:tc>
          <w:tcPr>
            <w:tcW w:w="762" w:type="pct"/>
            <w:vAlign w:val="center"/>
          </w:tcPr>
          <w:p w14:paraId="12B3C155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—</w:t>
            </w:r>
          </w:p>
        </w:tc>
        <w:tc>
          <w:tcPr>
            <w:tcW w:w="762" w:type="pct"/>
            <w:vAlign w:val="center"/>
          </w:tcPr>
          <w:p w14:paraId="150C8318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2.195,720</w:t>
            </w:r>
          </w:p>
        </w:tc>
      </w:tr>
      <w:tr w:rsidR="000F1D9A" w:rsidRPr="00E37FEB" w14:paraId="62208F59" w14:textId="77777777" w:rsidTr="00E37FEB">
        <w:trPr>
          <w:jc w:val="center"/>
        </w:trPr>
        <w:tc>
          <w:tcPr>
            <w:tcW w:w="1190" w:type="pct"/>
            <w:vAlign w:val="center"/>
          </w:tcPr>
          <w:p w14:paraId="5B420D4D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Manaus</w:t>
            </w:r>
          </w:p>
        </w:tc>
        <w:tc>
          <w:tcPr>
            <w:tcW w:w="762" w:type="pct"/>
            <w:vAlign w:val="center"/>
          </w:tcPr>
          <w:p w14:paraId="10052A9A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5.867,445</w:t>
            </w:r>
          </w:p>
        </w:tc>
        <w:tc>
          <w:tcPr>
            <w:tcW w:w="762" w:type="pct"/>
            <w:vAlign w:val="center"/>
          </w:tcPr>
          <w:p w14:paraId="31401171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6.585,233</w:t>
            </w:r>
          </w:p>
        </w:tc>
        <w:tc>
          <w:tcPr>
            <w:tcW w:w="762" w:type="pct"/>
            <w:vAlign w:val="center"/>
          </w:tcPr>
          <w:p w14:paraId="01E9D813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5.560,801</w:t>
            </w:r>
          </w:p>
        </w:tc>
        <w:tc>
          <w:tcPr>
            <w:tcW w:w="762" w:type="pct"/>
            <w:vAlign w:val="center"/>
          </w:tcPr>
          <w:p w14:paraId="0312F0FA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5.768,673</w:t>
            </w:r>
          </w:p>
        </w:tc>
        <w:tc>
          <w:tcPr>
            <w:tcW w:w="762" w:type="pct"/>
            <w:vAlign w:val="center"/>
          </w:tcPr>
          <w:p w14:paraId="08B35069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—</w:t>
            </w:r>
          </w:p>
        </w:tc>
      </w:tr>
    </w:tbl>
    <w:p w14:paraId="16283F4A" w14:textId="77777777" w:rsidR="000F1D9A" w:rsidRPr="00E37FEB" w:rsidRDefault="007224B6" w:rsidP="00E37FEB">
      <w:pPr>
        <w:pStyle w:val="FontedeTabelaCL"/>
      </w:pPr>
      <w:r w:rsidRPr="00E37FEB">
        <w:t>Fonte: elaboração própria a partir da matriz marítima direcional preparada com viagens de cabotagem observadas pela ANTAQ, atualizada em 19 de julho de 2026.</w:t>
      </w:r>
    </w:p>
    <w:p w14:paraId="2110C81C" w14:textId="77777777" w:rsidR="000F1D9A" w:rsidRPr="00E37FEB" w:rsidRDefault="007224B6">
      <w:pPr>
        <w:pStyle w:val="Corpodetexto"/>
      </w:pPr>
      <w:r w:rsidRPr="00E37FEB">
        <w:t>A</w:t>
      </w:r>
      <w:r w:rsidRPr="00E37FEB">
        <w:t xml:space="preserve"> Tabela 14 apresenta a intensidade média, ponderada pelo trabalho de transporte.</w:t>
      </w:r>
    </w:p>
    <w:p w14:paraId="1BD9A5ED" w14:textId="77777777" w:rsidR="000F1D9A" w:rsidRPr="00E37FEB" w:rsidRDefault="007224B6" w:rsidP="00E37FEB">
      <w:pPr>
        <w:pStyle w:val="TtulodeTabelaCL"/>
      </w:pPr>
      <w:r w:rsidRPr="00E37FEB">
        <w:t>Tabela 14 — Intensidade média da ligação marítima, ponderada pelo trabalho de transporte [g/(t·nm)].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2209"/>
        <w:gridCol w:w="1345"/>
        <w:gridCol w:w="1345"/>
        <w:gridCol w:w="1345"/>
        <w:gridCol w:w="1486"/>
        <w:gridCol w:w="1343"/>
      </w:tblGrid>
      <w:tr w:rsidR="000F1D9A" w:rsidRPr="00E37FEB" w14:paraId="2E55E12F" w14:textId="77777777" w:rsidTr="00E37FEB">
        <w:trPr>
          <w:tblHeader/>
          <w:jc w:val="center"/>
        </w:trPr>
        <w:tc>
          <w:tcPr>
            <w:tcW w:w="1218" w:type="pct"/>
            <w:shd w:val="clear" w:color="auto" w:fill="E8EEF5"/>
            <w:vAlign w:val="center"/>
          </w:tcPr>
          <w:p w14:paraId="07BF4114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O</w:t>
            </w:r>
            <w:r w:rsidRPr="00E37FEB">
              <w:rPr>
                <w:b/>
                <w:sz w:val="18"/>
              </w:rPr>
              <w:t>rigem / destino</w:t>
            </w:r>
          </w:p>
        </w:tc>
        <w:tc>
          <w:tcPr>
            <w:tcW w:w="741" w:type="pct"/>
            <w:shd w:val="clear" w:color="auto" w:fill="E8EEF5"/>
            <w:vAlign w:val="center"/>
          </w:tcPr>
          <w:p w14:paraId="4F3056C9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Santos</w:t>
            </w:r>
          </w:p>
        </w:tc>
        <w:tc>
          <w:tcPr>
            <w:tcW w:w="741" w:type="pct"/>
            <w:shd w:val="clear" w:color="auto" w:fill="E8EEF5"/>
            <w:vAlign w:val="center"/>
          </w:tcPr>
          <w:p w14:paraId="0C7E318B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Salvador</w:t>
            </w:r>
          </w:p>
        </w:tc>
        <w:tc>
          <w:tcPr>
            <w:tcW w:w="741" w:type="pct"/>
            <w:shd w:val="clear" w:color="auto" w:fill="E8EEF5"/>
            <w:vAlign w:val="center"/>
          </w:tcPr>
          <w:p w14:paraId="603F50C6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Suape</w:t>
            </w:r>
          </w:p>
        </w:tc>
        <w:tc>
          <w:tcPr>
            <w:tcW w:w="819" w:type="pct"/>
            <w:shd w:val="clear" w:color="auto" w:fill="E8EEF5"/>
            <w:vAlign w:val="center"/>
          </w:tcPr>
          <w:p w14:paraId="780AAD5E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Pecém</w:t>
            </w:r>
          </w:p>
        </w:tc>
        <w:tc>
          <w:tcPr>
            <w:tcW w:w="741" w:type="pct"/>
            <w:shd w:val="clear" w:color="auto" w:fill="E8EEF5"/>
            <w:vAlign w:val="center"/>
          </w:tcPr>
          <w:p w14:paraId="4CA9EF80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Manaus</w:t>
            </w:r>
          </w:p>
        </w:tc>
      </w:tr>
      <w:tr w:rsidR="000F1D9A" w:rsidRPr="00E37FEB" w14:paraId="1EF1B48C" w14:textId="77777777" w:rsidTr="00E37FEB">
        <w:trPr>
          <w:jc w:val="center"/>
        </w:trPr>
        <w:tc>
          <w:tcPr>
            <w:tcW w:w="1218" w:type="pct"/>
            <w:vAlign w:val="center"/>
          </w:tcPr>
          <w:p w14:paraId="2FACA03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Santos</w:t>
            </w:r>
          </w:p>
        </w:tc>
        <w:tc>
          <w:tcPr>
            <w:tcW w:w="741" w:type="pct"/>
            <w:vAlign w:val="center"/>
          </w:tcPr>
          <w:p w14:paraId="0C8A42A8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—</w:t>
            </w:r>
          </w:p>
        </w:tc>
        <w:tc>
          <w:tcPr>
            <w:tcW w:w="741" w:type="pct"/>
            <w:vAlign w:val="center"/>
          </w:tcPr>
          <w:p w14:paraId="2F2BEC1E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9,605744</w:t>
            </w:r>
          </w:p>
        </w:tc>
        <w:tc>
          <w:tcPr>
            <w:tcW w:w="741" w:type="pct"/>
            <w:vAlign w:val="center"/>
          </w:tcPr>
          <w:p w14:paraId="430E0082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8,729368</w:t>
            </w:r>
          </w:p>
        </w:tc>
        <w:tc>
          <w:tcPr>
            <w:tcW w:w="819" w:type="pct"/>
            <w:vAlign w:val="center"/>
          </w:tcPr>
          <w:p w14:paraId="0B364B41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9,745651</w:t>
            </w:r>
          </w:p>
        </w:tc>
        <w:tc>
          <w:tcPr>
            <w:tcW w:w="741" w:type="pct"/>
            <w:vAlign w:val="center"/>
          </w:tcPr>
          <w:p w14:paraId="3CF1AFCA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9,009824</w:t>
            </w:r>
          </w:p>
        </w:tc>
      </w:tr>
      <w:tr w:rsidR="000F1D9A" w:rsidRPr="00E37FEB" w14:paraId="0C9A5023" w14:textId="77777777" w:rsidTr="00E37FEB">
        <w:trPr>
          <w:jc w:val="center"/>
        </w:trPr>
        <w:tc>
          <w:tcPr>
            <w:tcW w:w="1218" w:type="pct"/>
            <w:vAlign w:val="center"/>
          </w:tcPr>
          <w:p w14:paraId="39A8225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Salvador</w:t>
            </w:r>
          </w:p>
        </w:tc>
        <w:tc>
          <w:tcPr>
            <w:tcW w:w="741" w:type="pct"/>
            <w:vAlign w:val="center"/>
          </w:tcPr>
          <w:p w14:paraId="023B633E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9,338150</w:t>
            </w:r>
          </w:p>
        </w:tc>
        <w:tc>
          <w:tcPr>
            <w:tcW w:w="741" w:type="pct"/>
            <w:vAlign w:val="center"/>
          </w:tcPr>
          <w:p w14:paraId="3B5AF500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—</w:t>
            </w:r>
          </w:p>
        </w:tc>
        <w:tc>
          <w:tcPr>
            <w:tcW w:w="741" w:type="pct"/>
            <w:vAlign w:val="center"/>
          </w:tcPr>
          <w:p w14:paraId="2B75D2AD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8,558943</w:t>
            </w:r>
          </w:p>
        </w:tc>
        <w:tc>
          <w:tcPr>
            <w:tcW w:w="819" w:type="pct"/>
            <w:vAlign w:val="center"/>
          </w:tcPr>
          <w:p w14:paraId="622000E0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10,183560</w:t>
            </w:r>
          </w:p>
        </w:tc>
        <w:tc>
          <w:tcPr>
            <w:tcW w:w="741" w:type="pct"/>
            <w:vAlign w:val="center"/>
          </w:tcPr>
          <w:p w14:paraId="00CE7CE7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9,322050</w:t>
            </w:r>
          </w:p>
        </w:tc>
      </w:tr>
      <w:tr w:rsidR="000F1D9A" w:rsidRPr="00E37FEB" w14:paraId="68680060" w14:textId="77777777" w:rsidTr="00E37FEB">
        <w:trPr>
          <w:jc w:val="center"/>
        </w:trPr>
        <w:tc>
          <w:tcPr>
            <w:tcW w:w="1218" w:type="pct"/>
            <w:vAlign w:val="center"/>
          </w:tcPr>
          <w:p w14:paraId="1700F442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Suape</w:t>
            </w:r>
          </w:p>
        </w:tc>
        <w:tc>
          <w:tcPr>
            <w:tcW w:w="741" w:type="pct"/>
            <w:vAlign w:val="center"/>
          </w:tcPr>
          <w:p w14:paraId="1AA74708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9,292748</w:t>
            </w:r>
          </w:p>
        </w:tc>
        <w:tc>
          <w:tcPr>
            <w:tcW w:w="741" w:type="pct"/>
            <w:vAlign w:val="center"/>
          </w:tcPr>
          <w:p w14:paraId="1E5CBED6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9,984933</w:t>
            </w:r>
          </w:p>
        </w:tc>
        <w:tc>
          <w:tcPr>
            <w:tcW w:w="741" w:type="pct"/>
            <w:vAlign w:val="center"/>
          </w:tcPr>
          <w:p w14:paraId="6711C70F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—</w:t>
            </w:r>
          </w:p>
        </w:tc>
        <w:tc>
          <w:tcPr>
            <w:tcW w:w="819" w:type="pct"/>
            <w:vAlign w:val="center"/>
          </w:tcPr>
          <w:p w14:paraId="300E6C32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9,551157</w:t>
            </w:r>
          </w:p>
        </w:tc>
        <w:tc>
          <w:tcPr>
            <w:tcW w:w="741" w:type="pct"/>
            <w:vAlign w:val="center"/>
          </w:tcPr>
          <w:p w14:paraId="34597EF3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9,034616</w:t>
            </w:r>
          </w:p>
        </w:tc>
      </w:tr>
      <w:tr w:rsidR="000F1D9A" w:rsidRPr="00E37FEB" w14:paraId="4B462B1A" w14:textId="77777777" w:rsidTr="00E37FEB">
        <w:trPr>
          <w:jc w:val="center"/>
        </w:trPr>
        <w:tc>
          <w:tcPr>
            <w:tcW w:w="1218" w:type="pct"/>
            <w:vAlign w:val="center"/>
          </w:tcPr>
          <w:p w14:paraId="78E3436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Pecém</w:t>
            </w:r>
          </w:p>
        </w:tc>
        <w:tc>
          <w:tcPr>
            <w:tcW w:w="741" w:type="pct"/>
            <w:vAlign w:val="center"/>
          </w:tcPr>
          <w:p w14:paraId="419CDEA4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9,643543</w:t>
            </w:r>
          </w:p>
        </w:tc>
        <w:tc>
          <w:tcPr>
            <w:tcW w:w="741" w:type="pct"/>
            <w:vAlign w:val="center"/>
          </w:tcPr>
          <w:p w14:paraId="3A1623E7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9,716983</w:t>
            </w:r>
          </w:p>
        </w:tc>
        <w:tc>
          <w:tcPr>
            <w:tcW w:w="741" w:type="pct"/>
            <w:vAlign w:val="center"/>
          </w:tcPr>
          <w:p w14:paraId="7E6C2516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8,681143</w:t>
            </w:r>
          </w:p>
        </w:tc>
        <w:tc>
          <w:tcPr>
            <w:tcW w:w="819" w:type="pct"/>
            <w:vAlign w:val="center"/>
          </w:tcPr>
          <w:p w14:paraId="15D7CAD6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—</w:t>
            </w:r>
          </w:p>
        </w:tc>
        <w:tc>
          <w:tcPr>
            <w:tcW w:w="741" w:type="pct"/>
            <w:vAlign w:val="center"/>
          </w:tcPr>
          <w:p w14:paraId="128D2160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9,092814</w:t>
            </w:r>
          </w:p>
        </w:tc>
      </w:tr>
      <w:tr w:rsidR="000F1D9A" w:rsidRPr="00E37FEB" w14:paraId="335DFA9E" w14:textId="77777777" w:rsidTr="00E37FEB">
        <w:trPr>
          <w:jc w:val="center"/>
        </w:trPr>
        <w:tc>
          <w:tcPr>
            <w:tcW w:w="1218" w:type="pct"/>
            <w:vAlign w:val="center"/>
          </w:tcPr>
          <w:p w14:paraId="5DF06C5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Manaus</w:t>
            </w:r>
          </w:p>
        </w:tc>
        <w:tc>
          <w:tcPr>
            <w:tcW w:w="741" w:type="pct"/>
            <w:vAlign w:val="center"/>
          </w:tcPr>
          <w:p w14:paraId="6B7A4FE0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9,098669</w:t>
            </w:r>
          </w:p>
        </w:tc>
        <w:tc>
          <w:tcPr>
            <w:tcW w:w="741" w:type="pct"/>
            <w:vAlign w:val="center"/>
          </w:tcPr>
          <w:p w14:paraId="4E573CA2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9,322050</w:t>
            </w:r>
          </w:p>
        </w:tc>
        <w:tc>
          <w:tcPr>
            <w:tcW w:w="741" w:type="pct"/>
            <w:vAlign w:val="center"/>
          </w:tcPr>
          <w:p w14:paraId="03BE013A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9,178646</w:t>
            </w:r>
          </w:p>
        </w:tc>
        <w:tc>
          <w:tcPr>
            <w:tcW w:w="819" w:type="pct"/>
            <w:vAlign w:val="center"/>
          </w:tcPr>
          <w:p w14:paraId="2B41B08A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9,055626</w:t>
            </w:r>
          </w:p>
        </w:tc>
        <w:tc>
          <w:tcPr>
            <w:tcW w:w="741" w:type="pct"/>
            <w:vAlign w:val="center"/>
          </w:tcPr>
          <w:p w14:paraId="121E66E4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—</w:t>
            </w:r>
          </w:p>
        </w:tc>
      </w:tr>
    </w:tbl>
    <w:p w14:paraId="3764454F" w14:textId="77777777" w:rsidR="000F1D9A" w:rsidRPr="00E37FEB" w:rsidRDefault="007224B6" w:rsidP="00E37FEB">
      <w:pPr>
        <w:pStyle w:val="FontedeTabelaCL"/>
      </w:pPr>
      <w:r w:rsidRPr="00E37FEB">
        <w:t>Fonte: elaboração própria a partir de viagens de cabotagem observadas pela ANTAQ e das intensidades do EU MRV, consolidadas na matriz marítima direcional atualizada em 19 de julho de 2026.</w:t>
      </w:r>
    </w:p>
    <w:p w14:paraId="1CC3AD3C" w14:textId="77777777" w:rsidR="000F1D9A" w:rsidRPr="00E37FEB" w:rsidRDefault="007224B6">
      <w:pPr>
        <w:pStyle w:val="Corpodetexto"/>
      </w:pPr>
      <w:r w:rsidRPr="00E37FEB">
        <w:t>O</w:t>
      </w:r>
      <w:r w:rsidRPr="00E37FEB">
        <w:t xml:space="preserve"> trecho abaixo representa, de forma simplificada, como a matriz pode ser consultada. O porto de origem contém os portos de destino e, para cada ligação, ficam disponíveis a distância representativa e a intensidade média. Foram exibidos apenas três destinos de Santos para manter a visualização curta; o arquivo real também guarda a procedência e os indicadores de cobertura apresentados nas seções anteriores.</w:t>
      </w:r>
    </w:p>
    <w:p w14:paraId="19D99FDB" w14:textId="77777777" w:rsidR="000F1D9A" w:rsidRPr="00E37FEB" w:rsidRDefault="007224B6" w:rsidP="00E37FEB">
      <w:pPr>
        <w:pStyle w:val="TtulodeTabelaCL"/>
      </w:pPr>
      <w:r w:rsidRPr="00E37FEB">
        <w:t xml:space="preserve">Bloco de código 1 — Representação simplificada do arquivo </w:t>
      </w:r>
      <w:r w:rsidRPr="00E37FEB">
        <w:rPr>
          <w:rStyle w:val="VerbatimChar"/>
        </w:rPr>
        <w:t>sea_matrix.json</w:t>
      </w:r>
      <w:r w:rsidRPr="00E37FEB">
        <w:t>.</w:t>
      </w:r>
    </w:p>
    <w:p w14:paraId="4CD64BDB" w14:textId="77777777" w:rsidR="000F1D9A" w:rsidRPr="00E37FEB" w:rsidRDefault="007224B6">
      <w:pPr>
        <w:pStyle w:val="SourceCode"/>
      </w:pPr>
      <w:r w:rsidRPr="00E37FEB">
        <w:rPr>
          <w:rStyle w:val="FunctionTok"/>
        </w:rPr>
        <w:t>{</w:t>
      </w:r>
      <w:r w:rsidRPr="00E37FEB">
        <w:br/>
      </w:r>
      <w:r w:rsidRPr="00E37FEB">
        <w:rPr>
          <w:rStyle w:val="NormalTok"/>
        </w:rPr>
        <w:t xml:space="preserve">    </w:t>
      </w:r>
      <w:r w:rsidRPr="00E37FEB">
        <w:rPr>
          <w:rStyle w:val="DataTypeTok"/>
        </w:rPr>
        <w:t>"Porto de Santos"</w:t>
      </w:r>
      <w:r w:rsidRPr="00E37FEB">
        <w:rPr>
          <w:rStyle w:val="FunctionTok"/>
        </w:rPr>
        <w:t>:</w:t>
      </w:r>
      <w:r w:rsidRPr="00E37FEB">
        <w:rPr>
          <w:rStyle w:val="NormalTok"/>
        </w:rPr>
        <w:t xml:space="preserve"> </w:t>
      </w:r>
      <w:r w:rsidRPr="00E37FEB">
        <w:rPr>
          <w:rStyle w:val="FunctionTok"/>
        </w:rPr>
        <w:t>{</w:t>
      </w:r>
      <w:r w:rsidRPr="00E37FEB">
        <w:br/>
      </w:r>
      <w:r w:rsidRPr="00E37FEB">
        <w:rPr>
          <w:rStyle w:val="NormalTok"/>
        </w:rPr>
        <w:t xml:space="preserve">        </w:t>
      </w:r>
      <w:r w:rsidRPr="00E37FEB">
        <w:rPr>
          <w:rStyle w:val="DataTypeTok"/>
        </w:rPr>
        <w:t>"Porto de Salvador"</w:t>
      </w:r>
      <w:r w:rsidRPr="00E37FEB">
        <w:rPr>
          <w:rStyle w:val="FunctionTok"/>
        </w:rPr>
        <w:t>:</w:t>
      </w:r>
      <w:r w:rsidRPr="00E37FEB">
        <w:rPr>
          <w:rStyle w:val="NormalTok"/>
        </w:rPr>
        <w:t xml:space="preserve"> </w:t>
      </w:r>
      <w:r w:rsidRPr="00E37FEB">
        <w:rPr>
          <w:rStyle w:val="FunctionTok"/>
        </w:rPr>
        <w:t>{</w:t>
      </w:r>
      <w:r w:rsidRPr="00E37FEB">
        <w:br/>
      </w:r>
      <w:r w:rsidRPr="00E37FEB">
        <w:rPr>
          <w:rStyle w:val="NormalTok"/>
        </w:rPr>
        <w:t xml:space="preserve">            </w:t>
      </w:r>
      <w:r w:rsidRPr="00E37FEB">
        <w:rPr>
          <w:rStyle w:val="DataTypeTok"/>
        </w:rPr>
        <w:t>"distancia_km"</w:t>
      </w:r>
      <w:r w:rsidRPr="00E37FEB">
        <w:rPr>
          <w:rStyle w:val="FunctionTok"/>
        </w:rPr>
        <w:t>:</w:t>
      </w:r>
      <w:r w:rsidRPr="00E37FEB">
        <w:rPr>
          <w:rStyle w:val="NormalTok"/>
        </w:rPr>
        <w:t xml:space="preserve"> </w:t>
      </w:r>
      <w:r w:rsidRPr="00E37FEB">
        <w:rPr>
          <w:rStyle w:val="FloatTok"/>
        </w:rPr>
        <w:t>2516.136</w:t>
      </w:r>
      <w:r w:rsidRPr="00E37FEB">
        <w:rPr>
          <w:rStyle w:val="FunctionTok"/>
        </w:rPr>
        <w:t>,</w:t>
      </w:r>
      <w:r w:rsidRPr="00E37FEB">
        <w:br/>
      </w:r>
      <w:r w:rsidRPr="00E37FEB">
        <w:rPr>
          <w:rStyle w:val="NormalTok"/>
        </w:rPr>
        <w:t xml:space="preserve">            </w:t>
      </w:r>
      <w:r w:rsidRPr="00E37FEB">
        <w:rPr>
          <w:rStyle w:val="DataTypeTok"/>
        </w:rPr>
        <w:t>"intensidade_g_por_t_nm"</w:t>
      </w:r>
      <w:r w:rsidRPr="00E37FEB">
        <w:rPr>
          <w:rStyle w:val="FunctionTok"/>
        </w:rPr>
        <w:t>:</w:t>
      </w:r>
      <w:r w:rsidRPr="00E37FEB">
        <w:rPr>
          <w:rStyle w:val="NormalTok"/>
        </w:rPr>
        <w:t xml:space="preserve"> </w:t>
      </w:r>
      <w:r w:rsidRPr="00E37FEB">
        <w:rPr>
          <w:rStyle w:val="FloatTok"/>
        </w:rPr>
        <w:t>9.605744</w:t>
      </w:r>
      <w:r w:rsidRPr="00E37FEB">
        <w:rPr>
          <w:rStyle w:val="FunctionTok"/>
        </w:rPr>
        <w:t>,</w:t>
      </w:r>
      <w:r w:rsidRPr="00E37FEB">
        <w:br/>
      </w:r>
      <w:r w:rsidRPr="00E37FEB">
        <w:rPr>
          <w:rStyle w:val="NormalTok"/>
        </w:rPr>
        <w:t xml:space="preserve">            </w:t>
      </w:r>
      <w:r w:rsidRPr="00E37FEB">
        <w:rPr>
          <w:rStyle w:val="ErrorTok"/>
        </w:rPr>
        <w:t>...</w:t>
      </w:r>
      <w:r w:rsidRPr="00E37FEB">
        <w:br/>
      </w:r>
      <w:r w:rsidRPr="00E37FEB">
        <w:rPr>
          <w:rStyle w:val="NormalTok"/>
        </w:rPr>
        <w:t xml:space="preserve">        </w:t>
      </w:r>
      <w:r w:rsidRPr="00E37FEB">
        <w:rPr>
          <w:rStyle w:val="FunctionTok"/>
        </w:rPr>
        <w:t>},</w:t>
      </w:r>
      <w:r w:rsidRPr="00E37FEB">
        <w:br/>
      </w:r>
      <w:r w:rsidRPr="00E37FEB">
        <w:rPr>
          <w:rStyle w:val="NormalTok"/>
        </w:rPr>
        <w:t xml:space="preserve">    </w:t>
      </w:r>
      <w:r w:rsidRPr="00E37FEB">
        <w:rPr>
          <w:rStyle w:val="DataTypeTok"/>
        </w:rPr>
        <w:t>"Porto de Suape"</w:t>
      </w:r>
      <w:r w:rsidRPr="00E37FEB">
        <w:rPr>
          <w:rStyle w:val="FunctionTok"/>
        </w:rPr>
        <w:t>:</w:t>
      </w:r>
      <w:r w:rsidRPr="00E37FEB">
        <w:rPr>
          <w:rStyle w:val="NormalTok"/>
        </w:rPr>
        <w:t xml:space="preserve"> </w:t>
      </w:r>
      <w:r w:rsidRPr="00E37FEB">
        <w:rPr>
          <w:rStyle w:val="FunctionTok"/>
        </w:rPr>
        <w:t>{</w:t>
      </w:r>
      <w:r w:rsidRPr="00E37FEB">
        <w:br/>
      </w:r>
      <w:r w:rsidRPr="00E37FEB">
        <w:rPr>
          <w:rStyle w:val="NormalTok"/>
        </w:rPr>
        <w:t xml:space="preserve">        </w:t>
      </w:r>
      <w:r w:rsidRPr="00E37FEB">
        <w:rPr>
          <w:rStyle w:val="DataTypeTok"/>
        </w:rPr>
        <w:t>"distancia_km"</w:t>
      </w:r>
      <w:r w:rsidRPr="00E37FEB">
        <w:rPr>
          <w:rStyle w:val="FunctionTok"/>
        </w:rPr>
        <w:t>:</w:t>
      </w:r>
      <w:r w:rsidRPr="00E37FEB">
        <w:rPr>
          <w:rStyle w:val="NormalTok"/>
        </w:rPr>
        <w:t xml:space="preserve"> </w:t>
      </w:r>
      <w:r w:rsidRPr="00E37FEB">
        <w:rPr>
          <w:rStyle w:val="FloatTok"/>
        </w:rPr>
        <w:t>2912.073</w:t>
      </w:r>
      <w:r w:rsidRPr="00E37FEB">
        <w:rPr>
          <w:rStyle w:val="FunctionTok"/>
        </w:rPr>
        <w:t>,</w:t>
      </w:r>
      <w:r w:rsidRPr="00E37FEB">
        <w:br/>
      </w:r>
      <w:r w:rsidRPr="00E37FEB">
        <w:rPr>
          <w:rStyle w:val="NormalTok"/>
        </w:rPr>
        <w:t xml:space="preserve">        </w:t>
      </w:r>
      <w:r w:rsidRPr="00E37FEB">
        <w:rPr>
          <w:rStyle w:val="DataTypeTok"/>
        </w:rPr>
        <w:t>"intensidade_g_por_t_nm"</w:t>
      </w:r>
      <w:r w:rsidRPr="00E37FEB">
        <w:rPr>
          <w:rStyle w:val="FunctionTok"/>
        </w:rPr>
        <w:t>:</w:t>
      </w:r>
      <w:r w:rsidRPr="00E37FEB">
        <w:rPr>
          <w:rStyle w:val="NormalTok"/>
        </w:rPr>
        <w:t xml:space="preserve"> </w:t>
      </w:r>
      <w:r w:rsidRPr="00E37FEB">
        <w:rPr>
          <w:rStyle w:val="FloatTok"/>
        </w:rPr>
        <w:t>8.729368</w:t>
      </w:r>
      <w:r w:rsidRPr="00E37FEB">
        <w:rPr>
          <w:rStyle w:val="FunctionTok"/>
        </w:rPr>
        <w:t>,</w:t>
      </w:r>
      <w:r w:rsidRPr="00E37FEB">
        <w:br/>
      </w:r>
      <w:r w:rsidRPr="00E37FEB">
        <w:rPr>
          <w:rStyle w:val="NormalTok"/>
        </w:rPr>
        <w:t xml:space="preserve">        </w:t>
      </w:r>
      <w:r w:rsidRPr="00E37FEB">
        <w:rPr>
          <w:rStyle w:val="ErrorTok"/>
        </w:rPr>
        <w:t>...</w:t>
      </w:r>
      <w:r w:rsidRPr="00E37FEB">
        <w:br/>
      </w:r>
      <w:r w:rsidRPr="00E37FEB">
        <w:rPr>
          <w:rStyle w:val="NormalTok"/>
        </w:rPr>
        <w:t xml:space="preserve">    </w:t>
      </w:r>
      <w:r w:rsidRPr="00E37FEB">
        <w:rPr>
          <w:rStyle w:val="FunctionTok"/>
        </w:rPr>
        <w:t>},</w:t>
      </w:r>
      <w:r w:rsidRPr="00E37FEB">
        <w:br/>
      </w:r>
      <w:r w:rsidRPr="00E37FEB">
        <w:rPr>
          <w:rStyle w:val="NormalTok"/>
        </w:rPr>
        <w:t xml:space="preserve">    </w:t>
      </w:r>
      <w:r w:rsidRPr="00E37FEB">
        <w:rPr>
          <w:rStyle w:val="DataTypeTok"/>
        </w:rPr>
        <w:t>"Porto de Manaus"</w:t>
      </w:r>
      <w:r w:rsidRPr="00E37FEB">
        <w:rPr>
          <w:rStyle w:val="FunctionTok"/>
        </w:rPr>
        <w:t>:</w:t>
      </w:r>
      <w:r w:rsidRPr="00E37FEB">
        <w:rPr>
          <w:rStyle w:val="NormalTok"/>
        </w:rPr>
        <w:t xml:space="preserve"> </w:t>
      </w:r>
      <w:r w:rsidRPr="00E37FEB">
        <w:rPr>
          <w:rStyle w:val="FunctionTok"/>
        </w:rPr>
        <w:t>{</w:t>
      </w:r>
      <w:r w:rsidRPr="00E37FEB">
        <w:br/>
      </w:r>
      <w:r w:rsidRPr="00E37FEB">
        <w:rPr>
          <w:rStyle w:val="NormalTok"/>
        </w:rPr>
        <w:t xml:space="preserve">      </w:t>
      </w:r>
      <w:r w:rsidRPr="00E37FEB">
        <w:rPr>
          <w:rStyle w:val="DataTypeTok"/>
        </w:rPr>
        <w:t>"distancia_km"</w:t>
      </w:r>
      <w:r w:rsidRPr="00E37FEB">
        <w:rPr>
          <w:rStyle w:val="FunctionTok"/>
        </w:rPr>
        <w:t>:</w:t>
      </w:r>
      <w:r w:rsidRPr="00E37FEB">
        <w:rPr>
          <w:rStyle w:val="NormalTok"/>
        </w:rPr>
        <w:t xml:space="preserve"> </w:t>
      </w:r>
      <w:r w:rsidRPr="00E37FEB">
        <w:rPr>
          <w:rStyle w:val="FloatTok"/>
        </w:rPr>
        <w:t>6094.975</w:t>
      </w:r>
      <w:r w:rsidRPr="00E37FEB">
        <w:rPr>
          <w:rStyle w:val="FunctionTok"/>
        </w:rPr>
        <w:t>,</w:t>
      </w:r>
      <w:r w:rsidRPr="00E37FEB">
        <w:br/>
      </w:r>
      <w:r w:rsidRPr="00E37FEB">
        <w:rPr>
          <w:rStyle w:val="NormalTok"/>
        </w:rPr>
        <w:t xml:space="preserve">      </w:t>
      </w:r>
      <w:r w:rsidRPr="00E37FEB">
        <w:rPr>
          <w:rStyle w:val="DataTypeTok"/>
        </w:rPr>
        <w:t>"intensidade_g_por_t_nm"</w:t>
      </w:r>
      <w:r w:rsidRPr="00E37FEB">
        <w:rPr>
          <w:rStyle w:val="FunctionTok"/>
        </w:rPr>
        <w:t>:</w:t>
      </w:r>
      <w:r w:rsidRPr="00E37FEB">
        <w:rPr>
          <w:rStyle w:val="NormalTok"/>
        </w:rPr>
        <w:t xml:space="preserve"> </w:t>
      </w:r>
      <w:r w:rsidRPr="00E37FEB">
        <w:rPr>
          <w:rStyle w:val="FloatTok"/>
        </w:rPr>
        <w:t>9.009824</w:t>
      </w:r>
      <w:r w:rsidRPr="00E37FEB">
        <w:rPr>
          <w:rStyle w:val="FunctionTok"/>
        </w:rPr>
        <w:t>,</w:t>
      </w:r>
      <w:r w:rsidRPr="00E37FEB">
        <w:br/>
      </w:r>
      <w:r w:rsidRPr="00E37FEB">
        <w:rPr>
          <w:rStyle w:val="NormalTok"/>
        </w:rPr>
        <w:lastRenderedPageBreak/>
        <w:t xml:space="preserve">      </w:t>
      </w:r>
      <w:r w:rsidRPr="00E37FEB">
        <w:rPr>
          <w:rStyle w:val="ErrorTok"/>
        </w:rPr>
        <w:t>...</w:t>
      </w:r>
      <w:r w:rsidRPr="00E37FEB">
        <w:br/>
      </w:r>
      <w:r w:rsidRPr="00E37FEB">
        <w:rPr>
          <w:rStyle w:val="NormalTok"/>
        </w:rPr>
        <w:t xml:space="preserve">    </w:t>
      </w:r>
      <w:r w:rsidRPr="00E37FEB">
        <w:rPr>
          <w:rStyle w:val="FunctionTok"/>
        </w:rPr>
        <w:t>},</w:t>
      </w:r>
      <w:r w:rsidRPr="00E37FEB">
        <w:br/>
      </w:r>
      <w:r w:rsidRPr="00E37FEB">
        <w:rPr>
          <w:rStyle w:val="NormalTok"/>
        </w:rPr>
        <w:t xml:space="preserve">    </w:t>
      </w:r>
      <w:r w:rsidRPr="00E37FEB">
        <w:rPr>
          <w:rStyle w:val="ErrorTok"/>
        </w:rPr>
        <w:t>...</w:t>
      </w:r>
      <w:r w:rsidRPr="00E37FEB">
        <w:br/>
      </w:r>
      <w:r w:rsidRPr="00E37FEB">
        <w:rPr>
          <w:rStyle w:val="NormalTok"/>
        </w:rPr>
        <w:t xml:space="preserve">  </w:t>
      </w:r>
      <w:r w:rsidRPr="00E37FEB">
        <w:rPr>
          <w:rStyle w:val="FunctionTok"/>
        </w:rPr>
        <w:t>},</w:t>
      </w:r>
      <w:r w:rsidRPr="00E37FEB">
        <w:br/>
      </w:r>
      <w:r w:rsidRPr="00E37FEB">
        <w:rPr>
          <w:rStyle w:val="ErrorTok"/>
        </w:rPr>
        <w:t>...</w:t>
      </w:r>
      <w:r w:rsidRPr="00E37FEB">
        <w:br/>
      </w:r>
      <w:r w:rsidRPr="00E37FEB">
        <w:rPr>
          <w:rStyle w:val="FunctionTok"/>
        </w:rPr>
        <w:t>}</w:t>
      </w:r>
    </w:p>
    <w:p w14:paraId="5428EC58" w14:textId="77777777" w:rsidR="000F1D9A" w:rsidRPr="00E37FEB" w:rsidRDefault="007224B6">
      <w:pPr>
        <w:pStyle w:val="Ttulo3"/>
      </w:pPr>
      <w:bookmarkStart w:id="97" w:name="escolha-dos-portos-e-acessos-rodoviários"/>
      <w:bookmarkStart w:id="98" w:name="_Toc235532543"/>
      <w:r w:rsidRPr="00E37FEB">
        <w:t>4.4.3 Escolha dos portos e acessos rodoviários</w:t>
      </w:r>
      <w:bookmarkEnd w:id="97"/>
      <w:bookmarkEnd w:id="98"/>
    </w:p>
    <w:p w14:paraId="40FFD95D" w14:textId="77777777" w:rsidR="000F1D9A" w:rsidRPr="00E37FEB" w:rsidRDefault="007224B6">
      <w:pPr>
        <w:pStyle w:val="Ttulo4"/>
      </w:pPr>
      <w:bookmarkStart w:id="99" w:name="escolha-dos-portos-1"/>
      <w:bookmarkStart w:id="100" w:name="_Toc235532544"/>
      <w:r w:rsidRPr="00E37FEB">
        <w:t>4.4.3.1 Escolha dos portos</w:t>
      </w:r>
      <w:bookmarkEnd w:id="99"/>
      <w:bookmarkEnd w:id="100"/>
    </w:p>
    <w:p w14:paraId="3242A61E" w14:textId="77777777" w:rsidR="000F1D9A" w:rsidRPr="00E37FEB" w:rsidRDefault="007224B6">
      <w:pPr>
        <w:pStyle w:val="FirstParagraph"/>
      </w:pPr>
      <w:r w:rsidRPr="00E37FEB">
        <w:t xml:space="preserve">A definição dos portos de embarque e desembarque começa pela função </w:t>
      </w:r>
      <w:r w:rsidRPr="00E37FEB">
        <w:rPr>
          <w:rStyle w:val="VerbatimChar"/>
        </w:rPr>
        <w:t>find_nearest_port</w:t>
      </w:r>
      <w:r w:rsidRPr="00E37FEB">
        <w:t>. Ela usa a distância de Haversine, um cálculo geométrico realizado a partir das latitudes e longitudes, que estima a menor distância sobre a superfície da Terra entre dois pontos. Esse cálculo é rápido, executado localmente e não representa uma rota por estrada. A função mede a distância entre o ponto de origem ou destino e cada porto disponível e seleciona o porto com a menor distância. O pipeline executa a função uma vez para as coordenadas da origem, definindo o porto de embarque, e outra vez para as co</w:t>
      </w:r>
      <w:r w:rsidRPr="00E37FEB">
        <w:t>ordenadas do destino, definindo o porto de desembarque.</w:t>
      </w:r>
    </w:p>
    <w:p w14:paraId="41EBA4DD" w14:textId="77777777" w:rsidR="000F1D9A" w:rsidRPr="00E37FEB" w:rsidRDefault="007224B6">
      <w:pPr>
        <w:pStyle w:val="Corpodetexto"/>
      </w:pPr>
      <w:r w:rsidRPr="00E37FEB">
        <w:t>A distância de Haversine, porém, é usada apenas nessa escolha inicial. Ela não entra nos cálculos de consumo, custo ou emissões.</w:t>
      </w:r>
    </w:p>
    <w:p w14:paraId="08209592" w14:textId="77777777" w:rsidR="000F1D9A" w:rsidRPr="00E37FEB" w:rsidRDefault="007224B6">
      <w:pPr>
        <w:pStyle w:val="Ttulo4"/>
      </w:pPr>
      <w:bookmarkStart w:id="101" w:name="acessos-rodoviários-first-mile-e-last-mi"/>
      <w:bookmarkStart w:id="102" w:name="_Toc235532545"/>
      <w:r w:rsidRPr="00E37FEB">
        <w:t xml:space="preserve">4.4.3.2 Acessos rodoviários: </w:t>
      </w:r>
      <w:r w:rsidRPr="00E37FEB">
        <w:rPr>
          <w:i/>
        </w:rPr>
        <w:t>first mile</w:t>
      </w:r>
      <w:r w:rsidRPr="00E37FEB">
        <w:t xml:space="preserve"> e </w:t>
      </w:r>
      <w:r w:rsidRPr="00E37FEB">
        <w:rPr>
          <w:i/>
        </w:rPr>
        <w:t>last mile</w:t>
      </w:r>
      <w:bookmarkEnd w:id="101"/>
      <w:bookmarkEnd w:id="102"/>
    </w:p>
    <w:p w14:paraId="6516A900" w14:textId="77777777" w:rsidR="000F1D9A" w:rsidRPr="00E37FEB" w:rsidRDefault="007224B6">
      <w:pPr>
        <w:pStyle w:val="FirstParagraph"/>
      </w:pPr>
      <w:r w:rsidRPr="00E37FEB">
        <w:t>Após escolher os dois portos e suas respectivas coordenadas, o sistema calcula a distância real dos dois acessos rodoviários — origem → porto de embarque e porto de desembarque → destino — pelo mesmo procedimento exposto na Seção 4.3.1.</w:t>
      </w:r>
    </w:p>
    <w:p w14:paraId="315E5039" w14:textId="77777777" w:rsidR="000F1D9A" w:rsidRPr="00E37FEB" w:rsidRDefault="007224B6">
      <w:pPr>
        <w:pStyle w:val="Corpodetexto"/>
      </w:pPr>
      <w:r w:rsidRPr="00E37FEB">
        <w:t>Essa sequência reduz consultas desnecessárias aos provedores de rota. Em vez de solicitar uma rota rodoviária para cada porto candidato de uma coordenada, o sistema faz uma única consulta para o acesso do porto já selecionado. Assim, a distância usada no cálculo continua sendo rodoviária, enquanto a distância de Haversine é usada apenas como um filtro rápido para definir qual porto consultar.</w:t>
      </w:r>
    </w:p>
    <w:p w14:paraId="0A3871C7" w14:textId="77777777" w:rsidR="000F1D9A" w:rsidRPr="00E37FEB" w:rsidRDefault="007224B6">
      <w:pPr>
        <w:pStyle w:val="Ttulo4"/>
      </w:pPr>
      <w:bookmarkStart w:id="103" w:name="resultado-consolidado-do-exemplo-são-pau"/>
      <w:bookmarkStart w:id="104" w:name="_Toc235532546"/>
      <w:r w:rsidRPr="00E37FEB">
        <w:t>4.4.3.3 Resultado consolidado do exemplo São Paulo–Rio Branco</w:t>
      </w:r>
      <w:bookmarkEnd w:id="103"/>
      <w:bookmarkEnd w:id="104"/>
    </w:p>
    <w:p w14:paraId="32719551" w14:textId="77777777" w:rsidR="000F1D9A" w:rsidRPr="00E37FEB" w:rsidRDefault="007224B6">
      <w:pPr>
        <w:pStyle w:val="FirstParagraph"/>
      </w:pPr>
      <w:r w:rsidRPr="00E37FEB">
        <w:t>No exemplo São Paulo–Rio Branco, a seleção geográfica indicou o Porto de Santos para o embarque e o Porto de Manaus para o desembarque. A Tabela 15 compara a distância de Haversine usada na seleção com a distância rodoviária calculada após a escolha de cada porto.</w:t>
      </w:r>
    </w:p>
    <w:p w14:paraId="4A7A1CD7" w14:textId="77777777" w:rsidR="000F1D9A" w:rsidRPr="00E37FEB" w:rsidRDefault="007224B6" w:rsidP="00E37FEB">
      <w:pPr>
        <w:pStyle w:val="TtulodeTabelaCL"/>
      </w:pPr>
      <w:r w:rsidRPr="00E37FEB">
        <w:t>Tabela 15 — Distâncias de seleção e de acesso rodoviário no exemplo São Paulo–Rio Branco.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1177"/>
        <w:gridCol w:w="2286"/>
        <w:gridCol w:w="2778"/>
        <w:gridCol w:w="1408"/>
        <w:gridCol w:w="1424"/>
      </w:tblGrid>
      <w:tr w:rsidR="000F1D9A" w:rsidRPr="00E37FEB" w14:paraId="7120F9F3" w14:textId="77777777" w:rsidTr="00E37FEB">
        <w:trPr>
          <w:tblHeader/>
          <w:jc w:val="center"/>
        </w:trPr>
        <w:tc>
          <w:tcPr>
            <w:tcW w:w="648" w:type="pct"/>
            <w:shd w:val="clear" w:color="auto" w:fill="E8EEF5"/>
            <w:vAlign w:val="center"/>
          </w:tcPr>
          <w:p w14:paraId="49B14AD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A</w:t>
            </w:r>
            <w:r w:rsidRPr="00E37FEB">
              <w:rPr>
                <w:b/>
                <w:sz w:val="18"/>
              </w:rPr>
              <w:t>cesso</w:t>
            </w:r>
          </w:p>
        </w:tc>
        <w:tc>
          <w:tcPr>
            <w:tcW w:w="1260" w:type="pct"/>
            <w:shd w:val="clear" w:color="auto" w:fill="E8EEF5"/>
            <w:vAlign w:val="center"/>
          </w:tcPr>
          <w:p w14:paraId="3190A85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Ponto geocodificado</w:t>
            </w:r>
          </w:p>
        </w:tc>
        <w:tc>
          <w:tcPr>
            <w:tcW w:w="1531" w:type="pct"/>
            <w:shd w:val="clear" w:color="auto" w:fill="E8EEF5"/>
            <w:vAlign w:val="center"/>
          </w:tcPr>
          <w:p w14:paraId="1596FF14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Referência do porto</w:t>
            </w:r>
          </w:p>
        </w:tc>
        <w:tc>
          <w:tcPr>
            <w:tcW w:w="776" w:type="pct"/>
            <w:shd w:val="clear" w:color="auto" w:fill="E8EEF5"/>
            <w:vAlign w:val="center"/>
          </w:tcPr>
          <w:p w14:paraId="5CC46433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Haversine: seleção</w:t>
            </w:r>
          </w:p>
        </w:tc>
        <w:tc>
          <w:tcPr>
            <w:tcW w:w="785" w:type="pct"/>
            <w:shd w:val="clear" w:color="auto" w:fill="E8EEF5"/>
            <w:vAlign w:val="center"/>
          </w:tcPr>
          <w:p w14:paraId="7544F2BC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Distância rodoviária: cálculo</w:t>
            </w:r>
          </w:p>
        </w:tc>
      </w:tr>
      <w:tr w:rsidR="000F1D9A" w:rsidRPr="00E37FEB" w14:paraId="34619D15" w14:textId="77777777" w:rsidTr="00E37FEB">
        <w:trPr>
          <w:jc w:val="center"/>
        </w:trPr>
        <w:tc>
          <w:tcPr>
            <w:tcW w:w="648" w:type="pct"/>
            <w:vAlign w:val="center"/>
          </w:tcPr>
          <w:p w14:paraId="1921CF9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i/>
                <w:sz w:val="18"/>
              </w:rPr>
              <w:t>First mile</w:t>
            </w:r>
            <w:r w:rsidRPr="00E37FEB">
              <w:rPr>
                <w:sz w:val="18"/>
              </w:rPr>
              <w:t xml:space="preserve">:São Paulo → Porto de </w:t>
            </w:r>
            <w:r w:rsidRPr="00E37FEB">
              <w:rPr>
                <w:sz w:val="18"/>
              </w:rPr>
              <w:lastRenderedPageBreak/>
              <w:t>Santos</w:t>
            </w:r>
          </w:p>
        </w:tc>
        <w:tc>
          <w:tcPr>
            <w:tcW w:w="1260" w:type="pct"/>
            <w:vAlign w:val="center"/>
          </w:tcPr>
          <w:p w14:paraId="4125DED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lastRenderedPageBreak/>
              <w:t>São Paulo (origem):[−23,550520°; −46,633308°]</w:t>
            </w:r>
          </w:p>
        </w:tc>
        <w:tc>
          <w:tcPr>
            <w:tcW w:w="1531" w:type="pct"/>
            <w:vAlign w:val="center"/>
          </w:tcPr>
          <w:p w14:paraId="64E3027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Porto de Santos (embarque):[−23,987012°; −46,293383°]</w:t>
            </w:r>
          </w:p>
        </w:tc>
        <w:tc>
          <w:tcPr>
            <w:tcW w:w="776" w:type="pct"/>
            <w:vAlign w:val="center"/>
          </w:tcPr>
          <w:p w14:paraId="73E3AFE7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59,601 km</w:t>
            </w:r>
          </w:p>
        </w:tc>
        <w:tc>
          <w:tcPr>
            <w:tcW w:w="785" w:type="pct"/>
            <w:vAlign w:val="center"/>
          </w:tcPr>
          <w:p w14:paraId="00E03518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86,170 km</w:t>
            </w:r>
          </w:p>
        </w:tc>
      </w:tr>
      <w:tr w:rsidR="000F1D9A" w:rsidRPr="00E37FEB" w14:paraId="25ACB604" w14:textId="77777777" w:rsidTr="00E37FEB">
        <w:trPr>
          <w:jc w:val="center"/>
        </w:trPr>
        <w:tc>
          <w:tcPr>
            <w:tcW w:w="648" w:type="pct"/>
            <w:vAlign w:val="center"/>
          </w:tcPr>
          <w:p w14:paraId="1FD3ED6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i/>
                <w:sz w:val="18"/>
              </w:rPr>
              <w:t>Last mile</w:t>
            </w:r>
            <w:r w:rsidRPr="00E37FEB">
              <w:rPr>
                <w:sz w:val="18"/>
              </w:rPr>
              <w:t>:Porto de Manaus → Rio Branco</w:t>
            </w:r>
          </w:p>
        </w:tc>
        <w:tc>
          <w:tcPr>
            <w:tcW w:w="1260" w:type="pct"/>
            <w:vAlign w:val="center"/>
          </w:tcPr>
          <w:p w14:paraId="20480F7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Rio Branco (destino):[−9,989637°; −67,822462°]</w:t>
            </w:r>
          </w:p>
        </w:tc>
        <w:tc>
          <w:tcPr>
            <w:tcW w:w="1531" w:type="pct"/>
            <w:vAlign w:val="center"/>
          </w:tcPr>
          <w:p w14:paraId="0785B4B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Porto de Manaus (desembarque):[−3,156700°; −60,007900°]</w:t>
            </w:r>
          </w:p>
        </w:tc>
        <w:tc>
          <w:tcPr>
            <w:tcW w:w="776" w:type="pct"/>
            <w:vAlign w:val="center"/>
          </w:tcPr>
          <w:p w14:paraId="2F728AF7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1.149,569 km</w:t>
            </w:r>
          </w:p>
        </w:tc>
        <w:tc>
          <w:tcPr>
            <w:tcW w:w="785" w:type="pct"/>
            <w:vAlign w:val="center"/>
          </w:tcPr>
          <w:p w14:paraId="5849E395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1.403,691 km</w:t>
            </w:r>
          </w:p>
        </w:tc>
      </w:tr>
    </w:tbl>
    <w:p w14:paraId="6DCF8261" w14:textId="77777777" w:rsidR="000F1D9A" w:rsidRPr="00E37FEB" w:rsidRDefault="007224B6" w:rsidP="00E37FEB">
      <w:pPr>
        <w:pStyle w:val="FontedeTabelaCL"/>
      </w:pPr>
      <w:r w:rsidRPr="00E37FEB">
        <w:t>Fonte: elaboração própria com a base de portos do sistema e as rotas rodoviárias obtidas no cenário.</w:t>
      </w:r>
    </w:p>
    <w:p w14:paraId="4CC9B5A7" w14:textId="77777777" w:rsidR="000F1D9A" w:rsidRPr="00E37FEB" w:rsidRDefault="007224B6">
      <w:pPr>
        <w:pStyle w:val="Corpodetexto"/>
      </w:pPr>
      <w:r w:rsidRPr="00E37FEB">
        <w:t>A</w:t>
      </w:r>
      <w:r w:rsidRPr="00E37FEB">
        <w:t xml:space="preserve"> diferença entre as duas colunas é esperada: Haversine mede a separação geométrica entre os pontos, enquanto a distância rodoviária acompanha o caminho percorrido pela malha viária. Apenas a última é usada nos cálculos da alternativa multimodal.</w:t>
      </w:r>
    </w:p>
    <w:p w14:paraId="714AAF97" w14:textId="77777777" w:rsidR="000F1D9A" w:rsidRPr="00E37FEB" w:rsidRDefault="007224B6">
      <w:pPr>
        <w:pStyle w:val="Ttulo3"/>
      </w:pPr>
      <w:bookmarkStart w:id="105" w:name="operações-portuárias-1"/>
      <w:bookmarkStart w:id="106" w:name="_Toc235532547"/>
      <w:r w:rsidRPr="00E37FEB">
        <w:t>4.4.4 Operações portuárias</w:t>
      </w:r>
      <w:bookmarkEnd w:id="105"/>
      <w:bookmarkEnd w:id="106"/>
    </w:p>
    <w:p w14:paraId="593F3195" w14:textId="77777777" w:rsidR="000F1D9A" w:rsidRPr="00E37FEB" w:rsidRDefault="007224B6">
      <w:pPr>
        <w:pStyle w:val="FirstParagraph"/>
      </w:pPr>
      <w:r w:rsidRPr="00E37FEB">
        <w:t>A rotina de operações portuárias recebe a carga, os dois portos e o número de escalas para realizar o procedimento descrito na Seção 3.3.3. O resultado da execução foi 4,820 L de diesel para as operações quantificadas, equivalentes a R$ 34,25 e 12,92 kg CO₂e.</w:t>
      </w:r>
    </w:p>
    <w:p w14:paraId="685E1989" w14:textId="77777777" w:rsidR="000F1D9A" w:rsidRPr="00E37FEB" w:rsidRDefault="007224B6">
      <w:pPr>
        <w:pStyle w:val="Ttulo2"/>
      </w:pPr>
      <w:bookmarkStart w:id="107" w:name="consulta-da-ligação-marítima"/>
      <w:bookmarkStart w:id="108" w:name="_Toc235532548"/>
      <w:r w:rsidRPr="00E37FEB">
        <w:t>4.5 Consulta da ligação marítima</w:t>
      </w:r>
      <w:bookmarkEnd w:id="107"/>
      <w:bookmarkEnd w:id="108"/>
    </w:p>
    <w:p w14:paraId="7D0698FF" w14:textId="77777777" w:rsidR="000F1D9A" w:rsidRPr="00E37FEB" w:rsidRDefault="007224B6">
      <w:pPr>
        <w:pStyle w:val="FirstParagraph"/>
      </w:pPr>
      <w:r w:rsidRPr="00E37FEB">
        <w:t>Com os portos de embarque e desembarque já definidos, o avaliador consulta a matriz preparada na Seção 4.4.2. Nessa etapa, ele não escolhe um novo corredor nem reconstrói as viagens históricas: apenas recupera os valores representativos do par de portos selecionado e os aplica à carga do cenário.</w:t>
      </w:r>
    </w:p>
    <w:p w14:paraId="012874FD" w14:textId="77777777" w:rsidR="000F1D9A" w:rsidRPr="00E37FEB" w:rsidRDefault="007224B6">
      <w:pPr>
        <w:pStyle w:val="Ttulo3"/>
      </w:pPr>
      <w:bookmarkStart w:id="109" w:name="consulta-da-ligação-marítima-no-cenário"/>
      <w:bookmarkStart w:id="110" w:name="_Toc235532549"/>
      <w:r w:rsidRPr="00E37FEB">
        <w:t>4.5.1 Consulta da ligação marítima no cenário</w:t>
      </w:r>
      <w:bookmarkEnd w:id="109"/>
      <w:bookmarkEnd w:id="110"/>
    </w:p>
    <w:p w14:paraId="081CB540" w14:textId="77777777" w:rsidR="000F1D9A" w:rsidRPr="00E37FEB" w:rsidRDefault="007224B6">
      <w:pPr>
        <w:pStyle w:val="FirstParagraph"/>
      </w:pPr>
      <w:r w:rsidRPr="00E37FEB">
        <w:t xml:space="preserve">No exemplo São Paulo–Rio Branco, a escolha dos portos leva à consulta Santos–Manaus na </w:t>
      </w:r>
      <w:r w:rsidRPr="00E37FEB">
        <w:rPr>
          <w:rStyle w:val="VerbatimChar"/>
        </w:rPr>
        <w:t>SeaMatrix</w:t>
      </w:r>
      <w:r w:rsidRPr="00E37FEB">
        <w:t>. A Tabela 16 mostra o que a matriz devolve para esse par. Um recorte é a parte de uma viagem observada compreendida entre os dois portos da ligação; ele pode ser direto ou conter escalas intermediárias.</w:t>
      </w:r>
    </w:p>
    <w:p w14:paraId="50621997" w14:textId="77777777" w:rsidR="000F1D9A" w:rsidRPr="00E37FEB" w:rsidRDefault="007224B6" w:rsidP="00E37FEB">
      <w:pPr>
        <w:pStyle w:val="TtulodeTabelaCL"/>
      </w:pPr>
      <w:r w:rsidRPr="00E37FEB">
        <w:t>Tabela 16 — Informações devolvidas pela matriz marítima para a ligação Santos–Manaus.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1653"/>
        <w:gridCol w:w="3760"/>
        <w:gridCol w:w="3660"/>
      </w:tblGrid>
      <w:tr w:rsidR="000F1D9A" w:rsidRPr="00E37FEB" w14:paraId="32F8A6E2" w14:textId="77777777" w:rsidTr="00E37FEB">
        <w:trPr>
          <w:tblHeader/>
          <w:jc w:val="center"/>
        </w:trPr>
        <w:tc>
          <w:tcPr>
            <w:tcW w:w="911" w:type="pct"/>
            <w:shd w:val="clear" w:color="auto" w:fill="E8EEF5"/>
            <w:vAlign w:val="center"/>
          </w:tcPr>
          <w:p w14:paraId="5E7C83D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I</w:t>
            </w:r>
            <w:r w:rsidRPr="00E37FEB">
              <w:rPr>
                <w:b/>
                <w:sz w:val="18"/>
              </w:rPr>
              <w:t>nformação</w:t>
            </w:r>
          </w:p>
        </w:tc>
        <w:tc>
          <w:tcPr>
            <w:tcW w:w="2072" w:type="pct"/>
            <w:shd w:val="clear" w:color="auto" w:fill="E8EEF5"/>
            <w:vAlign w:val="center"/>
          </w:tcPr>
          <w:p w14:paraId="69D9D5D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Valor retornado na execução</w:t>
            </w:r>
          </w:p>
        </w:tc>
        <w:tc>
          <w:tcPr>
            <w:tcW w:w="2017" w:type="pct"/>
            <w:shd w:val="clear" w:color="auto" w:fill="E8EEF5"/>
            <w:vAlign w:val="center"/>
          </w:tcPr>
          <w:p w14:paraId="64EEA9E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Como deve ser lido</w:t>
            </w:r>
          </w:p>
        </w:tc>
      </w:tr>
      <w:tr w:rsidR="000F1D9A" w:rsidRPr="00E37FEB" w14:paraId="69D5B4C5" w14:textId="77777777" w:rsidTr="00E37FEB">
        <w:trPr>
          <w:jc w:val="center"/>
        </w:trPr>
        <w:tc>
          <w:tcPr>
            <w:tcW w:w="911" w:type="pct"/>
            <w:vAlign w:val="center"/>
          </w:tcPr>
          <w:p w14:paraId="08270D23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Cobertura observada</w:t>
            </w:r>
          </w:p>
        </w:tc>
        <w:tc>
          <w:tcPr>
            <w:tcW w:w="2072" w:type="pct"/>
            <w:vAlign w:val="center"/>
          </w:tcPr>
          <w:p w14:paraId="5D2FB3C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89 recortes em 22 corredores</w:t>
            </w:r>
          </w:p>
        </w:tc>
        <w:tc>
          <w:tcPr>
            <w:tcW w:w="2017" w:type="pct"/>
            <w:vAlign w:val="center"/>
          </w:tcPr>
          <w:p w14:paraId="0A11D99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Todas as viagens em que Santos aparece antes de Manaus são consideradas no mesmo sentido</w:t>
            </w:r>
          </w:p>
        </w:tc>
      </w:tr>
      <w:tr w:rsidR="000F1D9A" w:rsidRPr="00E37FEB" w14:paraId="4759E1DE" w14:textId="77777777" w:rsidTr="00E37FEB">
        <w:trPr>
          <w:jc w:val="center"/>
        </w:trPr>
        <w:tc>
          <w:tcPr>
            <w:tcW w:w="911" w:type="pct"/>
            <w:vAlign w:val="center"/>
          </w:tcPr>
          <w:p w14:paraId="4684E2E0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Forma dos recortes</w:t>
            </w:r>
          </w:p>
        </w:tc>
        <w:tc>
          <w:tcPr>
            <w:tcW w:w="2072" w:type="pct"/>
            <w:vAlign w:val="center"/>
          </w:tcPr>
          <w:p w14:paraId="73008822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1 direto e 88 com escalas intermediárias</w:t>
            </w:r>
          </w:p>
        </w:tc>
        <w:tc>
          <w:tcPr>
            <w:tcW w:w="2017" w:type="pct"/>
            <w:vAlign w:val="center"/>
          </w:tcPr>
          <w:p w14:paraId="76737B9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Não há corredor obrigatório nem seleção do percurso mais curto</w:t>
            </w:r>
          </w:p>
        </w:tc>
      </w:tr>
      <w:tr w:rsidR="000F1D9A" w:rsidRPr="00E37FEB" w14:paraId="26C62837" w14:textId="77777777" w:rsidTr="00E37FEB">
        <w:trPr>
          <w:jc w:val="center"/>
        </w:trPr>
        <w:tc>
          <w:tcPr>
            <w:tcW w:w="911" w:type="pct"/>
            <w:vAlign w:val="center"/>
          </w:tcPr>
          <w:p w14:paraId="5E3AE58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Amostra da distância</w:t>
            </w:r>
          </w:p>
        </w:tc>
        <w:tc>
          <w:tcPr>
            <w:tcW w:w="2072" w:type="pct"/>
            <w:vAlign w:val="center"/>
          </w:tcPr>
          <w:p w14:paraId="14844AC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87 recortes em 20 corredores; P95 de 6.975,000 km</w:t>
            </w:r>
          </w:p>
        </w:tc>
        <w:tc>
          <w:tcPr>
            <w:tcW w:w="2017" w:type="pct"/>
            <w:vAlign w:val="center"/>
          </w:tcPr>
          <w:p w14:paraId="3234985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Os 2 recortes acima do P95 permanecem auditáveis, mas não entram na média de distância</w:t>
            </w:r>
          </w:p>
        </w:tc>
      </w:tr>
      <w:tr w:rsidR="000F1D9A" w:rsidRPr="00E37FEB" w14:paraId="4C34455B" w14:textId="77777777" w:rsidTr="00E37FEB">
        <w:trPr>
          <w:jc w:val="center"/>
        </w:trPr>
        <w:tc>
          <w:tcPr>
            <w:tcW w:w="911" w:type="pct"/>
            <w:vAlign w:val="center"/>
          </w:tcPr>
          <w:p w14:paraId="1B018632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Distância marítima</w:t>
            </w:r>
          </w:p>
        </w:tc>
        <w:tc>
          <w:tcPr>
            <w:tcW w:w="2072" w:type="pct"/>
            <w:vAlign w:val="center"/>
          </w:tcPr>
          <w:p w14:paraId="2485F93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6.094,975 km, ou 3.291,023 nm</w:t>
            </w:r>
          </w:p>
        </w:tc>
        <w:tc>
          <w:tcPr>
            <w:tcW w:w="2017" w:type="pct"/>
            <w:vAlign w:val="center"/>
          </w:tcPr>
          <w:p w14:paraId="42B59C26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 xml:space="preserve">Média da distância total, ponderada pela carga </w:t>
            </w:r>
            <w:r w:rsidRPr="00E37FEB">
              <w:rPr>
                <w:sz w:val="18"/>
              </w:rPr>
              <w:lastRenderedPageBreak/>
              <w:t>média a bordo dos 87 recortes até o P95</w:t>
            </w:r>
          </w:p>
        </w:tc>
      </w:tr>
      <w:tr w:rsidR="000F1D9A" w:rsidRPr="00E37FEB" w14:paraId="557313EE" w14:textId="77777777" w:rsidTr="00E37FEB">
        <w:trPr>
          <w:jc w:val="center"/>
        </w:trPr>
        <w:tc>
          <w:tcPr>
            <w:tcW w:w="911" w:type="pct"/>
            <w:vAlign w:val="center"/>
          </w:tcPr>
          <w:p w14:paraId="0C558EF3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lastRenderedPageBreak/>
              <w:t>Intensidade marítima</w:t>
            </w:r>
          </w:p>
        </w:tc>
        <w:tc>
          <w:tcPr>
            <w:tcW w:w="2072" w:type="pct"/>
            <w:vAlign w:val="center"/>
          </w:tcPr>
          <w:p w14:paraId="4959C06A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9,009824 g/(t·nm)</w:t>
            </w:r>
          </w:p>
        </w:tc>
        <w:tc>
          <w:tcPr>
            <w:tcW w:w="2017" w:type="pct"/>
            <w:vAlign w:val="center"/>
          </w:tcPr>
          <w:p w14:paraId="13378EE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Média ponderada pelo trabalho de transporte dos 89 recortes</w:t>
            </w:r>
          </w:p>
        </w:tc>
      </w:tr>
      <w:tr w:rsidR="000F1D9A" w:rsidRPr="00E37FEB" w14:paraId="279A4033" w14:textId="77777777" w:rsidTr="00E37FEB">
        <w:trPr>
          <w:jc w:val="center"/>
        </w:trPr>
        <w:tc>
          <w:tcPr>
            <w:tcW w:w="911" w:type="pct"/>
            <w:vAlign w:val="center"/>
          </w:tcPr>
          <w:p w14:paraId="3AD078A3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Origem das intensidades</w:t>
            </w:r>
          </w:p>
        </w:tc>
        <w:tc>
          <w:tcPr>
            <w:tcW w:w="2072" w:type="pct"/>
            <w:vAlign w:val="center"/>
          </w:tcPr>
          <w:p w14:paraId="6AB0E39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19 por IMO; 49 por tipo sem IMO utilizável; 21 por tipo após tratamento de valor atípico</w:t>
            </w:r>
          </w:p>
        </w:tc>
        <w:tc>
          <w:tcPr>
            <w:tcW w:w="2017" w:type="pct"/>
            <w:vAlign w:val="center"/>
          </w:tcPr>
          <w:p w14:paraId="1F1945D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A fonte permanece identificada para cada recorte</w:t>
            </w:r>
          </w:p>
        </w:tc>
      </w:tr>
      <w:tr w:rsidR="000F1D9A" w:rsidRPr="00E37FEB" w14:paraId="2A8BFA09" w14:textId="77777777" w:rsidTr="00E37FEB">
        <w:trPr>
          <w:jc w:val="center"/>
        </w:trPr>
        <w:tc>
          <w:tcPr>
            <w:tcW w:w="911" w:type="pct"/>
            <w:vAlign w:val="center"/>
          </w:tcPr>
          <w:p w14:paraId="639DA33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Aviso de distância</w:t>
            </w:r>
          </w:p>
        </w:tc>
        <w:tc>
          <w:tcPr>
            <w:tcW w:w="2072" w:type="pct"/>
            <w:vAlign w:val="center"/>
          </w:tcPr>
          <w:p w14:paraId="318C5CA3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1 subtrecho aproximado por haversine entre 391 subtrechos</w:t>
            </w:r>
          </w:p>
        </w:tc>
        <w:tc>
          <w:tcPr>
            <w:tcW w:w="2017" w:type="pct"/>
            <w:vAlign w:val="center"/>
          </w:tcPr>
          <w:p w14:paraId="70CAAE4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A aproximação permanece identificada na amostra de distância usada no cenário</w:t>
            </w:r>
          </w:p>
        </w:tc>
      </w:tr>
    </w:tbl>
    <w:p w14:paraId="57040003" w14:textId="77777777" w:rsidR="000F1D9A" w:rsidRPr="00E37FEB" w:rsidRDefault="007224B6">
      <w:pPr>
        <w:pStyle w:val="Ttulo2"/>
      </w:pPr>
      <w:bookmarkStart w:id="111" w:name="resultado-final-do-cenário"/>
      <w:bookmarkStart w:id="112" w:name="_Toc235532550"/>
      <w:r w:rsidRPr="00E37FEB">
        <w:t>4.6 Resultado final do cenário</w:t>
      </w:r>
      <w:bookmarkEnd w:id="111"/>
      <w:bookmarkEnd w:id="112"/>
    </w:p>
    <w:p w14:paraId="4F815DA3" w14:textId="77777777" w:rsidR="000F1D9A" w:rsidRPr="00E37FEB" w:rsidRDefault="007224B6">
      <w:pPr>
        <w:pStyle w:val="FirstParagraph"/>
      </w:pPr>
      <w:r w:rsidRPr="00E37FEB">
        <w:t>Após executar as etapas descritas nas seções anteriores, o pipeline reúne os totais das duas alternativas para a mesma remessa. A Tabela 17 apresenta o resultado final do exemplo São Paulo–Rio Branco, com 14 t de carga.</w:t>
      </w:r>
    </w:p>
    <w:p w14:paraId="30F21B4B" w14:textId="77777777" w:rsidR="000F1D9A" w:rsidRPr="00E37FEB" w:rsidRDefault="007224B6" w:rsidP="00E37FEB">
      <w:pPr>
        <w:pStyle w:val="TtulodeTabelaCL"/>
      </w:pPr>
      <w:r w:rsidRPr="00E37FEB">
        <w:t>Tabela 17 — Resultado final do cenário São Paulo–Rio Branco.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2479"/>
        <w:gridCol w:w="1704"/>
        <w:gridCol w:w="2061"/>
        <w:gridCol w:w="2829"/>
      </w:tblGrid>
      <w:tr w:rsidR="000F1D9A" w:rsidRPr="00E37FEB" w14:paraId="54AE4DEE" w14:textId="77777777" w:rsidTr="00E37FEB">
        <w:trPr>
          <w:tblHeader/>
          <w:jc w:val="center"/>
        </w:trPr>
        <w:tc>
          <w:tcPr>
            <w:tcW w:w="1366" w:type="pct"/>
            <w:shd w:val="clear" w:color="auto" w:fill="E8EEF5"/>
            <w:vAlign w:val="center"/>
          </w:tcPr>
          <w:p w14:paraId="530DE75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I</w:t>
            </w:r>
            <w:r w:rsidRPr="00E37FEB">
              <w:rPr>
                <w:b/>
                <w:sz w:val="18"/>
              </w:rPr>
              <w:t>ndicador</w:t>
            </w:r>
          </w:p>
        </w:tc>
        <w:tc>
          <w:tcPr>
            <w:tcW w:w="939" w:type="pct"/>
            <w:shd w:val="clear" w:color="auto" w:fill="E8EEF5"/>
            <w:vAlign w:val="center"/>
          </w:tcPr>
          <w:p w14:paraId="57718977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Rodovia direta</w:t>
            </w:r>
          </w:p>
        </w:tc>
        <w:tc>
          <w:tcPr>
            <w:tcW w:w="1136" w:type="pct"/>
            <w:shd w:val="clear" w:color="auto" w:fill="E8EEF5"/>
            <w:vAlign w:val="center"/>
          </w:tcPr>
          <w:p w14:paraId="39B37A4A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Alternativa multimodal</w:t>
            </w:r>
          </w:p>
        </w:tc>
        <w:tc>
          <w:tcPr>
            <w:tcW w:w="1559" w:type="pct"/>
            <w:shd w:val="clear" w:color="auto" w:fill="E8EEF5"/>
            <w:vAlign w:val="center"/>
          </w:tcPr>
          <w:p w14:paraId="35673D7A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Diferença da alternativa multimodal</w:t>
            </w:r>
          </w:p>
        </w:tc>
      </w:tr>
      <w:tr w:rsidR="000F1D9A" w:rsidRPr="00E37FEB" w14:paraId="378F5181" w14:textId="77777777" w:rsidTr="00E37FEB">
        <w:trPr>
          <w:jc w:val="center"/>
        </w:trPr>
        <w:tc>
          <w:tcPr>
            <w:tcW w:w="1366" w:type="pct"/>
            <w:vAlign w:val="center"/>
          </w:tcPr>
          <w:p w14:paraId="3DF090C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Distância percorrida</w:t>
            </w:r>
          </w:p>
        </w:tc>
        <w:tc>
          <w:tcPr>
            <w:tcW w:w="939" w:type="pct"/>
            <w:vAlign w:val="center"/>
          </w:tcPr>
          <w:p w14:paraId="50EF2305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3.491,431 km</w:t>
            </w:r>
          </w:p>
        </w:tc>
        <w:tc>
          <w:tcPr>
            <w:tcW w:w="1136" w:type="pct"/>
            <w:vAlign w:val="center"/>
          </w:tcPr>
          <w:p w14:paraId="011F52E8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7.584,836 km</w:t>
            </w:r>
          </w:p>
        </w:tc>
        <w:tc>
          <w:tcPr>
            <w:tcW w:w="1559" w:type="pct"/>
            <w:vAlign w:val="center"/>
          </w:tcPr>
          <w:p w14:paraId="29BC4AD3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4.093,405 km a mais (117,24%)</w:t>
            </w:r>
          </w:p>
        </w:tc>
      </w:tr>
      <w:tr w:rsidR="000F1D9A" w:rsidRPr="00E37FEB" w14:paraId="5B06E211" w14:textId="77777777" w:rsidTr="00E37FEB">
        <w:trPr>
          <w:jc w:val="center"/>
        </w:trPr>
        <w:tc>
          <w:tcPr>
            <w:tcW w:w="1366" w:type="pct"/>
            <w:vAlign w:val="center"/>
          </w:tcPr>
          <w:p w14:paraId="1036807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Custo modelado do combustível</w:t>
            </w:r>
          </w:p>
        </w:tc>
        <w:tc>
          <w:tcPr>
            <w:tcW w:w="939" w:type="pct"/>
            <w:vAlign w:val="center"/>
          </w:tcPr>
          <w:p w14:paraId="15EB390A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R$ 12.318,68</w:t>
            </w:r>
          </w:p>
        </w:tc>
        <w:tc>
          <w:tcPr>
            <w:tcW w:w="1136" w:type="pct"/>
            <w:vAlign w:val="center"/>
          </w:tcPr>
          <w:p w14:paraId="7BF7E602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R$ 6.918,66</w:t>
            </w:r>
          </w:p>
        </w:tc>
        <w:tc>
          <w:tcPr>
            <w:tcW w:w="1559" w:type="pct"/>
            <w:vAlign w:val="center"/>
          </w:tcPr>
          <w:p w14:paraId="703FCF76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R$ 5.400,02 a menos (43,84%)</w:t>
            </w:r>
          </w:p>
        </w:tc>
      </w:tr>
      <w:tr w:rsidR="000F1D9A" w:rsidRPr="00E37FEB" w14:paraId="719D4F09" w14:textId="77777777" w:rsidTr="00E37FEB">
        <w:trPr>
          <w:jc w:val="center"/>
        </w:trPr>
        <w:tc>
          <w:tcPr>
            <w:tcW w:w="1366" w:type="pct"/>
            <w:vAlign w:val="center"/>
          </w:tcPr>
          <w:p w14:paraId="321B9E4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Emissões operacionais TTW</w:t>
            </w:r>
          </w:p>
        </w:tc>
        <w:tc>
          <w:tcPr>
            <w:tcW w:w="939" w:type="pct"/>
            <w:vAlign w:val="center"/>
          </w:tcPr>
          <w:p w14:paraId="689436E0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4.068,28 kg CO₂e</w:t>
            </w:r>
          </w:p>
        </w:tc>
        <w:tc>
          <w:tcPr>
            <w:tcW w:w="1136" w:type="pct"/>
            <w:vAlign w:val="center"/>
          </w:tcPr>
          <w:p w14:paraId="190A1FD8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3.041,62 kg CO₂e</w:t>
            </w:r>
          </w:p>
        </w:tc>
        <w:tc>
          <w:tcPr>
            <w:tcW w:w="1559" w:type="pct"/>
            <w:vAlign w:val="center"/>
          </w:tcPr>
          <w:p w14:paraId="34746D9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1.026,66 kg CO₂e a menos (25,24%)</w:t>
            </w:r>
          </w:p>
        </w:tc>
      </w:tr>
    </w:tbl>
    <w:p w14:paraId="3AEDFEE9" w14:textId="77777777" w:rsidR="000F1D9A" w:rsidRPr="00E37FEB" w:rsidRDefault="007224B6">
      <w:pPr>
        <w:pStyle w:val="Ttulo2"/>
      </w:pPr>
      <w:bookmarkStart w:id="113" w:name="rastreabilidade-auditoria-e-versionament"/>
      <w:bookmarkStart w:id="114" w:name="_Toc235532551"/>
      <w:r w:rsidRPr="00E37FEB">
        <w:t>4.7 Rastreabilidade, auditoria e versionamento</w:t>
      </w:r>
      <w:bookmarkEnd w:id="113"/>
      <w:bookmarkEnd w:id="114"/>
    </w:p>
    <w:p w14:paraId="57590730" w14:textId="77777777" w:rsidR="000F1D9A" w:rsidRPr="00E37FEB" w:rsidRDefault="007224B6">
      <w:pPr>
        <w:pStyle w:val="FirstParagraph"/>
      </w:pPr>
      <w:r w:rsidRPr="00E37FEB">
        <w:t>O resultado não guarda apenas os totais de custo e emissão. A cada execução, o pipeline registra os dados que formaram a rota, as fontes utilizadas e os avisos que afetam a leitura do resultado. A Tabela 18 exemplifica esse registro no cenário São Paulo–Rio Branco.</w:t>
      </w:r>
    </w:p>
    <w:p w14:paraId="0D758E6A" w14:textId="77777777" w:rsidR="000F1D9A" w:rsidRPr="00E37FEB" w:rsidRDefault="007224B6" w:rsidP="00E37FEB">
      <w:pPr>
        <w:pStyle w:val="TtulodeTabelaCL"/>
      </w:pPr>
      <w:r w:rsidRPr="00E37FEB">
        <w:t>Tabela 18 — Informações de rastreabilidade registradas no exemplo São Paulo–Rio Branco.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1669"/>
        <w:gridCol w:w="3976"/>
        <w:gridCol w:w="3428"/>
      </w:tblGrid>
      <w:tr w:rsidR="000F1D9A" w:rsidRPr="00E37FEB" w14:paraId="493239FE" w14:textId="77777777" w:rsidTr="00E37FEB">
        <w:trPr>
          <w:tblHeader/>
          <w:jc w:val="center"/>
        </w:trPr>
        <w:tc>
          <w:tcPr>
            <w:tcW w:w="920" w:type="pct"/>
            <w:shd w:val="clear" w:color="auto" w:fill="E8EEF5"/>
            <w:vAlign w:val="center"/>
          </w:tcPr>
          <w:p w14:paraId="71E5210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I</w:t>
            </w:r>
            <w:r w:rsidRPr="00E37FEB">
              <w:rPr>
                <w:b/>
                <w:sz w:val="18"/>
              </w:rPr>
              <w:t>nformação registrada</w:t>
            </w:r>
          </w:p>
        </w:tc>
        <w:tc>
          <w:tcPr>
            <w:tcW w:w="2191" w:type="pct"/>
            <w:shd w:val="clear" w:color="auto" w:fill="E8EEF5"/>
            <w:vAlign w:val="center"/>
          </w:tcPr>
          <w:p w14:paraId="7E31871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Exemplo no cenário</w:t>
            </w:r>
          </w:p>
        </w:tc>
        <w:tc>
          <w:tcPr>
            <w:tcW w:w="1889" w:type="pct"/>
            <w:shd w:val="clear" w:color="auto" w:fill="E8EEF5"/>
            <w:vAlign w:val="center"/>
          </w:tcPr>
          <w:p w14:paraId="4D18BDB2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Finalidade</w:t>
            </w:r>
          </w:p>
        </w:tc>
      </w:tr>
      <w:tr w:rsidR="000F1D9A" w:rsidRPr="00E37FEB" w14:paraId="7BFFC5AC" w14:textId="77777777" w:rsidTr="00E37FEB">
        <w:trPr>
          <w:jc w:val="center"/>
        </w:trPr>
        <w:tc>
          <w:tcPr>
            <w:tcW w:w="920" w:type="pct"/>
            <w:vAlign w:val="center"/>
          </w:tcPr>
          <w:p w14:paraId="26E7A76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Rota rodoviária direta</w:t>
            </w:r>
          </w:p>
        </w:tc>
        <w:tc>
          <w:tcPr>
            <w:tcW w:w="2191" w:type="pct"/>
            <w:vAlign w:val="center"/>
          </w:tcPr>
          <w:p w14:paraId="200EFED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3.491,431 km; resultado originalmente obtido do ORS e reutilizado na execução</w:t>
            </w:r>
          </w:p>
        </w:tc>
        <w:tc>
          <w:tcPr>
            <w:tcW w:w="1889" w:type="pct"/>
            <w:vAlign w:val="center"/>
          </w:tcPr>
          <w:p w14:paraId="7A53CD8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Permite conferir a distância usada na alternativa direta</w:t>
            </w:r>
          </w:p>
        </w:tc>
      </w:tr>
      <w:tr w:rsidR="000F1D9A" w:rsidRPr="00E37FEB" w14:paraId="35E8E258" w14:textId="77777777" w:rsidTr="00E37FEB">
        <w:trPr>
          <w:jc w:val="center"/>
        </w:trPr>
        <w:tc>
          <w:tcPr>
            <w:tcW w:w="920" w:type="pct"/>
            <w:vAlign w:val="center"/>
          </w:tcPr>
          <w:p w14:paraId="1E4F426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Portos selecionados</w:t>
            </w:r>
          </w:p>
        </w:tc>
        <w:tc>
          <w:tcPr>
            <w:tcW w:w="2191" w:type="pct"/>
            <w:vAlign w:val="center"/>
          </w:tcPr>
          <w:p w14:paraId="61B37169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Santos (SP) e Manaus (AM)</w:t>
            </w:r>
          </w:p>
        </w:tc>
        <w:tc>
          <w:tcPr>
            <w:tcW w:w="1889" w:type="pct"/>
            <w:vAlign w:val="center"/>
          </w:tcPr>
          <w:p w14:paraId="3C12BCF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Mostra onde começam e terminam os acessos marítimos e rodoviários</w:t>
            </w:r>
          </w:p>
        </w:tc>
      </w:tr>
      <w:tr w:rsidR="000F1D9A" w:rsidRPr="00E37FEB" w14:paraId="103298D7" w14:textId="77777777" w:rsidTr="00E37FEB">
        <w:trPr>
          <w:jc w:val="center"/>
        </w:trPr>
        <w:tc>
          <w:tcPr>
            <w:tcW w:w="920" w:type="pct"/>
            <w:vAlign w:val="center"/>
          </w:tcPr>
          <w:p w14:paraId="424018C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Ligação marítima</w:t>
            </w:r>
          </w:p>
        </w:tc>
        <w:tc>
          <w:tcPr>
            <w:tcW w:w="2191" w:type="pct"/>
            <w:vAlign w:val="center"/>
          </w:tcPr>
          <w:p w14:paraId="300400E2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89 viagens completas em 22 corredores; 87 recortes até o P95 para a distância</w:t>
            </w:r>
          </w:p>
        </w:tc>
        <w:tc>
          <w:tcPr>
            <w:tcW w:w="1889" w:type="pct"/>
            <w:vAlign w:val="center"/>
          </w:tcPr>
          <w:p w14:paraId="24A2AF7A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Identifica a base da intensidade e da distância marítimas</w:t>
            </w:r>
          </w:p>
        </w:tc>
      </w:tr>
      <w:tr w:rsidR="000F1D9A" w:rsidRPr="00E37FEB" w14:paraId="08BFC114" w14:textId="77777777" w:rsidTr="00E37FEB">
        <w:trPr>
          <w:jc w:val="center"/>
        </w:trPr>
        <w:tc>
          <w:tcPr>
            <w:tcW w:w="920" w:type="pct"/>
            <w:vAlign w:val="center"/>
          </w:tcPr>
          <w:p w14:paraId="001E287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Intensidade marítima</w:t>
            </w:r>
          </w:p>
        </w:tc>
        <w:tc>
          <w:tcPr>
            <w:tcW w:w="2191" w:type="pct"/>
            <w:vAlign w:val="center"/>
          </w:tcPr>
          <w:p w14:paraId="2002B466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9,009824 g/(t·nm); fontes por IMO e por tipo identificadas</w:t>
            </w:r>
          </w:p>
        </w:tc>
        <w:tc>
          <w:tcPr>
            <w:tcW w:w="1889" w:type="pct"/>
            <w:vAlign w:val="center"/>
          </w:tcPr>
          <w:p w14:paraId="22CF60C2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Diferencia medição individual de estimativa de grupo</w:t>
            </w:r>
          </w:p>
        </w:tc>
      </w:tr>
      <w:tr w:rsidR="000F1D9A" w:rsidRPr="00E37FEB" w14:paraId="5880827A" w14:textId="77777777" w:rsidTr="00E37FEB">
        <w:trPr>
          <w:jc w:val="center"/>
        </w:trPr>
        <w:tc>
          <w:tcPr>
            <w:tcW w:w="920" w:type="pct"/>
            <w:vAlign w:val="center"/>
          </w:tcPr>
          <w:p w14:paraId="3F5EE47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Operações portuárias</w:t>
            </w:r>
          </w:p>
        </w:tc>
        <w:tc>
          <w:tcPr>
            <w:tcW w:w="2191" w:type="pct"/>
            <w:vAlign w:val="center"/>
          </w:tcPr>
          <w:p w14:paraId="3670B9D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RTG e caminhão interno do terminal</w:t>
            </w:r>
          </w:p>
        </w:tc>
        <w:tc>
          <w:tcPr>
            <w:tcW w:w="1889" w:type="pct"/>
            <w:vAlign w:val="center"/>
          </w:tcPr>
          <w:p w14:paraId="1D9782C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Identifica os equipamentos considerados no cálculo</w:t>
            </w:r>
          </w:p>
        </w:tc>
      </w:tr>
      <w:tr w:rsidR="000F1D9A" w:rsidRPr="00E37FEB" w14:paraId="53C8F5D7" w14:textId="77777777" w:rsidTr="00E37FEB">
        <w:trPr>
          <w:jc w:val="center"/>
        </w:trPr>
        <w:tc>
          <w:tcPr>
            <w:tcW w:w="920" w:type="pct"/>
            <w:vAlign w:val="center"/>
          </w:tcPr>
          <w:p w14:paraId="551A640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Preços de combustível</w:t>
            </w:r>
          </w:p>
        </w:tc>
        <w:tc>
          <w:tcPr>
            <w:tcW w:w="2191" w:type="pct"/>
            <w:vAlign w:val="center"/>
          </w:tcPr>
          <w:p w14:paraId="707C34F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Diesel S10 da ANP e VLSFO da Ship &amp; Bunker, com data e valor usados</w:t>
            </w:r>
          </w:p>
        </w:tc>
        <w:tc>
          <w:tcPr>
            <w:tcW w:w="1889" w:type="pct"/>
            <w:vAlign w:val="center"/>
          </w:tcPr>
          <w:p w14:paraId="68099C95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Permite atualizar ou repetir o componente de custo</w:t>
            </w:r>
          </w:p>
        </w:tc>
      </w:tr>
      <w:tr w:rsidR="000F1D9A" w:rsidRPr="00E37FEB" w14:paraId="73B9FF6E" w14:textId="77777777" w:rsidTr="00E37FEB">
        <w:trPr>
          <w:jc w:val="center"/>
        </w:trPr>
        <w:tc>
          <w:tcPr>
            <w:tcW w:w="920" w:type="pct"/>
            <w:vAlign w:val="center"/>
          </w:tcPr>
          <w:p w14:paraId="5F8C20A8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lastRenderedPageBreak/>
              <w:t>Avisos de qualidade</w:t>
            </w:r>
          </w:p>
        </w:tc>
        <w:tc>
          <w:tcPr>
            <w:tcW w:w="2191" w:type="pct"/>
            <w:vAlign w:val="center"/>
          </w:tcPr>
          <w:p w14:paraId="1DCDA7E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Um subtrecho marítimo aproximado por haversine</w:t>
            </w:r>
          </w:p>
        </w:tc>
        <w:tc>
          <w:tcPr>
            <w:tcW w:w="1889" w:type="pct"/>
            <w:vAlign w:val="center"/>
          </w:tcPr>
          <w:p w14:paraId="75AFC8D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Sinaliza a aproximação sem ocultá-la no total</w:t>
            </w:r>
          </w:p>
        </w:tc>
      </w:tr>
    </w:tbl>
    <w:p w14:paraId="418918DF" w14:textId="77777777" w:rsidR="000F1D9A" w:rsidRPr="00E37FEB" w:rsidRDefault="007224B6">
      <w:pPr>
        <w:pStyle w:val="Corpodetexto"/>
      </w:pPr>
      <w:r w:rsidRPr="00E37FEB">
        <w:rPr>
          <w:i/>
        </w:rPr>
        <w:t>Esses são os mesmos dados consolidados na Tabela 9 da Sessão 3.3.7</w:t>
      </w:r>
    </w:p>
    <w:p w14:paraId="438BEADE" w14:textId="77777777" w:rsidR="000F1D9A" w:rsidRPr="00E37FEB" w:rsidRDefault="007224B6">
      <w:pPr>
        <w:pStyle w:val="Ttulo3"/>
      </w:pPr>
      <w:bookmarkStart w:id="115" w:name="versionamento-e-reprodução-do-cálculo"/>
      <w:bookmarkStart w:id="116" w:name="_Toc235532552"/>
      <w:r w:rsidRPr="00E37FEB">
        <w:t>4.7.1 Versionamento e reprodução do cálculo</w:t>
      </w:r>
      <w:bookmarkEnd w:id="115"/>
      <w:bookmarkEnd w:id="116"/>
    </w:p>
    <w:p w14:paraId="69BE27E7" w14:textId="77777777" w:rsidR="000F1D9A" w:rsidRPr="00E37FEB" w:rsidRDefault="007224B6">
      <w:pPr>
        <w:pStyle w:val="FirstParagraph"/>
      </w:pPr>
      <w:r w:rsidRPr="00E37FEB">
        <w:t xml:space="preserve">O versionamento é etapa fundamental do desenvolvimento de sistemas. Git é uma ferramenta que registra o histórico das alterações feitas nos arquivos de um projeto. O GitHub é a plataforma on-line em que esse histórico é armazenado e pode ser consultado. O código e os documentos do CabotageLens estão disponíveis </w:t>
      </w:r>
      <w:hyperlink r:id="rId44">
        <w:r w:rsidRPr="00E37FEB">
          <w:rPr>
            <w:rStyle w:val="Hyperlink"/>
          </w:rPr>
          <w:t>no repositório público do GitHub</w:t>
        </w:r>
      </w:hyperlink>
      <w:r w:rsidRPr="00E37FEB">
        <w:t>. Esse registro permite identificar quais regras e arquivos foram usados em cada versão do estudo, comparar alterações e apoiar a rastreabilidade e a auditoria dos resultados.</w:t>
      </w:r>
    </w:p>
    <w:p w14:paraId="3F0DC047" w14:textId="77777777" w:rsidR="000F1D9A" w:rsidRPr="00E37FEB" w:rsidRDefault="007224B6">
      <w:pPr>
        <w:pStyle w:val="Ttulo2"/>
      </w:pPr>
      <w:bookmarkStart w:id="117" w:name="aplicação-web"/>
      <w:bookmarkStart w:id="118" w:name="_Toc235532553"/>
      <w:r w:rsidRPr="00E37FEB">
        <w:t>4.8 Aplicação web</w:t>
      </w:r>
      <w:bookmarkEnd w:id="117"/>
      <w:bookmarkEnd w:id="118"/>
    </w:p>
    <w:p w14:paraId="0D964B33" w14:textId="77777777" w:rsidR="000F1D9A" w:rsidRPr="00E37FEB" w:rsidRDefault="007224B6">
      <w:pPr>
        <w:pStyle w:val="FirstParagraph"/>
      </w:pPr>
      <w:r w:rsidRPr="00E37FEB">
        <w:t>Para disponibilizar o cálculo sem exigir instalação local, o CabotageLens é hospedado gratuitamente no Streamlit Community Cloud. A aplicação reúne duas interfaces diretamente relacionadas às análises deste trabalho: a página Router, voltada à comparação de uma origem com um destino, e a página Mapa de calor, destinada à visualização de resultados para vários destinos. As subseções seguintes apresentam essas duas interfaces.</w:t>
      </w:r>
    </w:p>
    <w:p w14:paraId="59CF8A1D" w14:textId="77777777" w:rsidR="000F1D9A" w:rsidRPr="00E37FEB" w:rsidRDefault="007224B6">
      <w:pPr>
        <w:pStyle w:val="Ttulo3"/>
      </w:pPr>
      <w:bookmarkStart w:id="119" w:name="página-router"/>
      <w:bookmarkStart w:id="120" w:name="_Toc235532554"/>
      <w:r w:rsidRPr="00E37FEB">
        <w:t>4.8.1 Página Router</w:t>
      </w:r>
      <w:bookmarkEnd w:id="119"/>
      <w:bookmarkEnd w:id="120"/>
    </w:p>
    <w:p w14:paraId="09F26948" w14:textId="77777777" w:rsidR="000F1D9A" w:rsidRPr="00E37FEB" w:rsidRDefault="007224B6">
      <w:pPr>
        <w:pStyle w:val="FirstParagraph"/>
      </w:pPr>
      <w:r w:rsidRPr="00E37FEB">
        <w:t>A página Router executa a comparação para a origem, o destino e a carga informados no cenário. A Figura 6 mostra os campos da barra lateral usados nessa definição. No exemplo, a análise parte da Avenida Professor Luciano Gualberto, em São Paulo, segue para Manaus e considera uma carga de 14 t.</w:t>
      </w:r>
    </w:p>
    <w:p w14:paraId="33BDB477" w14:textId="77777777" w:rsidR="000F1D9A" w:rsidRPr="00E37FEB" w:rsidRDefault="007224B6" w:rsidP="00E37FEB">
      <w:pPr>
        <w:pStyle w:val="Corpodetexto"/>
        <w:keepLines/>
        <w:spacing w:before="120" w:after="80"/>
        <w:jc w:val="center"/>
      </w:pPr>
      <w:r w:rsidRPr="00E37FEB">
        <w:rPr>
          <w:noProof/>
        </w:rPr>
        <w:drawing>
          <wp:inline distT="0" distB="0" distL="0" distR="0" wp14:anchorId="24BAD069" wp14:editId="7F1953BA">
            <wp:extent cx="3611495" cy="2274473"/>
            <wp:effectExtent l="0" t="0" r="0" b="0"/>
            <wp:docPr id="1051365430" name="Picture" descr="Campos de definição do cenário na página Rou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65430" name="Picture" descr="Campos de definição do cenário na página Router.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495" cy="2274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C113BF" w14:textId="77777777" w:rsidR="000F1D9A" w:rsidRPr="00E37FEB" w:rsidRDefault="007224B6" w:rsidP="00E37FEB">
      <w:pPr>
        <w:pStyle w:val="LegendadeFiguraCL"/>
      </w:pPr>
      <w:r w:rsidRPr="00E37FEB">
        <w:t>Figura 6 — Campos de definição do cenário na página Router. Fonte: elaboração própria.</w:t>
      </w:r>
    </w:p>
    <w:p w14:paraId="7D1F4A0B" w14:textId="77777777" w:rsidR="000F1D9A" w:rsidRPr="00E37FEB" w:rsidRDefault="007224B6">
      <w:pPr>
        <w:pStyle w:val="Corpodetexto"/>
      </w:pPr>
      <w:r w:rsidRPr="00E37FEB">
        <w:lastRenderedPageBreak/>
        <w:t>A</w:t>
      </w:r>
      <w:r w:rsidRPr="00E37FEB">
        <w:t>pós a execução, a página apresenta as alternativas calculadas em um mapa, como ilustra a Figura 7. As linhas traçadas servem apenas para representar visualmente as distâncias e a ligação entre os pontos; elas não correspondem às rotas rodoviárias ou marítimas efetivamente utilizadas nos cálculos.</w:t>
      </w:r>
    </w:p>
    <w:p w14:paraId="34688906" w14:textId="77777777" w:rsidR="000F1D9A" w:rsidRPr="00E37FEB" w:rsidRDefault="007224B6" w:rsidP="00E37FEB">
      <w:pPr>
        <w:pStyle w:val="Corpodetexto"/>
        <w:keepLines/>
        <w:spacing w:before="120" w:after="80"/>
        <w:jc w:val="center"/>
      </w:pPr>
      <w:r w:rsidRPr="00E37FEB">
        <w:rPr>
          <w:noProof/>
        </w:rPr>
        <w:drawing>
          <wp:inline distT="0" distB="0" distL="0" distR="0" wp14:anchorId="24C4E829" wp14:editId="09AE135D">
            <wp:extent cx="5334000" cy="3376568"/>
            <wp:effectExtent l="0" t="0" r="0" b="0"/>
            <wp:docPr id="487201455" name="Picture" descr="Representação visual das alternativas calculadas na página Rou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01455" name="Picture" descr="Representação visual das alternativas calculadas na página Router.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6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5D7CEE" w14:textId="77777777" w:rsidR="000F1D9A" w:rsidRPr="00E37FEB" w:rsidRDefault="007224B6" w:rsidP="00E37FEB">
      <w:pPr>
        <w:pStyle w:val="LegendadeFiguraCL"/>
      </w:pPr>
      <w:r w:rsidRPr="00E37FEB">
        <w:t>Figura 7 — Representação visual das alternativas calculadas na página Router. Fonte: elaboração própria.</w:t>
      </w:r>
    </w:p>
    <w:p w14:paraId="028E7076" w14:textId="77777777" w:rsidR="000F1D9A" w:rsidRPr="00E37FEB" w:rsidRDefault="007224B6">
      <w:pPr>
        <w:pStyle w:val="Corpodetexto"/>
      </w:pPr>
      <w:r w:rsidRPr="00E37FEB">
        <w:t>O</w:t>
      </w:r>
      <w:r w:rsidRPr="00E37FEB">
        <w:t>s resultados detalhados, os avisos, os logs e os demais registros gerados durante a execução podem ser consultados na própria página. Assim, o mapa facilita a leitura espacial do cenário, enquanto a conferência do cálculo é feita pelos dados e registros apresentados pelo sistema.</w:t>
      </w:r>
    </w:p>
    <w:p w14:paraId="2D7D029C" w14:textId="77777777" w:rsidR="000F1D9A" w:rsidRPr="00E37FEB" w:rsidRDefault="007224B6">
      <w:pPr>
        <w:pStyle w:val="Ttulo3"/>
      </w:pPr>
      <w:bookmarkStart w:id="121" w:name="página-mapa-de-calor"/>
      <w:bookmarkStart w:id="122" w:name="_Toc235532555"/>
      <w:r w:rsidRPr="00E37FEB">
        <w:t>4.8.2 Página Mapa de calor</w:t>
      </w:r>
      <w:bookmarkEnd w:id="121"/>
      <w:bookmarkEnd w:id="122"/>
    </w:p>
    <w:p w14:paraId="2FD9E6CD" w14:textId="77777777" w:rsidR="000F1D9A" w:rsidRPr="00E37FEB" w:rsidRDefault="007224B6">
      <w:pPr>
        <w:pStyle w:val="FirstParagraph"/>
      </w:pPr>
      <w:r w:rsidRPr="00E37FEB">
        <w:t>O Mapa de calor amplia a comparação realizada na página Router. Em vez de avaliar apenas uma ligação entre origem e destino, o usuário informa uma origem e a massa da carga, e o sistema compara esse cenário com 608 municípios brasileiros de população superior a 50 mil habitantes. Para cada município, são calculadas as mesmas duas alternativas descritas na Seção 3: a rodovia direta e a cadeia rodoviária–cabotagem–rodoviária. A Figura 8 mostra os campos usados para definir o cenário. No exemplo, a análise par</w:t>
      </w:r>
      <w:r w:rsidRPr="00E37FEB">
        <w:t>te da Avenida Professor Luciano Gualberto, em São Paulo, e considera uma carga de 14 t.</w:t>
      </w:r>
    </w:p>
    <w:p w14:paraId="557825EE" w14:textId="77777777" w:rsidR="000F1D9A" w:rsidRPr="00E37FEB" w:rsidRDefault="007224B6" w:rsidP="00E37FEB">
      <w:pPr>
        <w:pStyle w:val="Corpodetexto"/>
        <w:keepLines/>
        <w:spacing w:before="120" w:after="80"/>
        <w:jc w:val="center"/>
      </w:pPr>
      <w:r w:rsidRPr="00E37FEB">
        <w:rPr>
          <w:noProof/>
        </w:rPr>
        <w:lastRenderedPageBreak/>
        <w:drawing>
          <wp:inline distT="0" distB="0" distL="0" distR="0" wp14:anchorId="1658267C" wp14:editId="762995F2">
            <wp:extent cx="3665284" cy="1575226"/>
            <wp:effectExtent l="0" t="0" r="0" b="0"/>
            <wp:docPr id="184044541" name="Picture" descr="Campos de definição do cenário na página Mapa de cal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4541" name="Picture" descr="Campos de definição do cenário na página Mapa de calor.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84" cy="1575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540508" w14:textId="77777777" w:rsidR="000F1D9A" w:rsidRPr="00E37FEB" w:rsidRDefault="007224B6" w:rsidP="00E37FEB">
      <w:pPr>
        <w:pStyle w:val="LegendadeFiguraCL"/>
      </w:pPr>
      <w:r w:rsidRPr="00E37FEB">
        <w:t>Figura 8 — Campos de definição do cenário na página Mapa de calor. Fonte: elaboração própria.</w:t>
      </w:r>
    </w:p>
    <w:p w14:paraId="1B52017D" w14:textId="77777777" w:rsidR="000F1D9A" w:rsidRPr="00E37FEB" w:rsidRDefault="007224B6">
      <w:pPr>
        <w:pStyle w:val="Corpodetexto"/>
      </w:pPr>
      <w:r w:rsidRPr="00E37FEB">
        <w:t>O</w:t>
      </w:r>
      <w:r w:rsidRPr="00E37FEB">
        <w:t xml:space="preserve"> resultado permite visualizar, em diferentes partes do país, onde a alternativa multimodal com cabotagem apresenta vantagem em relação à rodovia direta. O usuário pode escolher se o mapa representa custo modelado do combustível ou emissões operacionais. Em cada destino, um valor positivo indica que a alternativa multimodal teve menor custo ou menor emissão; um valor negativo indica que a rodovia direta apresentou o menor resultado para o indicador selecionado.</w:t>
      </w:r>
    </w:p>
    <w:p w14:paraId="340FDC5F" w14:textId="77777777" w:rsidR="000F1D9A" w:rsidRPr="00E37FEB" w:rsidRDefault="007224B6">
      <w:pPr>
        <w:pStyle w:val="Corpodetexto"/>
      </w:pPr>
      <w:r w:rsidRPr="00E37FEB">
        <w:t>As cores e a altura da superfície facilitam a leitura espacial dessas diferenças. Os resultados são calculados para os municípios do conjunto de destinos; as áreas entre eles são uma interpolação visual para tornar o padrão mais legível no mapa. Portanto, cada área colorida não representa uma nova rota calculada, mas a visualização dos resultados obtidos para os destinos próximos. A Figura 9 ilustra essa representação para o cenário informado.</w:t>
      </w:r>
    </w:p>
    <w:p w14:paraId="5F85F8AF" w14:textId="77777777" w:rsidR="000F1D9A" w:rsidRPr="00E37FEB" w:rsidRDefault="007224B6" w:rsidP="00E37FEB">
      <w:pPr>
        <w:pStyle w:val="Corpodetexto"/>
        <w:keepLines/>
        <w:spacing w:before="120" w:after="80"/>
        <w:jc w:val="center"/>
      </w:pPr>
      <w:r w:rsidRPr="00E37FEB">
        <w:rPr>
          <w:noProof/>
        </w:rPr>
        <w:drawing>
          <wp:inline distT="0" distB="0" distL="0" distR="0" wp14:anchorId="138043B5" wp14:editId="346A69D7">
            <wp:extent cx="4049485" cy="3972645"/>
            <wp:effectExtent l="0" t="0" r="0" b="0"/>
            <wp:docPr id="1484124400" name="Picture" descr="Representação espacial dos resultados na página Mapa de cal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24400" name="Picture" descr="Representação espacial dos resultados na página Mapa de calor.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485" cy="3972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A2390D" w14:textId="77777777" w:rsidR="000F1D9A" w:rsidRPr="00E37FEB" w:rsidRDefault="007224B6" w:rsidP="00E37FEB">
      <w:pPr>
        <w:pStyle w:val="LegendadeFiguraCL"/>
      </w:pPr>
      <w:r w:rsidRPr="00E37FEB">
        <w:t>Figura 9 — Representação espacial dos resultados calculados na página Mapa de calor. Fonte: elaboração própria.</w:t>
      </w:r>
    </w:p>
    <w:p w14:paraId="37737BA5" w14:textId="77777777" w:rsidR="000F1D9A" w:rsidRPr="00E37FEB" w:rsidRDefault="007224B6">
      <w:pPr>
        <w:pStyle w:val="Ttulo1"/>
      </w:pPr>
      <w:bookmarkStart w:id="123" w:name="comparações-com-ferramentas-externas"/>
      <w:bookmarkStart w:id="124" w:name="_Toc235532556"/>
      <w:r w:rsidRPr="00E37FEB">
        <w:lastRenderedPageBreak/>
        <w:t>5</w:t>
      </w:r>
      <w:r w:rsidRPr="00E37FEB">
        <w:t>. Comparações com ferramentas externas</w:t>
      </w:r>
      <w:bookmarkEnd w:id="123"/>
      <w:bookmarkEnd w:id="124"/>
    </w:p>
    <w:p w14:paraId="645B2D33" w14:textId="77777777" w:rsidR="000F1D9A" w:rsidRPr="00E37FEB" w:rsidRDefault="007224B6">
      <w:pPr>
        <w:pStyle w:val="FirstParagraph"/>
      </w:pPr>
      <w:r w:rsidRPr="00E37FEB">
        <w:t>As ferramentas externas permitem confrontar o resultado do CabotageLens com estimativas já disponíveis ao público. Em cada caso, são apresentadas as distâncias, as emissões ou os valores de custo disponíveis na respectiva ferramenta. Quando a rota, o porto ou outro parâmetro difere, a diferença permanece explícita; os resultados não são ajustados para produzir uma equivalência artificial.</w:t>
      </w:r>
    </w:p>
    <w:p w14:paraId="18E1E994" w14:textId="77777777" w:rsidR="000F1D9A" w:rsidRPr="00E37FEB" w:rsidRDefault="007224B6">
      <w:pPr>
        <w:pStyle w:val="Ttulo2"/>
      </w:pPr>
      <w:bookmarkStart w:id="125" w:name="calculadora-de-emissões-da-aliança"/>
      <w:bookmarkStart w:id="126" w:name="_Toc235532557"/>
      <w:r w:rsidRPr="00E37FEB">
        <w:t xml:space="preserve">5.1 </w:t>
      </w:r>
      <w:hyperlink r:id="rId49">
        <w:r w:rsidRPr="00E37FEB">
          <w:rPr>
            <w:rStyle w:val="Hyperlink"/>
          </w:rPr>
          <w:t>Calculadora de emissões da Aliança</w:t>
        </w:r>
        <w:bookmarkEnd w:id="126"/>
      </w:hyperlink>
      <w:bookmarkEnd w:id="125"/>
    </w:p>
    <w:p w14:paraId="2DCA8365" w14:textId="77777777" w:rsidR="000F1D9A" w:rsidRPr="00E37FEB" w:rsidRDefault="007224B6">
      <w:pPr>
        <w:pStyle w:val="FirstParagraph"/>
      </w:pPr>
      <w:r w:rsidRPr="00E37FEB">
        <w:t>Na calculadora da Aliança, o cenário informado foi São Paulo–Abaetetuba, com um contêiner seco de 40 pés e 20 t de carga. O mesmo cenário foi executado no CabotageLens com 20 t e 2 TEU, equivalentes a um contêiner de 40 pés. As duas alternativas multimodais utilizam Santos como porto de embarque e Vila do Conde como porto de desembarque.</w:t>
      </w:r>
    </w:p>
    <w:p w14:paraId="4D1F8F1C" w14:textId="77777777" w:rsidR="000F1D9A" w:rsidRPr="00E37FEB" w:rsidRDefault="007224B6">
      <w:pPr>
        <w:pStyle w:val="Corpodetexto"/>
      </w:pPr>
      <w:r w:rsidRPr="00E37FEB">
        <w:t>A tabela separa as etapas da alternativa multimodal e compara somente as emissões operacionais TTW. Assim, é possível identificar onde os resultados se aproximam ou se afastam, em vez de comparar apenas os totais.</w:t>
      </w:r>
    </w:p>
    <w:p w14:paraId="4EC201B5" w14:textId="77777777" w:rsidR="000F1D9A" w:rsidRPr="00E37FEB" w:rsidRDefault="007224B6" w:rsidP="00E37FEB">
      <w:pPr>
        <w:pStyle w:val="Corpodetexto"/>
        <w:keepLines/>
        <w:spacing w:before="120" w:after="80"/>
        <w:jc w:val="center"/>
      </w:pPr>
      <w:r w:rsidRPr="00E37FEB">
        <w:rPr>
          <w:noProof/>
        </w:rPr>
        <w:lastRenderedPageBreak/>
        <w:drawing>
          <wp:inline distT="0" distB="0" distL="0" distR="0" wp14:anchorId="62A2ED3B" wp14:editId="716B1992">
            <wp:extent cx="5334000" cy="6026559"/>
            <wp:effectExtent l="0" t="0" r="0" b="0"/>
            <wp:docPr id="337858940" name="Picture" descr="Resultado da calculadora de emissões da Alianç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58940" name="Picture" descr="Resultado da calculadora de emissões da Aliança.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26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C8631C" w14:textId="77777777" w:rsidR="000F1D9A" w:rsidRPr="00E37FEB" w:rsidRDefault="007224B6" w:rsidP="00E37FEB">
      <w:pPr>
        <w:pStyle w:val="LegendadeFiguraCL"/>
      </w:pPr>
      <w:r w:rsidRPr="00E37FEB">
        <w:t>Figura 10 — Resultado da calculadora da Aliança para São Paulo–Abaetetuba. Fonte: resultado exportado pela ferramenta, fornecido pelo autor.</w:t>
      </w:r>
    </w:p>
    <w:p w14:paraId="398EE14B" w14:textId="77777777" w:rsidR="000F1D9A" w:rsidRPr="00E37FEB" w:rsidRDefault="007224B6" w:rsidP="00E37FEB">
      <w:pPr>
        <w:pStyle w:val="TtulodeTabelaCL"/>
      </w:pPr>
      <w:r w:rsidRPr="00E37FEB">
        <w:t>Tabela 19 — Emissões TTW por etapa no cenário São Paulo–Abaetetuba, com 20 t de carga.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2567"/>
        <w:gridCol w:w="1276"/>
        <w:gridCol w:w="1566"/>
        <w:gridCol w:w="1811"/>
        <w:gridCol w:w="1853"/>
      </w:tblGrid>
      <w:tr w:rsidR="000F1D9A" w:rsidRPr="00E37FEB" w14:paraId="1751FE09" w14:textId="77777777" w:rsidTr="00E37FEB">
        <w:trPr>
          <w:tblHeader/>
          <w:jc w:val="center"/>
        </w:trPr>
        <w:tc>
          <w:tcPr>
            <w:tcW w:w="1415" w:type="pct"/>
            <w:shd w:val="clear" w:color="auto" w:fill="E8EEF5"/>
            <w:vAlign w:val="center"/>
          </w:tcPr>
          <w:p w14:paraId="3965D5F6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E</w:t>
            </w:r>
            <w:r w:rsidRPr="00E37FEB">
              <w:rPr>
                <w:b/>
                <w:sz w:val="18"/>
              </w:rPr>
              <w:t>tapa</w:t>
            </w:r>
          </w:p>
        </w:tc>
        <w:tc>
          <w:tcPr>
            <w:tcW w:w="703" w:type="pct"/>
            <w:shd w:val="clear" w:color="auto" w:fill="E8EEF5"/>
            <w:vAlign w:val="center"/>
          </w:tcPr>
          <w:p w14:paraId="12CDFE6F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Aliança: distância</w:t>
            </w:r>
          </w:p>
        </w:tc>
        <w:tc>
          <w:tcPr>
            <w:tcW w:w="863" w:type="pct"/>
            <w:shd w:val="clear" w:color="auto" w:fill="E8EEF5"/>
            <w:vAlign w:val="center"/>
          </w:tcPr>
          <w:p w14:paraId="03A6A76B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Aliança: CO₂ TTW</w:t>
            </w:r>
          </w:p>
        </w:tc>
        <w:tc>
          <w:tcPr>
            <w:tcW w:w="998" w:type="pct"/>
            <w:shd w:val="clear" w:color="auto" w:fill="E8EEF5"/>
            <w:vAlign w:val="center"/>
          </w:tcPr>
          <w:p w14:paraId="2B71651A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CabotageLens: distância</w:t>
            </w:r>
          </w:p>
        </w:tc>
        <w:tc>
          <w:tcPr>
            <w:tcW w:w="1021" w:type="pct"/>
            <w:shd w:val="clear" w:color="auto" w:fill="E8EEF5"/>
            <w:vAlign w:val="center"/>
          </w:tcPr>
          <w:p w14:paraId="384056E2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CabotageLens: CO₂e TTW</w:t>
            </w:r>
          </w:p>
        </w:tc>
      </w:tr>
      <w:tr w:rsidR="000F1D9A" w:rsidRPr="00E37FEB" w14:paraId="499DED76" w14:textId="77777777" w:rsidTr="00E37FEB">
        <w:trPr>
          <w:jc w:val="center"/>
        </w:trPr>
        <w:tc>
          <w:tcPr>
            <w:tcW w:w="1415" w:type="pct"/>
            <w:vAlign w:val="center"/>
          </w:tcPr>
          <w:p w14:paraId="3F8B624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Rodovia direta</w:t>
            </w:r>
          </w:p>
        </w:tc>
        <w:tc>
          <w:tcPr>
            <w:tcW w:w="703" w:type="pct"/>
            <w:vAlign w:val="center"/>
          </w:tcPr>
          <w:p w14:paraId="61454049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2.807 km</w:t>
            </w:r>
          </w:p>
        </w:tc>
        <w:tc>
          <w:tcPr>
            <w:tcW w:w="863" w:type="pct"/>
            <w:vAlign w:val="center"/>
          </w:tcPr>
          <w:p w14:paraId="38C02735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4,065 t</w:t>
            </w:r>
          </w:p>
        </w:tc>
        <w:tc>
          <w:tcPr>
            <w:tcW w:w="998" w:type="pct"/>
            <w:vAlign w:val="center"/>
          </w:tcPr>
          <w:p w14:paraId="3EACEB4E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2.835,762 km</w:t>
            </w:r>
          </w:p>
        </w:tc>
        <w:tc>
          <w:tcPr>
            <w:tcW w:w="1021" w:type="pct"/>
            <w:vAlign w:val="center"/>
          </w:tcPr>
          <w:p w14:paraId="0ACBDB04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3,800 t</w:t>
            </w:r>
          </w:p>
        </w:tc>
      </w:tr>
      <w:tr w:rsidR="000F1D9A" w:rsidRPr="00E37FEB" w14:paraId="0A8C86A2" w14:textId="77777777" w:rsidTr="00E37FEB">
        <w:trPr>
          <w:jc w:val="center"/>
        </w:trPr>
        <w:tc>
          <w:tcPr>
            <w:tcW w:w="1415" w:type="pct"/>
            <w:vAlign w:val="center"/>
          </w:tcPr>
          <w:p w14:paraId="4AABACD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Acesso rodoviário inicial: São Paulo–Santos</w:t>
            </w:r>
          </w:p>
        </w:tc>
        <w:tc>
          <w:tcPr>
            <w:tcW w:w="703" w:type="pct"/>
            <w:vAlign w:val="center"/>
          </w:tcPr>
          <w:p w14:paraId="3713BB28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68 km</w:t>
            </w:r>
          </w:p>
        </w:tc>
        <w:tc>
          <w:tcPr>
            <w:tcW w:w="863" w:type="pct"/>
            <w:vAlign w:val="center"/>
          </w:tcPr>
          <w:p w14:paraId="0AFFC6B3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0,104 t</w:t>
            </w:r>
          </w:p>
        </w:tc>
        <w:tc>
          <w:tcPr>
            <w:tcW w:w="998" w:type="pct"/>
            <w:vAlign w:val="center"/>
          </w:tcPr>
          <w:p w14:paraId="11767A5A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86,170 km</w:t>
            </w:r>
          </w:p>
        </w:tc>
        <w:tc>
          <w:tcPr>
            <w:tcW w:w="1021" w:type="pct"/>
            <w:vAlign w:val="center"/>
          </w:tcPr>
          <w:p w14:paraId="09408074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0,115 t</w:t>
            </w:r>
          </w:p>
        </w:tc>
      </w:tr>
      <w:tr w:rsidR="000F1D9A" w:rsidRPr="00E37FEB" w14:paraId="67FDE5EE" w14:textId="77777777" w:rsidTr="00E37FEB">
        <w:trPr>
          <w:jc w:val="center"/>
        </w:trPr>
        <w:tc>
          <w:tcPr>
            <w:tcW w:w="1415" w:type="pct"/>
            <w:vAlign w:val="center"/>
          </w:tcPr>
          <w:p w14:paraId="4C15B9E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Navegação: Santos–Vila do Conde</w:t>
            </w:r>
          </w:p>
        </w:tc>
        <w:tc>
          <w:tcPr>
            <w:tcW w:w="703" w:type="pct"/>
            <w:vAlign w:val="center"/>
          </w:tcPr>
          <w:p w14:paraId="788AF1CB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4.869 km</w:t>
            </w:r>
          </w:p>
        </w:tc>
        <w:tc>
          <w:tcPr>
            <w:tcW w:w="863" w:type="pct"/>
            <w:vAlign w:val="center"/>
          </w:tcPr>
          <w:p w14:paraId="056AEF23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0,694 t</w:t>
            </w:r>
          </w:p>
        </w:tc>
        <w:tc>
          <w:tcPr>
            <w:tcW w:w="998" w:type="pct"/>
            <w:vAlign w:val="center"/>
          </w:tcPr>
          <w:p w14:paraId="7264C4E3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4.495,000 km</w:t>
            </w:r>
          </w:p>
        </w:tc>
        <w:tc>
          <w:tcPr>
            <w:tcW w:w="1021" w:type="pct"/>
            <w:vAlign w:val="center"/>
          </w:tcPr>
          <w:p w14:paraId="1EE23AFE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0,918 t</w:t>
            </w:r>
          </w:p>
        </w:tc>
      </w:tr>
      <w:tr w:rsidR="000F1D9A" w:rsidRPr="00E37FEB" w14:paraId="778B095B" w14:textId="77777777" w:rsidTr="00E37FEB">
        <w:trPr>
          <w:jc w:val="center"/>
        </w:trPr>
        <w:tc>
          <w:tcPr>
            <w:tcW w:w="1415" w:type="pct"/>
            <w:vAlign w:val="center"/>
          </w:tcPr>
          <w:p w14:paraId="126ADC7E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Operações portuárias: Santos e Vila do Conde</w:t>
            </w:r>
          </w:p>
        </w:tc>
        <w:tc>
          <w:tcPr>
            <w:tcW w:w="703" w:type="pct"/>
            <w:vAlign w:val="center"/>
          </w:tcPr>
          <w:p w14:paraId="28997902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—</w:t>
            </w:r>
          </w:p>
        </w:tc>
        <w:tc>
          <w:tcPr>
            <w:tcW w:w="863" w:type="pct"/>
            <w:vAlign w:val="center"/>
          </w:tcPr>
          <w:p w14:paraId="22C41426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Não discriminadas</w:t>
            </w:r>
          </w:p>
        </w:tc>
        <w:tc>
          <w:tcPr>
            <w:tcW w:w="998" w:type="pct"/>
            <w:vAlign w:val="center"/>
          </w:tcPr>
          <w:p w14:paraId="5745C826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—</w:t>
            </w:r>
          </w:p>
        </w:tc>
        <w:tc>
          <w:tcPr>
            <w:tcW w:w="1021" w:type="pct"/>
            <w:vAlign w:val="center"/>
          </w:tcPr>
          <w:p w14:paraId="2B1C4B8C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0,026 t</w:t>
            </w:r>
          </w:p>
        </w:tc>
      </w:tr>
      <w:tr w:rsidR="000F1D9A" w:rsidRPr="00E37FEB" w14:paraId="5F38CF69" w14:textId="77777777" w:rsidTr="00E37FEB">
        <w:trPr>
          <w:jc w:val="center"/>
        </w:trPr>
        <w:tc>
          <w:tcPr>
            <w:tcW w:w="1415" w:type="pct"/>
            <w:vAlign w:val="center"/>
          </w:tcPr>
          <w:p w14:paraId="2BF2DD8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 xml:space="preserve">Acesso rodoviário final: Vila do </w:t>
            </w:r>
            <w:r w:rsidRPr="00E37FEB">
              <w:rPr>
                <w:sz w:val="18"/>
              </w:rPr>
              <w:lastRenderedPageBreak/>
              <w:t>Conde–Abaetetuba</w:t>
            </w:r>
          </w:p>
        </w:tc>
        <w:tc>
          <w:tcPr>
            <w:tcW w:w="703" w:type="pct"/>
            <w:vAlign w:val="center"/>
          </w:tcPr>
          <w:p w14:paraId="1F2A1682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lastRenderedPageBreak/>
              <w:t>125 km</w:t>
            </w:r>
          </w:p>
        </w:tc>
        <w:tc>
          <w:tcPr>
            <w:tcW w:w="863" w:type="pct"/>
            <w:vAlign w:val="center"/>
          </w:tcPr>
          <w:p w14:paraId="2CAE3A1E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0,177 t</w:t>
            </w:r>
          </w:p>
        </w:tc>
        <w:tc>
          <w:tcPr>
            <w:tcW w:w="998" w:type="pct"/>
            <w:vAlign w:val="center"/>
          </w:tcPr>
          <w:p w14:paraId="32F84FEA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33,950 km</w:t>
            </w:r>
          </w:p>
        </w:tc>
        <w:tc>
          <w:tcPr>
            <w:tcW w:w="1021" w:type="pct"/>
            <w:vAlign w:val="center"/>
          </w:tcPr>
          <w:p w14:paraId="7B1E94A1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0,045 t</w:t>
            </w:r>
          </w:p>
        </w:tc>
      </w:tr>
      <w:tr w:rsidR="000F1D9A" w:rsidRPr="00E37FEB" w14:paraId="4B8744A5" w14:textId="77777777" w:rsidTr="00E37FEB">
        <w:trPr>
          <w:jc w:val="center"/>
        </w:trPr>
        <w:tc>
          <w:tcPr>
            <w:tcW w:w="1415" w:type="pct"/>
            <w:vAlign w:val="center"/>
          </w:tcPr>
          <w:p w14:paraId="2179D0C7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b/>
                <w:sz w:val="18"/>
              </w:rPr>
              <w:t>Total multimodal</w:t>
            </w:r>
          </w:p>
        </w:tc>
        <w:tc>
          <w:tcPr>
            <w:tcW w:w="703" w:type="pct"/>
            <w:vAlign w:val="center"/>
          </w:tcPr>
          <w:p w14:paraId="594B2FC5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b/>
                <w:sz w:val="18"/>
              </w:rPr>
              <w:t>5.062 km</w:t>
            </w:r>
          </w:p>
        </w:tc>
        <w:tc>
          <w:tcPr>
            <w:tcW w:w="863" w:type="pct"/>
            <w:vAlign w:val="center"/>
          </w:tcPr>
          <w:p w14:paraId="34746B5D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b/>
                <w:sz w:val="18"/>
              </w:rPr>
              <w:t>0,975 t</w:t>
            </w:r>
          </w:p>
        </w:tc>
        <w:tc>
          <w:tcPr>
            <w:tcW w:w="998" w:type="pct"/>
            <w:vAlign w:val="center"/>
          </w:tcPr>
          <w:p w14:paraId="71479D9B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b/>
                <w:sz w:val="18"/>
              </w:rPr>
              <w:t>4.615,120 km</w:t>
            </w:r>
          </w:p>
        </w:tc>
        <w:tc>
          <w:tcPr>
            <w:tcW w:w="1021" w:type="pct"/>
            <w:vAlign w:val="center"/>
          </w:tcPr>
          <w:p w14:paraId="637646CE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b/>
                <w:sz w:val="18"/>
              </w:rPr>
              <w:t>1,104 t</w:t>
            </w:r>
          </w:p>
        </w:tc>
      </w:tr>
      <w:tr w:rsidR="000F1D9A" w:rsidRPr="00E37FEB" w14:paraId="1FBF9CED" w14:textId="77777777" w:rsidTr="00E37FEB">
        <w:trPr>
          <w:jc w:val="center"/>
        </w:trPr>
        <w:tc>
          <w:tcPr>
            <w:tcW w:w="1415" w:type="pct"/>
            <w:vAlign w:val="center"/>
          </w:tcPr>
          <w:p w14:paraId="1F6158C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b/>
                <w:sz w:val="18"/>
              </w:rPr>
              <w:t>Redução em relação à rodovia direta</w:t>
            </w:r>
          </w:p>
        </w:tc>
        <w:tc>
          <w:tcPr>
            <w:tcW w:w="703" w:type="pct"/>
            <w:vAlign w:val="center"/>
          </w:tcPr>
          <w:p w14:paraId="749817F8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—</w:t>
            </w:r>
          </w:p>
        </w:tc>
        <w:tc>
          <w:tcPr>
            <w:tcW w:w="863" w:type="pct"/>
            <w:vAlign w:val="center"/>
          </w:tcPr>
          <w:p w14:paraId="09DC7617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b/>
                <w:sz w:val="18"/>
              </w:rPr>
              <w:t>3,090 t (76,0%)</w:t>
            </w:r>
          </w:p>
        </w:tc>
        <w:tc>
          <w:tcPr>
            <w:tcW w:w="998" w:type="pct"/>
            <w:vAlign w:val="center"/>
          </w:tcPr>
          <w:p w14:paraId="69AB0088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—</w:t>
            </w:r>
          </w:p>
        </w:tc>
        <w:tc>
          <w:tcPr>
            <w:tcW w:w="1021" w:type="pct"/>
            <w:vAlign w:val="center"/>
          </w:tcPr>
          <w:p w14:paraId="604059BD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b/>
                <w:sz w:val="18"/>
              </w:rPr>
              <w:t>2,696 t (70,9%)</w:t>
            </w:r>
          </w:p>
        </w:tc>
      </w:tr>
    </w:tbl>
    <w:p w14:paraId="14F3EDD7" w14:textId="77777777" w:rsidR="000F1D9A" w:rsidRPr="00E37FEB" w:rsidRDefault="007224B6">
      <w:pPr>
        <w:pStyle w:val="Corpodetexto"/>
      </w:pPr>
      <w:r w:rsidRPr="00E37FEB">
        <w:t>Na rodovia direta, as distâncias são próximas: 2.807 km na Aliança e 2.835,762 km no CabotageLens. Na cadeia multimodal, a Aliança informa 4.869 km para a navegação e 125 km para o acesso final, enquanto o CabotageLens usa 4.495 km e 33,950 km, respectivamente. A diferença restante decorre sobretudo do acesso final e da referência de distância adotada para cada porto.</w:t>
      </w:r>
    </w:p>
    <w:p w14:paraId="6CF81E5B" w14:textId="77777777" w:rsidR="000F1D9A" w:rsidRPr="00E37FEB" w:rsidRDefault="007224B6">
      <w:pPr>
        <w:pStyle w:val="Corpodetexto"/>
      </w:pPr>
      <w:r w:rsidRPr="00E37FEB">
        <w:t>A distância total multimodal soma apenas os dois acessos rodoviários e a etapa marítima; as operações portuárias não acrescentam distância. A Aliança não as separa: os três trechos exibidos pela ferramenta somam exatamente o total multimodal de 0,975 t. No CabotageLens, essas operações aparecem como uma etapa própria, com 0,026 t de CO₂e TTW, e são incluídas no total. A tabela compara apenas TTW, que é o escopo adotado pelo CabotageLens; a calculadora da Aliança também exibe valores WTW, mas eles não são us</w:t>
      </w:r>
      <w:r w:rsidRPr="00E37FEB">
        <w:t>ados nesta comparação.</w:t>
      </w:r>
    </w:p>
    <w:p w14:paraId="05B16D51" w14:textId="77777777" w:rsidR="000F1D9A" w:rsidRPr="00E37FEB" w:rsidRDefault="007224B6">
      <w:pPr>
        <w:pStyle w:val="Corpodetexto"/>
      </w:pPr>
      <w:r w:rsidRPr="00E37FEB">
        <w:t>Há uma inconsistência de sinal no quadro de economia exibido pela Aliança: a diferença entre seus próprios totais TTW é aproximadamente 4,065 − 0,975 = 3,090 t de redução, mas a tela apresenta −3,089 t. Por esse motivo, a última linha da tabela é calculada diretamente a partir dos totais de cada alternativa. O CabotageLens apresenta a redução com sinal coerente com as emissões totais mostradas.</w:t>
      </w:r>
    </w:p>
    <w:p w14:paraId="02BB7167" w14:textId="77777777" w:rsidR="000F1D9A" w:rsidRPr="00E37FEB" w:rsidRDefault="007224B6">
      <w:pPr>
        <w:pStyle w:val="Ttulo2"/>
      </w:pPr>
      <w:bookmarkStart w:id="127" w:name="calculadora-de-emissões-da-log-in"/>
      <w:bookmarkStart w:id="128" w:name="_Toc235532558"/>
      <w:r w:rsidRPr="00E37FEB">
        <w:t xml:space="preserve">5.2 </w:t>
      </w:r>
      <w:hyperlink r:id="rId51">
        <w:r w:rsidRPr="00E37FEB">
          <w:rPr>
            <w:rStyle w:val="Hyperlink"/>
          </w:rPr>
          <w:t>Calculadora de emissões da Log-In</w:t>
        </w:r>
        <w:bookmarkEnd w:id="128"/>
      </w:hyperlink>
      <w:bookmarkEnd w:id="127"/>
    </w:p>
    <w:p w14:paraId="6BFA4000" w14:textId="77777777" w:rsidR="000F1D9A" w:rsidRPr="00E37FEB" w:rsidRDefault="007224B6">
      <w:pPr>
        <w:pStyle w:val="FirstParagraph"/>
      </w:pPr>
      <w:r w:rsidRPr="00E37FEB">
        <w:t>A captura da calculadora da Log-In refere-se ao cenário São Paulo–Rio Branco e mostra uma alternativa rodoviária de 3.032 km. A alternativa por cabotagem é composta por três trechos de 89,9 km, 6.112 km e 1.394 km, compatíveis com a estrutura São Paulo–Santos–Manaus–Rio Branco. O mesmo cenário foi executado no CabotageLens com 14 t e 1 TEU.</w:t>
      </w:r>
    </w:p>
    <w:p w14:paraId="7A763A0F" w14:textId="77777777" w:rsidR="000F1D9A" w:rsidRPr="00E37FEB" w:rsidRDefault="007224B6" w:rsidP="00E37FEB">
      <w:pPr>
        <w:pStyle w:val="Corpodetexto"/>
        <w:keepLines/>
        <w:spacing w:before="120" w:after="80"/>
        <w:jc w:val="center"/>
      </w:pPr>
      <w:r w:rsidRPr="00E37FEB">
        <w:rPr>
          <w:noProof/>
        </w:rPr>
        <w:lastRenderedPageBreak/>
        <w:drawing>
          <wp:inline distT="0" distB="0" distL="0" distR="0" wp14:anchorId="39238598" wp14:editId="34C0E648">
            <wp:extent cx="5334000" cy="4073323"/>
            <wp:effectExtent l="0" t="0" r="0" b="0"/>
            <wp:docPr id="13319006" name="Picture" descr="Resultado da calculadora de emissões da Log-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006" name="Picture" descr="Resultado da calculadora de emissões da Log-In.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9E3E2C" w14:textId="77777777" w:rsidR="000F1D9A" w:rsidRPr="00E37FEB" w:rsidRDefault="007224B6" w:rsidP="00E37FEB">
      <w:pPr>
        <w:pStyle w:val="LegendadeFiguraCL"/>
      </w:pPr>
      <w:r w:rsidRPr="00E37FEB">
        <w:t>Figura 11 — Resultado da calculadora de emissões da Log-In. Fonte: captura de tela fornecida pelo autor.</w:t>
      </w:r>
    </w:p>
    <w:p w14:paraId="65C3E70A" w14:textId="77777777" w:rsidR="000F1D9A" w:rsidRPr="00E37FEB" w:rsidRDefault="007224B6" w:rsidP="00E37FEB">
      <w:pPr>
        <w:pStyle w:val="TtulodeTabelaCL"/>
      </w:pPr>
      <w:r w:rsidRPr="00E37FEB">
        <w:t>Tabela 20 — Emissões no cenário de referência São Paulo–Rio Branco.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2099"/>
        <w:gridCol w:w="1334"/>
        <w:gridCol w:w="1715"/>
        <w:gridCol w:w="1934"/>
        <w:gridCol w:w="1991"/>
      </w:tblGrid>
      <w:tr w:rsidR="000F1D9A" w:rsidRPr="00E37FEB" w14:paraId="07C88968" w14:textId="77777777" w:rsidTr="00E37FEB">
        <w:trPr>
          <w:tblHeader/>
          <w:jc w:val="center"/>
        </w:trPr>
        <w:tc>
          <w:tcPr>
            <w:tcW w:w="1157" w:type="pct"/>
            <w:shd w:val="clear" w:color="auto" w:fill="E8EEF5"/>
            <w:vAlign w:val="center"/>
          </w:tcPr>
          <w:p w14:paraId="2783484C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A</w:t>
            </w:r>
            <w:r w:rsidRPr="00E37FEB">
              <w:rPr>
                <w:b/>
                <w:sz w:val="18"/>
              </w:rPr>
              <w:t>lternativa</w:t>
            </w:r>
          </w:p>
        </w:tc>
        <w:tc>
          <w:tcPr>
            <w:tcW w:w="735" w:type="pct"/>
            <w:shd w:val="clear" w:color="auto" w:fill="E8EEF5"/>
            <w:vAlign w:val="center"/>
          </w:tcPr>
          <w:p w14:paraId="72794108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Log-In: distância</w:t>
            </w:r>
          </w:p>
        </w:tc>
        <w:tc>
          <w:tcPr>
            <w:tcW w:w="945" w:type="pct"/>
            <w:shd w:val="clear" w:color="auto" w:fill="E8EEF5"/>
            <w:vAlign w:val="center"/>
          </w:tcPr>
          <w:p w14:paraId="30C0BD4E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Log-In: emissões de GEE</w:t>
            </w:r>
          </w:p>
        </w:tc>
        <w:tc>
          <w:tcPr>
            <w:tcW w:w="1066" w:type="pct"/>
            <w:shd w:val="clear" w:color="auto" w:fill="E8EEF5"/>
            <w:vAlign w:val="center"/>
          </w:tcPr>
          <w:p w14:paraId="6D2B144D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CabotageLens: distância</w:t>
            </w:r>
          </w:p>
        </w:tc>
        <w:tc>
          <w:tcPr>
            <w:tcW w:w="1098" w:type="pct"/>
            <w:shd w:val="clear" w:color="auto" w:fill="E8EEF5"/>
            <w:vAlign w:val="center"/>
          </w:tcPr>
          <w:p w14:paraId="28B6CC4E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CabotageLens: CO₂e TTW</w:t>
            </w:r>
          </w:p>
        </w:tc>
      </w:tr>
      <w:tr w:rsidR="000F1D9A" w:rsidRPr="00E37FEB" w14:paraId="07B09755" w14:textId="77777777" w:rsidTr="00E37FEB">
        <w:trPr>
          <w:jc w:val="center"/>
        </w:trPr>
        <w:tc>
          <w:tcPr>
            <w:tcW w:w="1157" w:type="pct"/>
            <w:vAlign w:val="center"/>
          </w:tcPr>
          <w:p w14:paraId="334C0FA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Rodovia direta</w:t>
            </w:r>
          </w:p>
        </w:tc>
        <w:tc>
          <w:tcPr>
            <w:tcW w:w="735" w:type="pct"/>
            <w:vAlign w:val="center"/>
          </w:tcPr>
          <w:p w14:paraId="08026932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3.032 km</w:t>
            </w:r>
          </w:p>
        </w:tc>
        <w:tc>
          <w:tcPr>
            <w:tcW w:w="945" w:type="pct"/>
            <w:vAlign w:val="center"/>
          </w:tcPr>
          <w:p w14:paraId="5F8A549D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3,1 t</w:t>
            </w:r>
          </w:p>
        </w:tc>
        <w:tc>
          <w:tcPr>
            <w:tcW w:w="1066" w:type="pct"/>
            <w:vAlign w:val="center"/>
          </w:tcPr>
          <w:p w14:paraId="58DD06BE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3.491,431 km</w:t>
            </w:r>
          </w:p>
        </w:tc>
        <w:tc>
          <w:tcPr>
            <w:tcW w:w="1098" w:type="pct"/>
            <w:vAlign w:val="center"/>
          </w:tcPr>
          <w:p w14:paraId="32587C98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4,068 t</w:t>
            </w:r>
          </w:p>
        </w:tc>
      </w:tr>
      <w:tr w:rsidR="000F1D9A" w:rsidRPr="00E37FEB" w14:paraId="67F971EA" w14:textId="77777777" w:rsidTr="00E37FEB">
        <w:trPr>
          <w:jc w:val="center"/>
        </w:trPr>
        <w:tc>
          <w:tcPr>
            <w:tcW w:w="1157" w:type="pct"/>
            <w:vAlign w:val="center"/>
          </w:tcPr>
          <w:p w14:paraId="1CAA4FA1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Multimodal</w:t>
            </w:r>
          </w:p>
        </w:tc>
        <w:tc>
          <w:tcPr>
            <w:tcW w:w="735" w:type="pct"/>
            <w:vAlign w:val="center"/>
          </w:tcPr>
          <w:p w14:paraId="4CBD8C5C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7.595,9 km</w:t>
            </w:r>
          </w:p>
        </w:tc>
        <w:tc>
          <w:tcPr>
            <w:tcW w:w="945" w:type="pct"/>
            <w:vAlign w:val="center"/>
          </w:tcPr>
          <w:p w14:paraId="1EBE7A18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2,9 t</w:t>
            </w:r>
          </w:p>
        </w:tc>
        <w:tc>
          <w:tcPr>
            <w:tcW w:w="1066" w:type="pct"/>
            <w:vAlign w:val="center"/>
          </w:tcPr>
          <w:p w14:paraId="0C5EA7F0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7.584,836 km</w:t>
            </w:r>
          </w:p>
        </w:tc>
        <w:tc>
          <w:tcPr>
            <w:tcW w:w="1098" w:type="pct"/>
            <w:vAlign w:val="center"/>
          </w:tcPr>
          <w:p w14:paraId="265D6507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3,042 t</w:t>
            </w:r>
          </w:p>
        </w:tc>
      </w:tr>
      <w:tr w:rsidR="000F1D9A" w:rsidRPr="00E37FEB" w14:paraId="77952396" w14:textId="77777777" w:rsidTr="00E37FEB">
        <w:trPr>
          <w:jc w:val="center"/>
        </w:trPr>
        <w:tc>
          <w:tcPr>
            <w:tcW w:w="1157" w:type="pct"/>
            <w:vAlign w:val="center"/>
          </w:tcPr>
          <w:p w14:paraId="67941CE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Redução em relação à rodovia</w:t>
            </w:r>
          </w:p>
        </w:tc>
        <w:tc>
          <w:tcPr>
            <w:tcW w:w="735" w:type="pct"/>
            <w:vAlign w:val="center"/>
          </w:tcPr>
          <w:p w14:paraId="3826F17D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—</w:t>
            </w:r>
          </w:p>
        </w:tc>
        <w:tc>
          <w:tcPr>
            <w:tcW w:w="945" w:type="pct"/>
            <w:vAlign w:val="center"/>
          </w:tcPr>
          <w:p w14:paraId="490B1B21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0,2 t</w:t>
            </w:r>
          </w:p>
        </w:tc>
        <w:tc>
          <w:tcPr>
            <w:tcW w:w="1066" w:type="pct"/>
            <w:vAlign w:val="center"/>
          </w:tcPr>
          <w:p w14:paraId="4A1CAF35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—</w:t>
            </w:r>
          </w:p>
        </w:tc>
        <w:tc>
          <w:tcPr>
            <w:tcW w:w="1098" w:type="pct"/>
            <w:vAlign w:val="center"/>
          </w:tcPr>
          <w:p w14:paraId="497A6583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1,027 t</w:t>
            </w:r>
          </w:p>
        </w:tc>
      </w:tr>
    </w:tbl>
    <w:p w14:paraId="2F8318E5" w14:textId="77777777" w:rsidR="000F1D9A" w:rsidRPr="00E37FEB" w:rsidRDefault="007224B6">
      <w:pPr>
        <w:pStyle w:val="Corpodetexto"/>
      </w:pPr>
      <w:r w:rsidRPr="00E37FEB">
        <w:t>No resultado multimodal, as duas ferramentas estão próximas. A distância da Log-In é 11,064 km maior, uma diferença de 0,15%, e a emissão de GEE informada é 0,142 t menor, ou 4,7% em relação ao CabotageLens. Essa proximidade é positiva porque os valores divulgados pelas duas ferramentas são semelhantes, mesmo usando fontes e parâmetros próprios.</w:t>
      </w:r>
    </w:p>
    <w:p w14:paraId="535ED624" w14:textId="77777777" w:rsidR="000F1D9A" w:rsidRPr="00E37FEB" w:rsidRDefault="007224B6">
      <w:pPr>
        <w:pStyle w:val="Corpodetexto"/>
      </w:pPr>
      <w:r w:rsidRPr="00E37FEB">
        <w:t xml:space="preserve">Na alternativa rodoviária, porém, a distância da Log-In não corresponde à rota porta a porta São Paulo–Rio Branco previamente calculada. A ferramenta informa 3.032 km, enquanto o CabotageLens obteve 3.491,431 km e a conferência independente no Google Maps indicou 3.497 km, como apresentado na Seção 4.3.1.1. Essa diferença de 459,431 km, ou 13,2%, contribui para que a emissão rodoviária informada pela Log-In seja menor. Por isso, a comparação rodoviária não deve ser interpretada como uma equivalência direta </w:t>
      </w:r>
      <w:r w:rsidRPr="00E37FEB">
        <w:t>entre os dois sistemas.</w:t>
      </w:r>
    </w:p>
    <w:p w14:paraId="784A11D2" w14:textId="77777777" w:rsidR="000F1D9A" w:rsidRPr="00E37FEB" w:rsidRDefault="007224B6">
      <w:pPr>
        <w:pStyle w:val="Ttulo2"/>
      </w:pPr>
      <w:bookmarkStart w:id="129" w:name="calculadora-de-piso-mínimo-de-frete-da-a"/>
      <w:bookmarkStart w:id="130" w:name="_Toc235532559"/>
      <w:r w:rsidRPr="00E37FEB">
        <w:lastRenderedPageBreak/>
        <w:t xml:space="preserve">5.3 </w:t>
      </w:r>
      <w:hyperlink r:id="rId53">
        <w:r w:rsidRPr="00E37FEB">
          <w:rPr>
            <w:rStyle w:val="Hyperlink"/>
          </w:rPr>
          <w:t>Calculadora de piso mínimo de frete da ANTT</w:t>
        </w:r>
        <w:bookmarkEnd w:id="130"/>
      </w:hyperlink>
      <w:bookmarkEnd w:id="129"/>
    </w:p>
    <w:p w14:paraId="4C9A90F6" w14:textId="77777777" w:rsidR="000F1D9A" w:rsidRPr="00E37FEB" w:rsidRDefault="007224B6">
      <w:pPr>
        <w:pStyle w:val="FirstParagraph"/>
      </w:pPr>
      <w:r w:rsidRPr="00E37FEB">
        <w:t>Na calculadora da Agência Nacional de Transportes Terrestres (ANTT), o cenário foi informado como carga conteinerizada, cinco eixos e 3.491 km. O resultado oficial exibido foi R$ 21.308,12. Para a mesma ligação São Paulo–Rio Branco, o CabotageLens calculou 3.491,431 km, selecionou cinco eixos para a carga de 14 t e estimou R$ 12.318,68 de custo de combustível.</w:t>
      </w:r>
    </w:p>
    <w:p w14:paraId="60B807F4" w14:textId="77777777" w:rsidR="000F1D9A" w:rsidRPr="00E37FEB" w:rsidRDefault="007224B6" w:rsidP="00E37FEB">
      <w:pPr>
        <w:pStyle w:val="Corpodetexto"/>
        <w:keepLines/>
        <w:spacing w:before="120" w:after="80"/>
        <w:jc w:val="center"/>
      </w:pPr>
      <w:r w:rsidRPr="00E37FEB">
        <w:rPr>
          <w:noProof/>
        </w:rPr>
        <w:drawing>
          <wp:inline distT="0" distB="0" distL="0" distR="0" wp14:anchorId="0EB0C104" wp14:editId="674F35E4">
            <wp:extent cx="5334000" cy="2124038"/>
            <wp:effectExtent l="0" t="0" r="0" b="0"/>
            <wp:docPr id="848438522" name="Picture" descr="Resultado da calculadora de piso mínimo de frete da ANT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38522" name="Picture" descr="Resultado da calculadora de piso mínimo de frete da ANTT.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160CA3" w14:textId="77777777" w:rsidR="000F1D9A" w:rsidRPr="00E37FEB" w:rsidRDefault="007224B6" w:rsidP="00E37FEB">
      <w:pPr>
        <w:pStyle w:val="LegendadeFiguraCL"/>
      </w:pPr>
      <w:r w:rsidRPr="00E37FEB">
        <w:t>Figura 12 — Resultado da calculadora de piso mínimo de frete da ANTT para a distância de 3.491 km. Fonte: captura de tela fornecida pelo autor.</w:t>
      </w:r>
    </w:p>
    <w:p w14:paraId="5BEF7964" w14:textId="77777777" w:rsidR="000F1D9A" w:rsidRPr="00E37FEB" w:rsidRDefault="007224B6" w:rsidP="00E37FEB">
      <w:pPr>
        <w:pStyle w:val="TtulodeTabelaCL"/>
      </w:pPr>
      <w:r w:rsidRPr="00E37FEB">
        <w:t>Tabela 21 — Valores para a ligação São Paulo–Rio Branco.</w:t>
      </w:r>
    </w:p>
    <w:tbl>
      <w:tblPr>
        <w:tblStyle w:val="Table"/>
        <w:tblW w:w="9073" w:type="dxa"/>
        <w:jc w:val="center"/>
        <w:tblBorders>
          <w:top w:val="single" w:sz="2" w:space="0" w:color="BCC6D0"/>
          <w:left w:val="single" w:sz="2" w:space="0" w:color="BCC6D0"/>
          <w:bottom w:val="single" w:sz="2" w:space="0" w:color="BCC6D0"/>
          <w:right w:val="single" w:sz="2" w:space="0" w:color="BCC6D0"/>
          <w:insideH w:val="single" w:sz="2" w:space="0" w:color="BCC6D0"/>
          <w:insideV w:val="single" w:sz="2" w:space="0" w:color="BCC6D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7E0" w:firstRow="1" w:lastRow="1" w:firstColumn="1" w:lastColumn="1" w:noHBand="1" w:noVBand="1"/>
      </w:tblPr>
      <w:tblGrid>
        <w:gridCol w:w="2136"/>
        <w:gridCol w:w="3056"/>
        <w:gridCol w:w="3881"/>
      </w:tblGrid>
      <w:tr w:rsidR="000F1D9A" w:rsidRPr="00E37FEB" w14:paraId="6CFF4DF7" w14:textId="77777777" w:rsidTr="00E37FEB">
        <w:trPr>
          <w:tblHeader/>
          <w:jc w:val="center"/>
        </w:trPr>
        <w:tc>
          <w:tcPr>
            <w:tcW w:w="1177" w:type="pct"/>
            <w:shd w:val="clear" w:color="auto" w:fill="E8EEF5"/>
            <w:vAlign w:val="center"/>
          </w:tcPr>
          <w:p w14:paraId="0D10E9AB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b/>
                <w:sz w:val="18"/>
              </w:rPr>
              <w:jc w:val="left"/>
            </w:pPr>
            <w:r w:rsidRPr="00E37FEB">
              <w:rPr>
                <w:b/>
                <w:sz w:val="18"/>
              </w:rPr>
              <w:t>I</w:t>
            </w:r>
            <w:r w:rsidRPr="00E37FEB">
              <w:rPr>
                <w:b/>
                <w:sz w:val="18"/>
              </w:rPr>
              <w:t>tem</w:t>
            </w:r>
          </w:p>
        </w:tc>
        <w:tc>
          <w:tcPr>
            <w:tcW w:w="1684" w:type="pct"/>
            <w:shd w:val="clear" w:color="auto" w:fill="E8EEF5"/>
            <w:vAlign w:val="center"/>
          </w:tcPr>
          <w:p w14:paraId="5CE0EDA8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Calculadora da ANTT</w:t>
            </w:r>
          </w:p>
        </w:tc>
        <w:tc>
          <w:tcPr>
            <w:tcW w:w="2139" w:type="pct"/>
            <w:shd w:val="clear" w:color="auto" w:fill="E8EEF5"/>
            <w:vAlign w:val="center"/>
          </w:tcPr>
          <w:p w14:paraId="3C0A2A23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b/>
                <w:sz w:val="18"/>
              </w:rPr>
            </w:pPr>
            <w:r w:rsidRPr="00E37FEB">
              <w:rPr>
                <w:b/>
                <w:sz w:val="18"/>
              </w:rPr>
              <w:t>CabotageLens</w:t>
            </w:r>
          </w:p>
        </w:tc>
      </w:tr>
      <w:tr w:rsidR="000F1D9A" w:rsidRPr="00E37FEB" w14:paraId="45FBDC6B" w14:textId="77777777" w:rsidTr="00E37FEB">
        <w:trPr>
          <w:jc w:val="center"/>
        </w:trPr>
        <w:tc>
          <w:tcPr>
            <w:tcW w:w="1177" w:type="pct"/>
            <w:vAlign w:val="center"/>
          </w:tcPr>
          <w:p w14:paraId="195EE0FD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Distância</w:t>
            </w:r>
          </w:p>
        </w:tc>
        <w:tc>
          <w:tcPr>
            <w:tcW w:w="1684" w:type="pct"/>
            <w:vAlign w:val="center"/>
          </w:tcPr>
          <w:p w14:paraId="67E9FEE2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3.491 km</w:t>
            </w:r>
          </w:p>
        </w:tc>
        <w:tc>
          <w:tcPr>
            <w:tcW w:w="2139" w:type="pct"/>
            <w:vAlign w:val="center"/>
          </w:tcPr>
          <w:p w14:paraId="16E40E0E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3.491,431 km</w:t>
            </w:r>
          </w:p>
        </w:tc>
      </w:tr>
      <w:tr w:rsidR="000F1D9A" w:rsidRPr="00E37FEB" w14:paraId="159B3A01" w14:textId="77777777" w:rsidTr="00E37FEB">
        <w:trPr>
          <w:jc w:val="center"/>
        </w:trPr>
        <w:tc>
          <w:tcPr>
            <w:tcW w:w="1177" w:type="pct"/>
            <w:vAlign w:val="center"/>
          </w:tcPr>
          <w:p w14:paraId="6A43CA96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Configuração do veículo</w:t>
            </w:r>
          </w:p>
        </w:tc>
        <w:tc>
          <w:tcPr>
            <w:tcW w:w="1684" w:type="pct"/>
            <w:vAlign w:val="center"/>
          </w:tcPr>
          <w:p w14:paraId="45BFD4E7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5 eixos</w:t>
            </w:r>
          </w:p>
        </w:tc>
        <w:tc>
          <w:tcPr>
            <w:tcW w:w="2139" w:type="pct"/>
            <w:vAlign w:val="center"/>
          </w:tcPr>
          <w:p w14:paraId="6B5777C9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5 eixos</w:t>
            </w:r>
          </w:p>
        </w:tc>
      </w:tr>
      <w:tr w:rsidR="000F1D9A" w:rsidRPr="00E37FEB" w14:paraId="623875C4" w14:textId="77777777" w:rsidTr="00E37FEB">
        <w:trPr>
          <w:jc w:val="center"/>
        </w:trPr>
        <w:tc>
          <w:tcPr>
            <w:tcW w:w="1177" w:type="pct"/>
            <w:vAlign w:val="center"/>
          </w:tcPr>
          <w:p w14:paraId="7F0D060F" w14:textId="77777777" w:rsidR="000F1D9A" w:rsidRPr="00E37FEB" w:rsidRDefault="007224B6" w:rsidP="00E37FEB">
            <w:pPr>
              <w:pStyle w:val="Compact"/>
              <w:spacing w:before="0" w:after="0" w:line="240" w:lineRule="auto"/>
              <w:rPr>
                <w:sz w:val="18"/>
              </w:rPr>
              <w:jc w:val="left"/>
            </w:pPr>
            <w:r w:rsidRPr="00E37FEB">
              <w:rPr>
                <w:sz w:val="18"/>
              </w:rPr>
              <w:t>Valor calculado</w:t>
            </w:r>
          </w:p>
        </w:tc>
        <w:tc>
          <w:tcPr>
            <w:tcW w:w="1684" w:type="pct"/>
            <w:vAlign w:val="center"/>
          </w:tcPr>
          <w:p w14:paraId="31AE7B84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R$ 21.308,12 — piso mínimo de frete</w:t>
            </w:r>
          </w:p>
        </w:tc>
        <w:tc>
          <w:tcPr>
            <w:tcW w:w="2139" w:type="pct"/>
            <w:vAlign w:val="center"/>
          </w:tcPr>
          <w:p w14:paraId="0DC5396B" w14:textId="77777777" w:rsidR="000F1D9A" w:rsidRPr="00E37FEB" w:rsidRDefault="007224B6" w:rsidP="00E37FEB">
            <w:pPr>
              <w:pStyle w:val="Compact"/>
              <w:spacing w:before="0" w:after="0" w:line="240" w:lineRule="auto"/>
              <w:jc w:val="left"/>
              <w:rPr>
                <w:sz w:val="18"/>
              </w:rPr>
            </w:pPr>
            <w:r w:rsidRPr="00E37FEB">
              <w:rPr>
                <w:sz w:val="18"/>
              </w:rPr>
              <w:t>R$ 12.318,68 — custo modelado do combustível</w:t>
            </w:r>
          </w:p>
        </w:tc>
      </w:tr>
    </w:tbl>
    <w:p w14:paraId="2B0ACD60" w14:textId="77777777" w:rsidR="000F1D9A" w:rsidRPr="00E37FEB" w:rsidRDefault="007224B6">
      <w:pPr>
        <w:pStyle w:val="Corpodetexto"/>
      </w:pPr>
      <w:r w:rsidRPr="00E37FEB">
        <w:t>Os dois valores têm finalidades diferentes: o resultado da ANTT é o piso mínimo de frete, enquanto o CabotageLens isola o custo operacional de combustível. Por isso, não se espera que sejam iguais. Ainda assim, o combustível calculado pelo sistema, R$ 12.318,68, representa 57,8% do piso de R$ 21.308,12. Essa proporção é um sinal de coerência de ordem de grandeza, pois o piso mínimo também reúne outras parcelas do frete além do combustível. Assim, os valores são apresentados lado a lado para contextualização</w:t>
      </w:r>
      <w:r w:rsidRPr="00E37FEB">
        <w:t>, e não como cotações equivalentes.</w:t>
      </w:r>
    </w:p>
    <w:p w14:paraId="5875A84D" w14:textId="77777777" w:rsidR="000F1D9A" w:rsidRPr="00E37FEB" w:rsidRDefault="007224B6">
      <w:pPr>
        <w:pStyle w:val="Ttulo1"/>
      </w:pPr>
      <w:bookmarkStart w:id="131" w:name="conclusões"/>
      <w:bookmarkStart w:id="132" w:name="_Toc235532560"/>
      <w:r w:rsidRPr="00E37FEB">
        <w:t>6. Conclusões</w:t>
      </w:r>
      <w:bookmarkEnd w:id="131"/>
      <w:bookmarkEnd w:id="132"/>
    </w:p>
    <w:p w14:paraId="34C6764D" w14:textId="77777777" w:rsidR="000F1D9A" w:rsidRPr="00E37FEB" w:rsidRDefault="007224B6">
      <w:pPr>
        <w:pStyle w:val="Ttulo2"/>
      </w:pPr>
      <w:bookmarkStart w:id="133" w:name="resultados-da-comparação"/>
      <w:bookmarkStart w:id="134" w:name="_Toc235532561"/>
      <w:r w:rsidRPr="00E37FEB">
        <w:t>6.1 Resultados da comparação</w:t>
      </w:r>
      <w:bookmarkEnd w:id="133"/>
      <w:bookmarkEnd w:id="134"/>
    </w:p>
    <w:p w14:paraId="3CB54A21" w14:textId="77777777" w:rsidR="000F1D9A" w:rsidRPr="00E37FEB" w:rsidRDefault="007224B6">
      <w:pPr>
        <w:pStyle w:val="FirstParagraph"/>
      </w:pPr>
      <w:r w:rsidRPr="00E37FEB">
        <w:t>Este trabalho apresentou o CabotageLens, uma ferramenta para comparar duas formas de transportar a mesma remessa entre uma origem e um destino: a alternativa rodoviária direta e a alternativa multimodal com acessos rodoviários, operações portuárias e cabotagem. Ao aplicar as duas alternativas à mesma carga, origem e destino, o sistema evita comparar apenas o trecho marítimo com uma viagem rodoviária completa.</w:t>
      </w:r>
    </w:p>
    <w:p w14:paraId="11E9ABE2" w14:textId="77777777" w:rsidR="000F1D9A" w:rsidRPr="00E37FEB" w:rsidRDefault="007224B6">
      <w:pPr>
        <w:pStyle w:val="Corpodetexto"/>
      </w:pPr>
      <w:r w:rsidRPr="00E37FEB">
        <w:lastRenderedPageBreak/>
        <w:t>No exemplo de uma remessa de 14 t entre São Paulo e Rio Branco, a alternativa multimodal percorre 117,24% mais quilômetros do que a rodoviária direta. Mesmo assim, emite 25,24% menos CO₂e operacional e apresenta custo modelado do combustível 43,84% menor. O resultado mostra que a distância total, isoladamente, não é suficiente para comparar os modais: os acessos rodoviários, as operações portuárias e a navegação precisam ser avaliados na mesma cadeia logística.</w:t>
      </w:r>
    </w:p>
    <w:p w14:paraId="4C73B30D" w14:textId="77777777" w:rsidR="000F1D9A" w:rsidRPr="00E37FEB" w:rsidRDefault="007224B6">
      <w:pPr>
        <w:pStyle w:val="Ttulo2"/>
      </w:pPr>
      <w:bookmarkStart w:id="135" w:name="contribuição-metodológica"/>
      <w:bookmarkStart w:id="136" w:name="_Toc235532562"/>
      <w:r w:rsidRPr="00E37FEB">
        <w:t>6.2 Contribuição metodológica</w:t>
      </w:r>
      <w:bookmarkEnd w:id="135"/>
      <w:bookmarkEnd w:id="136"/>
    </w:p>
    <w:p w14:paraId="0DA8CB2C" w14:textId="77777777" w:rsidR="000F1D9A" w:rsidRPr="00E37FEB" w:rsidRDefault="007224B6">
      <w:pPr>
        <w:pStyle w:val="FirstParagraph"/>
      </w:pPr>
      <w:r w:rsidRPr="00E37FEB">
        <w:t>A principal contribuição do CabotageLens está na construção da perna marítima com dados observados. Em vez de fixar um corredor entre dois portos, o sistema reconstrói as viagens registradas pela Agência Nacional de Transportes Aquaviários (ANTAQ), preserva as escalas intermediárias e calcula a carga a bordo em cada subtrecho. Sempre que possível, a intensidade vem do mesmo número IMO na base europeia de Monitoramento, Reporte e Verificação da União Europeia (EU MRV). Quando essa correspondência não está di</w:t>
      </w:r>
      <w:r w:rsidRPr="00E37FEB">
        <w:t>sponível ou é considerada atípica, o cálculo usa uma referência estatística de navios semelhantes e informa a fonte adotada.</w:t>
      </w:r>
    </w:p>
    <w:p w14:paraId="1F871B79" w14:textId="77777777" w:rsidR="000F1D9A" w:rsidRPr="00E37FEB" w:rsidRDefault="007224B6">
      <w:pPr>
        <w:pStyle w:val="Corpodetexto"/>
      </w:pPr>
      <w:r w:rsidRPr="00E37FEB">
        <w:t>A ligação Santos–Manaus demonstra o efeito dessa escolha: os 89 recortes completos formam 22 sequências de portos, com viagens diretas e viagens com escalas intermediárias. Para a distância, os 2 recortes acima do P95 de 6.975,000 km são retirados da média, resultando em 6.094,975 km com 87 recortes; a intensidade de 9,009824 g/(t·nm) continua usando os 89 recortes. Portanto, esses indicadores não descrevem uma rota única nem o desempenho de um único navio; sua procedência permanece registrada para conferên</w:t>
      </w:r>
      <w:r w:rsidRPr="00E37FEB">
        <w:t>cia.</w:t>
      </w:r>
    </w:p>
    <w:p w14:paraId="1D35A52F" w14:textId="77777777" w:rsidR="000F1D9A" w:rsidRPr="00E37FEB" w:rsidRDefault="007224B6">
      <w:pPr>
        <w:pStyle w:val="Corpodetexto"/>
      </w:pPr>
      <w:r w:rsidRPr="00E37FEB">
        <w:t xml:space="preserve">Além da contribuição metodológica, o CabotageLens constitui uma contribuição aplicada e acessível: a </w:t>
      </w:r>
      <w:hyperlink r:id="rId55">
        <w:r w:rsidRPr="00E37FEB">
          <w:rPr>
            <w:rStyle w:val="Hyperlink"/>
          </w:rPr>
          <w:t>aplicação está disponível publicamente</w:t>
        </w:r>
      </w:hyperlink>
      <w:r w:rsidRPr="00E37FEB">
        <w:t xml:space="preserve"> e seu </w:t>
      </w:r>
      <w:hyperlink r:id="rId56">
        <w:r w:rsidRPr="00E37FEB">
          <w:rPr>
            <w:rStyle w:val="Hyperlink"/>
          </w:rPr>
          <w:t>código-fonte, documentação e regras de cálculo podem ser consultados no repositório público do projeto</w:t>
        </w:r>
      </w:hyperlink>
      <w:r w:rsidRPr="00E37FEB">
        <w:t>. Dessa forma, outras pessoas podem executar cenários próprios, conferir as premissas adotadas e reproduzir a lógica de cálculo, dentro dos limites de dados e escopo descritos neste trabalho.</w:t>
      </w:r>
    </w:p>
    <w:p w14:paraId="2E0EC6B4" w14:textId="77777777" w:rsidR="000F1D9A" w:rsidRPr="00E37FEB" w:rsidRDefault="007224B6">
      <w:pPr>
        <w:pStyle w:val="Ttulo1"/>
      </w:pPr>
      <w:bookmarkStart w:id="137" w:name="referências"/>
      <w:bookmarkStart w:id="138" w:name="_Toc235532563"/>
      <w:r w:rsidRPr="00E37FEB">
        <w:t>Referências</w:t>
      </w:r>
      <w:bookmarkEnd w:id="137"/>
      <w:bookmarkEnd w:id="138"/>
    </w:p>
    <w:p w14:paraId="07E9BDF0" w14:textId="77777777" w:rsidR="000F1D9A" w:rsidRPr="00E37FEB" w:rsidRDefault="007224B6">
      <w:pPr>
        <w:pStyle w:val="FirstParagraph"/>
      </w:pPr>
      <w:r w:rsidRPr="00E37FEB">
        <w:t xml:space="preserve">AGÊNCIA NACIONAL DO PETRÓLEO, GÁS NATURAL E BIOCOMBUSTÍVEIS (ANP). </w:t>
      </w:r>
      <w:r w:rsidRPr="00E37FEB">
        <w:rPr>
          <w:i/>
        </w:rPr>
        <w:t>Levantamento semanal de preços de combustíveis por estado</w:t>
      </w:r>
      <w:r w:rsidRPr="00E37FEB">
        <w:t xml:space="preserve">. 2026. Disponível em: </w:t>
      </w:r>
      <w:hyperlink r:id="rId57">
        <w:r w:rsidRPr="00E37FEB">
          <w:rPr>
            <w:rStyle w:val="Hyperlink"/>
          </w:rPr>
          <w:t>https://www.gov.br/anp/pt-br/assuntos/precos-e-defesa-da-concorrencia/precos/levantamento-de-precos-de-combustiveis-ultimas-semanas-pesquisadas</w:t>
        </w:r>
      </w:hyperlink>
      <w:r w:rsidRPr="00E37FEB">
        <w:t>. Acesso em: 19 jul. 2026.</w:t>
      </w:r>
    </w:p>
    <w:p w14:paraId="2D284BCC" w14:textId="77777777" w:rsidR="000F1D9A" w:rsidRPr="00E37FEB" w:rsidRDefault="007224B6">
      <w:pPr>
        <w:pStyle w:val="Corpodetexto"/>
      </w:pPr>
      <w:r w:rsidRPr="00E37FEB">
        <w:t xml:space="preserve">AGÊNCIA NACIONAL DE TRANSPORTES AQUAVIÁRIOS (ANTAQ). </w:t>
      </w:r>
      <w:r w:rsidRPr="00E37FEB">
        <w:rPr>
          <w:i/>
        </w:rPr>
        <w:t>Painel Estatístico Aquaviário: dados de atracação e carga</w:t>
      </w:r>
      <w:r w:rsidRPr="00E37FEB">
        <w:t xml:space="preserve">. 2025. Disponível em: </w:t>
      </w:r>
      <w:hyperlink r:id="rId58">
        <w:r w:rsidRPr="00E37FEB">
          <w:rPr>
            <w:rStyle w:val="Hyperlink"/>
          </w:rPr>
          <w:t>https://estatistica.antaq.gov.br/ea/sense/download.html</w:t>
        </w:r>
      </w:hyperlink>
      <w:r w:rsidRPr="00E37FEB">
        <w:t>. Acesso em: 19 jul. 2026.</w:t>
      </w:r>
    </w:p>
    <w:p w14:paraId="7DF0A001" w14:textId="77777777" w:rsidR="000F1D9A" w:rsidRPr="00E37FEB" w:rsidRDefault="007224B6">
      <w:pPr>
        <w:pStyle w:val="Corpodetexto"/>
      </w:pPr>
      <w:r w:rsidRPr="00E37FEB">
        <w:lastRenderedPageBreak/>
        <w:t xml:space="preserve">AGÊNCIA NACIONAL DE TRANSPORTES TERRESTRES (ANTT). </w:t>
      </w:r>
      <w:r w:rsidRPr="00E37FEB">
        <w:rPr>
          <w:i/>
        </w:rPr>
        <w:t>Política Nacional de Pisos Mínimos do Transporte Rodoviário de Cargas</w:t>
      </w:r>
      <w:r w:rsidRPr="00E37FEB">
        <w:t xml:space="preserve">. 2025. Disponível em: </w:t>
      </w:r>
      <w:hyperlink r:id="rId59">
        <w:r w:rsidRPr="00E37FEB">
          <w:rPr>
            <w:rStyle w:val="Hyperlink"/>
          </w:rPr>
          <w:t>https://anttlegis.antt.gov.br/action/UrlPublicasAction.php?acao=abrirAtoPublico&amp;cod_menu=9230&amp;cod_modulo=623&amp;num_ato=00000001&amp;seq_ato=ATT&amp;sgl_orgao=SUROC%2FANTT%2FMT&amp;sgl_tipo=POR&amp;vlr_ano=2025</w:t>
        </w:r>
      </w:hyperlink>
      <w:r w:rsidRPr="00E37FEB">
        <w:t>. Acesso em: 19 jul. 2026.</w:t>
      </w:r>
    </w:p>
    <w:p w14:paraId="133750D5" w14:textId="77777777" w:rsidR="000F1D9A" w:rsidRPr="00E37FEB" w:rsidRDefault="007224B6">
      <w:pPr>
        <w:pStyle w:val="Corpodetexto"/>
      </w:pPr>
      <w:r w:rsidRPr="00E37FEB">
        <w:t xml:space="preserve">AGÊNCIA NACIONAL DE TRANSPORTES TERRESTRES (ANTT). </w:t>
      </w:r>
      <w:r w:rsidRPr="00E37FEB">
        <w:rPr>
          <w:i/>
        </w:rPr>
        <w:t>Calculadora de piso mínimo de frete</w:t>
      </w:r>
      <w:r w:rsidRPr="00E37FEB">
        <w:t xml:space="preserve">. 2026. Disponível em: </w:t>
      </w:r>
      <w:hyperlink r:id="rId60">
        <w:r w:rsidRPr="00E37FEB">
          <w:rPr>
            <w:rStyle w:val="Hyperlink"/>
          </w:rPr>
          <w:t>https://calculadorafrete.antt.gov.br/</w:t>
        </w:r>
      </w:hyperlink>
      <w:r w:rsidRPr="00E37FEB">
        <w:t>. Acesso em: 19 jul. 2026.</w:t>
      </w:r>
    </w:p>
    <w:p w14:paraId="4C24C8A1" w14:textId="77777777" w:rsidR="000F1D9A" w:rsidRPr="00E37FEB" w:rsidRDefault="007224B6">
      <w:pPr>
        <w:pStyle w:val="Corpodetexto"/>
      </w:pPr>
      <w:r w:rsidRPr="00E37FEB">
        <w:t xml:space="preserve">ALIANÇA NAVEGAÇÃO E LOGÍSTICA. </w:t>
      </w:r>
      <w:r w:rsidRPr="00E37FEB">
        <w:rPr>
          <w:i/>
        </w:rPr>
        <w:t>Calculadora de CO2</w:t>
      </w:r>
      <w:r w:rsidRPr="00E37FEB">
        <w:t xml:space="preserve">. 2026. Disponível em: </w:t>
      </w:r>
      <w:hyperlink r:id="rId61">
        <w:r w:rsidRPr="00E37FEB">
          <w:rPr>
            <w:rStyle w:val="Hyperlink"/>
          </w:rPr>
          <w:t>https://www.alianca.com.br/calculadora-de-co2</w:t>
        </w:r>
      </w:hyperlink>
      <w:r w:rsidRPr="00E37FEB">
        <w:t>. Acesso em: 19 jul. 2026.</w:t>
      </w:r>
    </w:p>
    <w:p w14:paraId="3A31ACBE" w14:textId="77777777" w:rsidR="000F1D9A" w:rsidRPr="00E37FEB" w:rsidRDefault="007224B6">
      <w:pPr>
        <w:pStyle w:val="Corpodetexto"/>
      </w:pPr>
      <w:r w:rsidRPr="00E37FEB">
        <w:t xml:space="preserve">BANCO CENTRAL EUROPEU. </w:t>
      </w:r>
      <w:r w:rsidRPr="00E37FEB">
        <w:rPr>
          <w:i/>
        </w:rPr>
        <w:t>Euro foreign exchange reference rates</w:t>
      </w:r>
      <w:r w:rsidRPr="00E37FEB">
        <w:t xml:space="preserve">. 2026. Disponível em: </w:t>
      </w:r>
      <w:hyperlink r:id="rId62">
        <w:r w:rsidRPr="00E37FEB">
          <w:rPr>
            <w:rStyle w:val="Hyperlink"/>
          </w:rPr>
          <w:t>https://www.ecb.europa.eu/stats/policy_and_exchange_rates/euro_reference_exchange_rates/html/index.en.html</w:t>
        </w:r>
      </w:hyperlink>
      <w:r w:rsidRPr="00E37FEB">
        <w:t>. Acesso em: 19 jul. 2026.</w:t>
      </w:r>
    </w:p>
    <w:p w14:paraId="1EBCD037" w14:textId="77777777" w:rsidR="000F1D9A" w:rsidRPr="00E37FEB" w:rsidRDefault="007224B6">
      <w:pPr>
        <w:pStyle w:val="Corpodetexto"/>
      </w:pPr>
      <w:r w:rsidRPr="00E37FEB">
        <w:t xml:space="preserve">CARVALHO, Francielle. </w:t>
      </w:r>
      <w:r w:rsidRPr="00E37FEB">
        <w:rPr>
          <w:i/>
        </w:rPr>
        <w:t>Brazilian coastal shipping: new prospects for growth with decarbonization</w:t>
      </w:r>
      <w:r w:rsidRPr="00E37FEB">
        <w:t xml:space="preserve">. Working Paper n. 2022-24. Washington, DC: International Council on Clean Transportation, 2022. Disponível em: </w:t>
      </w:r>
      <w:hyperlink r:id="rId63">
        <w:r w:rsidRPr="00E37FEB">
          <w:rPr>
            <w:rStyle w:val="Hyperlink"/>
          </w:rPr>
          <w:t>https://theicct.org/wp-content/uploads/2022/07/brazilmarinebrazil-coastal-shipping-new-prospects-growth-decarbonization-jul22.pdf</w:t>
        </w:r>
      </w:hyperlink>
      <w:r w:rsidRPr="00E37FEB">
        <w:t>. Acesso em: 19 jul. 2026.</w:t>
      </w:r>
    </w:p>
    <w:p w14:paraId="4C8C83A1" w14:textId="77777777" w:rsidR="000F1D9A" w:rsidRPr="00E37FEB" w:rsidRDefault="007224B6">
      <w:pPr>
        <w:pStyle w:val="Corpodetexto"/>
      </w:pPr>
      <w:r w:rsidRPr="00E37FEB">
        <w:t xml:space="preserve">COSTA, Gustavo Adolfo Alves da; MENDES, André Bergsten; GOMES DA CRUZ, José Pedro. Brazilian maritime containerized cabotage competitiveness assessment based on a multimodal super network. </w:t>
      </w:r>
      <w:r w:rsidRPr="00E37FEB">
        <w:rPr>
          <w:i/>
        </w:rPr>
        <w:t>Journal of Transport Geography</w:t>
      </w:r>
      <w:r w:rsidRPr="00E37FEB">
        <w:t xml:space="preserve">, v. 122, e104062, 2025. DOI: </w:t>
      </w:r>
      <w:hyperlink r:id="rId64">
        <w:r w:rsidRPr="00E37FEB">
          <w:rPr>
            <w:rStyle w:val="Hyperlink"/>
          </w:rPr>
          <w:t>https://doi.org/10.1016/j.jtrangeo.2024.104062</w:t>
        </w:r>
      </w:hyperlink>
      <w:r w:rsidRPr="00E37FEB">
        <w:t>.</w:t>
      </w:r>
    </w:p>
    <w:p w14:paraId="45A2936D" w14:textId="77777777" w:rsidR="000F1D9A" w:rsidRPr="00E37FEB" w:rsidRDefault="007224B6">
      <w:pPr>
        <w:pStyle w:val="Corpodetexto"/>
      </w:pPr>
      <w:r w:rsidRPr="00E37FEB">
        <w:t xml:space="preserve">COSTA, Gustavo Adolfo Alves da; MENDES, André Bergsten; SILVA, Vanina Macowski Durski. Decarbonization pathways in Brazilian maritime cabotage: a comparative analysis of very low sulfur fuel oil, marine diesel oil, and hydrogenated vegetable oil in carbon dioxide equivalent emissions. </w:t>
      </w:r>
      <w:r w:rsidRPr="00E37FEB">
        <w:rPr>
          <w:i/>
        </w:rPr>
        <w:t>Latin American Transport Studies</w:t>
      </w:r>
      <w:r w:rsidRPr="00E37FEB">
        <w:t xml:space="preserve">, v. 2, e100018, 2024. DOI: </w:t>
      </w:r>
      <w:hyperlink r:id="rId65">
        <w:r w:rsidRPr="00E37FEB">
          <w:rPr>
            <w:rStyle w:val="Hyperlink"/>
          </w:rPr>
          <w:t>https://doi.org/10.1016/j.latran.2024.100018</w:t>
        </w:r>
      </w:hyperlink>
      <w:r w:rsidRPr="00E37FEB">
        <w:t>.</w:t>
      </w:r>
    </w:p>
    <w:p w14:paraId="08FE9192" w14:textId="77777777" w:rsidR="000F1D9A" w:rsidRPr="00E37FEB" w:rsidRDefault="007224B6">
      <w:pPr>
        <w:pStyle w:val="Corpodetexto"/>
      </w:pPr>
      <w:r w:rsidRPr="00E37FEB">
        <w:t xml:space="preserve">DADOS RELATÓRIO 2. </w:t>
      </w:r>
      <w:r w:rsidRPr="00E37FEB">
        <w:rPr>
          <w:i/>
        </w:rPr>
        <w:t>Parâmetros de operações portuárias</w:t>
      </w:r>
      <w:r w:rsidRPr="00E37FEB">
        <w:t>. Planilha de dados não publicada utilizada na parametrização do modelo, 2024.</w:t>
      </w:r>
    </w:p>
    <w:p w14:paraId="292340C4" w14:textId="77777777" w:rsidR="000F1D9A" w:rsidRPr="00E37FEB" w:rsidRDefault="007224B6">
      <w:pPr>
        <w:pStyle w:val="Corpodetexto"/>
      </w:pPr>
      <w:r w:rsidRPr="00E37FEB">
        <w:t xml:space="preserve">EUROPEAN COMMISSION. </w:t>
      </w:r>
      <w:r w:rsidRPr="00E37FEB">
        <w:rPr>
          <w:i/>
        </w:rPr>
        <w:t>White Paper: roadmap to a single European transport area — towards a competitive and resource efficient transport system</w:t>
      </w:r>
      <w:r w:rsidRPr="00E37FEB">
        <w:t xml:space="preserve">. COM(2011) 144 final. Brussels, 2011. Disponível em: </w:t>
      </w:r>
      <w:hyperlink r:id="rId66">
        <w:r w:rsidRPr="00E37FEB">
          <w:rPr>
            <w:rStyle w:val="Hyperlink"/>
          </w:rPr>
          <w:t>https://eur-lex.europa.eu/legal-content/EN/TXT/?uri=CELEX:52011DC0144</w:t>
        </w:r>
      </w:hyperlink>
      <w:r w:rsidRPr="00E37FEB">
        <w:t>. Acesso em: 19 jul. 2026.</w:t>
      </w:r>
    </w:p>
    <w:p w14:paraId="487877EB" w14:textId="77777777" w:rsidR="000F1D9A" w:rsidRPr="00E37FEB" w:rsidRDefault="007224B6">
      <w:pPr>
        <w:pStyle w:val="Corpodetexto"/>
      </w:pPr>
      <w:r w:rsidRPr="00E37FEB">
        <w:t xml:space="preserve">EUROPEAN MARITIME SAFETY AGENCY (EMSA). </w:t>
      </w:r>
      <w:r w:rsidRPr="00E37FEB">
        <w:rPr>
          <w:i/>
        </w:rPr>
        <w:t>THETIS-MRV: Publication of Information</w:t>
      </w:r>
      <w:r w:rsidRPr="00E37FEB">
        <w:t xml:space="preserve">. 2026. Disponível em: </w:t>
      </w:r>
      <w:hyperlink r:id="rId67">
        <w:r w:rsidRPr="00E37FEB">
          <w:rPr>
            <w:rStyle w:val="Hyperlink"/>
          </w:rPr>
          <w:t>https://mrv.emsa.europa.eu/</w:t>
        </w:r>
      </w:hyperlink>
      <w:r w:rsidRPr="00E37FEB">
        <w:t>. Acesso em: 19 jul. 2026.</w:t>
      </w:r>
    </w:p>
    <w:p w14:paraId="509D4E9B" w14:textId="77777777" w:rsidR="000F1D9A" w:rsidRPr="00E37FEB" w:rsidRDefault="007224B6">
      <w:pPr>
        <w:pStyle w:val="Corpodetexto"/>
      </w:pPr>
      <w:r w:rsidRPr="00E37FEB">
        <w:lastRenderedPageBreak/>
        <w:t xml:space="preserve">GEÓGRAFOS. </w:t>
      </w:r>
      <w:r w:rsidRPr="00E37FEB">
        <w:rPr>
          <w:i/>
        </w:rPr>
        <w:t>Distâncias marítimas entre portos</w:t>
      </w:r>
      <w:r w:rsidRPr="00E37FEB">
        <w:t xml:space="preserve">. 2026. Disponível em: </w:t>
      </w:r>
      <w:hyperlink r:id="rId68">
        <w:r w:rsidRPr="00E37FEB">
          <w:rPr>
            <w:rStyle w:val="Hyperlink"/>
          </w:rPr>
          <w:t>https://www.geografos.com.br/distancias-maritimas-entre-portos</w:t>
        </w:r>
      </w:hyperlink>
      <w:r w:rsidRPr="00E37FEB">
        <w:t>. Acesso em: 19 jul. 2026.</w:t>
      </w:r>
    </w:p>
    <w:p w14:paraId="3DDD8127" w14:textId="77777777" w:rsidR="000F1D9A" w:rsidRPr="00E37FEB" w:rsidRDefault="007224B6">
      <w:pPr>
        <w:pStyle w:val="Corpodetexto"/>
      </w:pPr>
      <w:r w:rsidRPr="00E37FEB">
        <w:t xml:space="preserve">GOOGLE. </w:t>
      </w:r>
      <w:r w:rsidRPr="00E37FEB">
        <w:rPr>
          <w:i/>
        </w:rPr>
        <w:t>Google Maps</w:t>
      </w:r>
      <w:r w:rsidRPr="00E37FEB">
        <w:t xml:space="preserve">. 2026. Disponível em: </w:t>
      </w:r>
      <w:hyperlink r:id="rId69">
        <w:r w:rsidRPr="00E37FEB">
          <w:rPr>
            <w:rStyle w:val="Hyperlink"/>
          </w:rPr>
          <w:t>https://www.google.com/maps</w:t>
        </w:r>
      </w:hyperlink>
      <w:r w:rsidRPr="00E37FEB">
        <w:t>. Acesso em: 19 jul. 2026.</w:t>
      </w:r>
    </w:p>
    <w:p w14:paraId="75B07DC5" w14:textId="77777777" w:rsidR="000F1D9A" w:rsidRPr="00E37FEB" w:rsidRDefault="007224B6">
      <w:pPr>
        <w:pStyle w:val="Corpodetexto"/>
      </w:pPr>
      <w:r w:rsidRPr="00E37FEB">
        <w:t xml:space="preserve">INTERGOVERNMENTAL PANEL ON CLIMATE CHANGE (IPCC). </w:t>
      </w:r>
      <w:r w:rsidRPr="00E37FEB">
        <w:rPr>
          <w:i/>
        </w:rPr>
        <w:t>2006 IPCC Guidelines for National Greenhouse Gas Inventories: Volume 2 — Energy</w:t>
      </w:r>
      <w:r w:rsidRPr="00E37FEB">
        <w:t xml:space="preserve">. 2006. Disponível em: </w:t>
      </w:r>
      <w:hyperlink r:id="rId70">
        <w:r w:rsidRPr="00E37FEB">
          <w:rPr>
            <w:rStyle w:val="Hyperlink"/>
          </w:rPr>
          <w:t>https://www.ipcc-nggip.iges.or.jp/public/2006gl/vol2.html</w:t>
        </w:r>
      </w:hyperlink>
      <w:r w:rsidRPr="00E37FEB">
        <w:t>. Acesso em: 19 jul. 2026.</w:t>
      </w:r>
    </w:p>
    <w:p w14:paraId="0ED5EF26" w14:textId="77777777" w:rsidR="000F1D9A" w:rsidRPr="00E37FEB" w:rsidRDefault="007224B6">
      <w:pPr>
        <w:pStyle w:val="Corpodetexto"/>
      </w:pPr>
      <w:r w:rsidRPr="00E37FEB">
        <w:t xml:space="preserve">LOG-IN LOGÍSTICA. </w:t>
      </w:r>
      <w:r w:rsidRPr="00E37FEB">
        <w:rPr>
          <w:i/>
        </w:rPr>
        <w:t>Calculadora de CO2</w:t>
      </w:r>
      <w:r w:rsidRPr="00E37FEB">
        <w:t xml:space="preserve">. 2026. Disponível em: </w:t>
      </w:r>
      <w:hyperlink r:id="rId71">
        <w:r w:rsidRPr="00E37FEB">
          <w:rPr>
            <w:rStyle w:val="Hyperlink"/>
          </w:rPr>
          <w:t>https://www.loginlogistica.com.br/calculadora-co2/</w:t>
        </w:r>
      </w:hyperlink>
      <w:r w:rsidRPr="00E37FEB">
        <w:t>. Acesso em: 19 jul. 2026.</w:t>
      </w:r>
    </w:p>
    <w:p w14:paraId="40442C98" w14:textId="77777777" w:rsidR="000F1D9A" w:rsidRPr="00E37FEB" w:rsidRDefault="007224B6">
      <w:pPr>
        <w:pStyle w:val="Corpodetexto"/>
      </w:pPr>
      <w:r w:rsidRPr="00E37FEB">
        <w:t xml:space="preserve">NGUYEN, Phong-Nha; WOO, Su-Han; KIM, Hwayoung. Ship emissions in hotelling phase and loading/unloading in Southeast Asia ports. </w:t>
      </w:r>
      <w:r w:rsidRPr="00E37FEB">
        <w:rPr>
          <w:i/>
        </w:rPr>
        <w:t>Transportation Research Part D: Transport and Environment</w:t>
      </w:r>
      <w:r w:rsidRPr="00E37FEB">
        <w:t xml:space="preserve">, v. 105, e103223, 2022. DOI: </w:t>
      </w:r>
      <w:hyperlink r:id="rId72">
        <w:r w:rsidRPr="00E37FEB">
          <w:rPr>
            <w:rStyle w:val="Hyperlink"/>
          </w:rPr>
          <w:t>https://doi.org/10.1016/j.trd.2022.103223</w:t>
        </w:r>
      </w:hyperlink>
      <w:r w:rsidRPr="00E37FEB">
        <w:t>.</w:t>
      </w:r>
    </w:p>
    <w:p w14:paraId="126F8802" w14:textId="77777777" w:rsidR="000F1D9A" w:rsidRPr="00E37FEB" w:rsidRDefault="007224B6">
      <w:pPr>
        <w:pStyle w:val="Corpodetexto"/>
      </w:pPr>
      <w:r w:rsidRPr="00E37FEB">
        <w:t xml:space="preserve">PAPAIOANNOU, Vicky et al. Analysis of energy usage for RTG cranes. </w:t>
      </w:r>
      <w:r w:rsidRPr="00E37FEB">
        <w:rPr>
          <w:i/>
        </w:rPr>
        <w:t>Energy</w:t>
      </w:r>
      <w:r w:rsidRPr="00E37FEB">
        <w:t xml:space="preserve">, v. 125, p. 337–344, 2017. DOI: </w:t>
      </w:r>
      <w:hyperlink r:id="rId73">
        <w:r w:rsidRPr="00E37FEB">
          <w:rPr>
            <w:rStyle w:val="Hyperlink"/>
          </w:rPr>
          <w:t>https://doi.org/10.1016/j.energy.2017.02.122</w:t>
        </w:r>
      </w:hyperlink>
      <w:r w:rsidRPr="00E37FEB">
        <w:t>.</w:t>
      </w:r>
    </w:p>
    <w:p w14:paraId="5BC15E76" w14:textId="77777777" w:rsidR="000F1D9A" w:rsidRPr="00E37FEB" w:rsidRDefault="007224B6">
      <w:pPr>
        <w:pStyle w:val="Corpodetexto"/>
      </w:pPr>
      <w:r w:rsidRPr="00E37FEB">
        <w:t xml:space="preserve">RAZA, Zeeshan; SVANBERG, Martin; WIEGMANS, Bart. Modal shift from road haulage to short sea shipping: a systematic literature review and research directions. </w:t>
      </w:r>
      <w:r w:rsidRPr="00E37FEB">
        <w:rPr>
          <w:i/>
        </w:rPr>
        <w:t>Transport Reviews</w:t>
      </w:r>
      <w:r w:rsidRPr="00E37FEB">
        <w:t xml:space="preserve">, v. 40, n. 3, p. 382–406, 2020. DOI: </w:t>
      </w:r>
      <w:hyperlink r:id="rId74">
        <w:r w:rsidRPr="00E37FEB">
          <w:rPr>
            <w:rStyle w:val="Hyperlink"/>
          </w:rPr>
          <w:t>https://doi.org/10.1080/01441647.2020.1714789</w:t>
        </w:r>
      </w:hyperlink>
      <w:r w:rsidRPr="00E37FEB">
        <w:t>.</w:t>
      </w:r>
    </w:p>
    <w:p w14:paraId="2451B560" w14:textId="77777777" w:rsidR="000F1D9A" w:rsidRPr="00E37FEB" w:rsidRDefault="007224B6">
      <w:pPr>
        <w:pStyle w:val="Corpodetexto"/>
      </w:pPr>
      <w:r w:rsidRPr="00E37FEB">
        <w:t xml:space="preserve">ROUX, M.; LODATO, C.; LAURENT, A.; ASTRUP, T. F. A review of life cycle assessment studies of maritime fuels: critical insights, gaps, and recommendations. </w:t>
      </w:r>
      <w:r w:rsidRPr="00E37FEB">
        <w:rPr>
          <w:i/>
        </w:rPr>
        <w:t>Sustainable Production and Consumption</w:t>
      </w:r>
      <w:r w:rsidRPr="00E37FEB">
        <w:t xml:space="preserve">, v. 50, p. 69–86, 2024. DOI: </w:t>
      </w:r>
      <w:hyperlink r:id="rId75">
        <w:r w:rsidRPr="00E37FEB">
          <w:rPr>
            <w:rStyle w:val="Hyperlink"/>
          </w:rPr>
          <w:t>https://doi.org/10.1016/j.spc.2024.07.016</w:t>
        </w:r>
      </w:hyperlink>
      <w:r w:rsidRPr="00E37FEB">
        <w:t>.</w:t>
      </w:r>
    </w:p>
    <w:p w14:paraId="6DA7FBEA" w14:textId="77777777" w:rsidR="000F1D9A" w:rsidRPr="00E37FEB" w:rsidRDefault="007224B6">
      <w:pPr>
        <w:pStyle w:val="Corpodetexto"/>
      </w:pPr>
      <w:r w:rsidRPr="00E37FEB">
        <w:t xml:space="preserve">SHIP AND BUNKER. </w:t>
      </w:r>
      <w:r w:rsidRPr="00E37FEB">
        <w:rPr>
          <w:i/>
        </w:rPr>
        <w:t>Brazil bunker prices</w:t>
      </w:r>
      <w:r w:rsidRPr="00E37FEB">
        <w:t xml:space="preserve">. 2026. Disponível em: </w:t>
      </w:r>
      <w:hyperlink r:id="rId76">
        <w:r w:rsidRPr="00E37FEB">
          <w:rPr>
            <w:rStyle w:val="Hyperlink"/>
          </w:rPr>
          <w:t>https://shipandbunker.com/prices/br-brazil</w:t>
        </w:r>
      </w:hyperlink>
      <w:r w:rsidRPr="00E37FEB">
        <w:t>. Acesso em: 19 jul. 2026.</w:t>
      </w:r>
    </w:p>
    <w:p w14:paraId="60782A41" w14:textId="77777777" w:rsidR="000F1D9A" w:rsidRPr="00E37FEB" w:rsidRDefault="007224B6">
      <w:pPr>
        <w:pStyle w:val="Corpodetexto"/>
      </w:pPr>
      <w:r w:rsidRPr="00E37FEB">
        <w:t xml:space="preserve">SINDICATO DOS BANCÁRIOS DE SÃO PAULO, OSASCO E REGIÃO. </w:t>
      </w:r>
      <w:r w:rsidRPr="00E37FEB">
        <w:rPr>
          <w:i/>
        </w:rPr>
        <w:t>Brasil é dependente do transporte rodoviário de cargas</w:t>
      </w:r>
      <w:r w:rsidRPr="00E37FEB">
        <w:t xml:space="preserve">. 2018. Disponível em: </w:t>
      </w:r>
      <w:hyperlink r:id="rId77">
        <w:r w:rsidRPr="00E37FEB">
          <w:rPr>
            <w:rStyle w:val="Hyperlink"/>
          </w:rPr>
          <w:t>https://spbancarios.com.br/05/2018/brasil-e-dependente-do-transporte-rodoviario-de-cargas</w:t>
        </w:r>
      </w:hyperlink>
      <w:r w:rsidRPr="00E37FEB">
        <w:t>. Acesso em: 19 jul. 2026.</w:t>
      </w:r>
    </w:p>
    <w:p w14:paraId="7CF9EF54" w14:textId="77777777" w:rsidR="000F1D9A" w:rsidRPr="00E37FEB" w:rsidRDefault="007224B6">
      <w:pPr>
        <w:pStyle w:val="Corpodetexto"/>
      </w:pPr>
      <w:r w:rsidRPr="00E37FEB">
        <w:t xml:space="preserve">SVINDLAND, Morten; HJELLE, Harald M. The comparative CO2 efficiency of short sea container transport. </w:t>
      </w:r>
      <w:r w:rsidRPr="00E37FEB">
        <w:rPr>
          <w:i/>
        </w:rPr>
        <w:t>Transportation Research Part D: Transport and Environment</w:t>
      </w:r>
      <w:r w:rsidRPr="00E37FEB">
        <w:t xml:space="preserve">, v. 77, p. 11–20, 2019. DOI: </w:t>
      </w:r>
      <w:hyperlink r:id="rId78">
        <w:r w:rsidRPr="00E37FEB">
          <w:rPr>
            <w:rStyle w:val="Hyperlink"/>
          </w:rPr>
          <w:t>https://doi.org/10.1016/j.trd.2019.08.025</w:t>
        </w:r>
      </w:hyperlink>
      <w:r w:rsidRPr="00E37FEB">
        <w:t>.</w:t>
      </w:r>
    </w:p>
    <w:sectPr w:rsidR="000F1D9A" w:rsidRPr="00E37FEB" w:rsidSect="00E37FEB">
      <w:headerReference w:type="even" r:id="rId79"/>
      <w:headerReference w:type="default" r:id="rId80"/>
      <w:footerReference w:type="even" r:id="rId81"/>
      <w:footerReference w:type="default" r:id="rId82"/>
      <w:headerReference w:type="first" r:id="rId83"/>
      <w:footerReference w:type="first" r:id="rId84"/>
      <w:pgSz w:w="11907" w:h="16839"/>
      <w:pgMar w:top="1417" w:right="1417" w:bottom="1417" w:left="1417" w:header="709" w:footer="709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AC826" w14:textId="77777777" w:rsidR="007224B6" w:rsidRDefault="007224B6">
      <w:pPr>
        <w:spacing w:after="0" w:line="240" w:lineRule="auto"/>
      </w:pPr>
      <w:r>
        <w:separator/>
      </w:r>
    </w:p>
  </w:endnote>
  <w:endnote w:type="continuationSeparator" w:id="0">
    <w:p w14:paraId="34F8B766" w14:textId="77777777" w:rsidR="007224B6" w:rsidRDefault="00722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E0B48" w14:textId="77777777" w:rsidR="00E37FEB" w:rsidRDefault="00E37FE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9EDE5" w14:textId="38E62B54" w:rsidR="00E37FEB" w:rsidRPr="00E37FEB" w:rsidRDefault="00E37FEB" w:rsidP="00E37FEB">
    <w:pPr>
      <w:pStyle w:val="Rodap"/>
      <w:jc w:val="center"/>
      <w:rPr>
        <w:color w:val="56606A"/>
        <w:sz w:val="18"/>
      </w:rPr>
    </w:pPr>
    <w:r>
      <w:rPr>
        <w:color w:val="56606A"/>
        <w:sz w:val="18"/>
      </w:rPr>
      <w:fldChar w:fldCharType="begin"/>
    </w:r>
    <w:r>
      <w:rPr>
        <w:color w:val="56606A"/>
        <w:sz w:val="18"/>
      </w:rPr>
      <w:instrText xml:space="preserve"> PAGE  \* MERGEFORMAT </w:instrText>
    </w:r>
    <w:r>
      <w:rPr>
        <w:color w:val="56606A"/>
        <w:sz w:val="18"/>
      </w:rPr>
      <w:fldChar w:fldCharType="separate"/>
    </w:r>
    <w:r>
      <w:rPr>
        <w:noProof/>
        <w:color w:val="56606A"/>
        <w:sz w:val="18"/>
      </w:rPr>
      <w:t>2</w:t>
    </w:r>
    <w:r>
      <w:rPr>
        <w:color w:val="56606A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45BF0" w14:textId="77777777" w:rsidR="00E37FEB" w:rsidRDefault="00E37FE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255B7" w14:textId="77777777" w:rsidR="007224B6" w:rsidRDefault="007224B6">
      <w:r>
        <w:separator/>
      </w:r>
    </w:p>
  </w:footnote>
  <w:footnote w:type="continuationSeparator" w:id="0">
    <w:p w14:paraId="7AB1DEB7" w14:textId="77777777" w:rsidR="007224B6" w:rsidRDefault="00722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57811" w14:textId="77777777" w:rsidR="00E37FEB" w:rsidRDefault="00E37FE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0222E" w14:textId="77777777" w:rsidR="00E37FEB" w:rsidRDefault="00E37FE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6469B" w14:textId="77777777" w:rsidR="00E37FEB" w:rsidRDefault="00E37FE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B18E163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4686EBA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99BC2AC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845240713">
    <w:abstractNumId w:val="2"/>
  </w:num>
  <w:num w:numId="2" w16cid:durableId="421296687">
    <w:abstractNumId w:val="2"/>
  </w:num>
  <w:num w:numId="3" w16cid:durableId="571499881">
    <w:abstractNumId w:val="0"/>
  </w:num>
  <w:num w:numId="4" w16cid:durableId="824056697">
    <w:abstractNumId w:val="0"/>
  </w:num>
  <w:num w:numId="5" w16cid:durableId="607392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F1D9A"/>
    <w:rsid w:val="002E5314"/>
    <w:rsid w:val="004E29B3"/>
    <w:rsid w:val="00590D07"/>
    <w:rsid w:val="007224B6"/>
    <w:rsid w:val="00784D58"/>
    <w:rsid w:val="008D6863"/>
    <w:rsid w:val="00B86B75"/>
    <w:rsid w:val="00BC48D5"/>
    <w:rsid w:val="00C36279"/>
    <w:rsid w:val="00E315A3"/>
    <w:rsid w:val="00E37FE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779D37"/>
  <w15:docId w15:val="{A75295FB-4B72-4BE4-BD72-AE0DFFDD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320" w:lineRule="auto"/>
      <w:jc w:val="both"/>
    </w:pPr>
    <w:rPr>
      <w:rFonts w:ascii="Calibri" w:hAnsi="Calibri" w:cs="Calibri"/>
      <w:color w:val="142131"/>
      <w:sz w:val="22"/>
    </w:rPr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360" w:after="200"/>
      <w:jc w:val="left"/>
      <w:outlineLvl w:val="0"/>
    </w:pPr>
    <w:rPr>
      <w:rFonts w:ascii="Calibri Light" w:eastAsiaTheme="majorEastAsia" w:hAnsi="Calibri Light" w:cstheme="majorBidi"/>
      <w:b/>
      <w:bCs/>
      <w:color w:val="204470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40" w:after="120"/>
      <w:jc w:val="left"/>
      <w:outlineLvl w:val="1"/>
    </w:pPr>
    <w:rPr>
      <w:rFonts w:eastAsiaTheme="majorEastAsia"/>
      <w:b/>
      <w:bCs/>
      <w:color w:val="204470"/>
      <w:sz w:val="26"/>
      <w:szCs w:val="32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160" w:after="80"/>
      <w:jc w:val="left"/>
      <w:outlineLvl w:val="2"/>
    </w:pPr>
    <w:rPr>
      <w:rFonts w:eastAsiaTheme="majorEastAsia"/>
      <w:b/>
      <w:bCs/>
      <w:color w:val="1F4D78"/>
      <w:sz w:val="24"/>
      <w:szCs w:val="28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160" w:after="80"/>
      <w:jc w:val="left"/>
      <w:outlineLvl w:val="3"/>
    </w:pPr>
    <w:rPr>
      <w:rFonts w:eastAsiaTheme="majorEastAsia"/>
      <w:b/>
      <w:bCs/>
      <w:color w:val="1F4D78"/>
      <w:sz w:val="23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120" w:after="60"/>
      <w:jc w:val="left"/>
      <w:outlineLvl w:val="4"/>
    </w:pPr>
    <w:rPr>
      <w:rFonts w:eastAsiaTheme="majorEastAsia"/>
      <w:b/>
      <w:iCs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120" w:after="60"/>
      <w:jc w:val="left"/>
      <w:outlineLvl w:val="5"/>
    </w:pPr>
    <w:rPr>
      <w:rFonts w:eastAsiaTheme="majorEastAsia"/>
      <w:b/>
      <w:i/>
      <w:sz w:val="2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qFormat/>
    <w:pPr>
      <w:keepNext/>
      <w:keepLines/>
      <w:spacing w:before="3000" w:after="400"/>
      <w:jc w:val="center"/>
    </w:pPr>
    <w:rPr>
      <w:rFonts w:ascii="Calibri Light" w:eastAsiaTheme="majorEastAsia" w:hAnsi="Calibri Light" w:cstheme="majorBidi"/>
      <w:b/>
      <w:bCs/>
      <w:color w:val="204470"/>
      <w:sz w:val="50"/>
      <w:szCs w:val="36"/>
    </w:rPr>
  </w:style>
  <w:style w:type="paragraph" w:styleId="Subttulo">
    <w:name w:val="Subtitle"/>
    <w:basedOn w:val="Ttulo"/>
    <w:next w:val="Corpodetexto"/>
    <w:qFormat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spacing w:after="0"/>
      <w:jc w:val="center"/>
    </w:pPr>
    <w:rPr>
      <w:rFonts w:ascii="Calibri" w:hAnsi="Calibri" w:cs="Calibri"/>
      <w:color w:val="56606A"/>
    </w:r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sid w:val="00E37FEB"/>
    <w:rPr>
      <w:rFonts w:ascii="Consolas" w:hAnsi="Consolas" w:cs="Calibri"/>
      <w:color w:val="142131"/>
      <w:sz w:val="17"/>
      <w:shd w:val="clear" w:color="auto" w:fill="F7F9FB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E37FEB"/>
    <w:pPr>
      <w:shd w:val="clear" w:color="auto" w:fill="F7F9FB"/>
      <w:wordWrap w:val="0"/>
      <w:spacing w:before="80" w:after="80" w:line="240" w:lineRule="auto"/>
      <w:jc w:val="left"/>
    </w:pPr>
    <w:rPr>
      <w:rFonts w:ascii="Consolas" w:hAnsi="Consolas"/>
      <w:sz w:val="17"/>
    </w:rPr>
  </w:style>
  <w:style w:type="character" w:customStyle="1" w:styleId="KeywordTok">
    <w:name w:val="KeywordTok"/>
    <w:basedOn w:val="VerbatimChar"/>
    <w:rPr>
      <w:rFonts w:ascii="Consolas" w:hAnsi="Consolas" w:cs="Calibri"/>
      <w:b/>
      <w:color w:val="007020"/>
      <w:sz w:val="17"/>
      <w:shd w:val="clear" w:color="auto" w:fill="F7F9FB"/>
    </w:rPr>
  </w:style>
  <w:style w:type="character" w:customStyle="1" w:styleId="DataTypeTok">
    <w:name w:val="DataTypeTok"/>
    <w:basedOn w:val="VerbatimChar"/>
    <w:rPr>
      <w:rFonts w:ascii="Consolas" w:hAnsi="Consolas" w:cs="Calibri"/>
      <w:color w:val="902000"/>
      <w:sz w:val="17"/>
      <w:shd w:val="clear" w:color="auto" w:fill="F7F9FB"/>
    </w:rPr>
  </w:style>
  <w:style w:type="character" w:customStyle="1" w:styleId="DecValTok">
    <w:name w:val="DecValTok"/>
    <w:basedOn w:val="VerbatimChar"/>
    <w:rPr>
      <w:rFonts w:ascii="Consolas" w:hAnsi="Consolas" w:cs="Calibri"/>
      <w:color w:val="40A070"/>
      <w:sz w:val="17"/>
      <w:shd w:val="clear" w:color="auto" w:fill="F7F9FB"/>
    </w:rPr>
  </w:style>
  <w:style w:type="character" w:customStyle="1" w:styleId="BaseNTok">
    <w:name w:val="BaseNTok"/>
    <w:basedOn w:val="VerbatimChar"/>
    <w:rPr>
      <w:rFonts w:ascii="Consolas" w:hAnsi="Consolas" w:cs="Calibri"/>
      <w:color w:val="40A070"/>
      <w:sz w:val="17"/>
      <w:shd w:val="clear" w:color="auto" w:fill="F7F9FB"/>
    </w:rPr>
  </w:style>
  <w:style w:type="character" w:customStyle="1" w:styleId="FloatTok">
    <w:name w:val="FloatTok"/>
    <w:basedOn w:val="VerbatimChar"/>
    <w:rPr>
      <w:rFonts w:ascii="Consolas" w:hAnsi="Consolas" w:cs="Calibri"/>
      <w:color w:val="40A070"/>
      <w:sz w:val="17"/>
      <w:shd w:val="clear" w:color="auto" w:fill="F7F9FB"/>
    </w:rPr>
  </w:style>
  <w:style w:type="character" w:customStyle="1" w:styleId="ConstantTok">
    <w:name w:val="ConstantTok"/>
    <w:basedOn w:val="VerbatimChar"/>
    <w:rPr>
      <w:rFonts w:ascii="Consolas" w:hAnsi="Consolas" w:cs="Calibri"/>
      <w:color w:val="880000"/>
      <w:sz w:val="17"/>
      <w:shd w:val="clear" w:color="auto" w:fill="F7F9FB"/>
    </w:rPr>
  </w:style>
  <w:style w:type="character" w:customStyle="1" w:styleId="CharTok">
    <w:name w:val="CharTok"/>
    <w:basedOn w:val="VerbatimChar"/>
    <w:rPr>
      <w:rFonts w:ascii="Consolas" w:hAnsi="Consolas" w:cs="Calibri"/>
      <w:color w:val="4070A0"/>
      <w:sz w:val="17"/>
      <w:shd w:val="clear" w:color="auto" w:fill="F7F9FB"/>
    </w:rPr>
  </w:style>
  <w:style w:type="character" w:customStyle="1" w:styleId="SpecialCharTok">
    <w:name w:val="SpecialCharTok"/>
    <w:basedOn w:val="VerbatimChar"/>
    <w:rPr>
      <w:rFonts w:ascii="Consolas" w:hAnsi="Consolas" w:cs="Calibri"/>
      <w:color w:val="4070A0"/>
      <w:sz w:val="17"/>
      <w:shd w:val="clear" w:color="auto" w:fill="F7F9FB"/>
    </w:rPr>
  </w:style>
  <w:style w:type="character" w:customStyle="1" w:styleId="StringTok">
    <w:name w:val="StringTok"/>
    <w:basedOn w:val="VerbatimChar"/>
    <w:rPr>
      <w:rFonts w:ascii="Consolas" w:hAnsi="Consolas" w:cs="Calibri"/>
      <w:color w:val="4070A0"/>
      <w:sz w:val="17"/>
      <w:shd w:val="clear" w:color="auto" w:fill="F7F9FB"/>
    </w:rPr>
  </w:style>
  <w:style w:type="character" w:customStyle="1" w:styleId="VerbatimStringTok">
    <w:name w:val="VerbatimStringTok"/>
    <w:basedOn w:val="VerbatimChar"/>
    <w:rPr>
      <w:rFonts w:ascii="Consolas" w:hAnsi="Consolas" w:cs="Calibri"/>
      <w:color w:val="4070A0"/>
      <w:sz w:val="17"/>
      <w:shd w:val="clear" w:color="auto" w:fill="F7F9FB"/>
    </w:rPr>
  </w:style>
  <w:style w:type="character" w:customStyle="1" w:styleId="SpecialStringTok">
    <w:name w:val="SpecialStringTok"/>
    <w:basedOn w:val="VerbatimChar"/>
    <w:rPr>
      <w:rFonts w:ascii="Consolas" w:hAnsi="Consolas" w:cs="Calibri"/>
      <w:color w:val="BB6688"/>
      <w:sz w:val="17"/>
      <w:shd w:val="clear" w:color="auto" w:fill="F7F9FB"/>
    </w:rPr>
  </w:style>
  <w:style w:type="character" w:customStyle="1" w:styleId="ImportTok">
    <w:name w:val="ImportTok"/>
    <w:basedOn w:val="VerbatimChar"/>
    <w:rPr>
      <w:rFonts w:ascii="Consolas" w:hAnsi="Consolas" w:cs="Calibri"/>
      <w:color w:val="142131"/>
      <w:sz w:val="17"/>
      <w:shd w:val="clear" w:color="auto" w:fill="F7F9FB"/>
    </w:rPr>
  </w:style>
  <w:style w:type="character" w:customStyle="1" w:styleId="CommentTok">
    <w:name w:val="CommentTok"/>
    <w:basedOn w:val="VerbatimChar"/>
    <w:rPr>
      <w:rFonts w:ascii="Consolas" w:hAnsi="Consolas" w:cs="Calibri"/>
      <w:i/>
      <w:color w:val="60A0B0"/>
      <w:sz w:val="17"/>
      <w:shd w:val="clear" w:color="auto" w:fill="F7F9FB"/>
    </w:rPr>
  </w:style>
  <w:style w:type="character" w:customStyle="1" w:styleId="DocumentationTok">
    <w:name w:val="DocumentationTok"/>
    <w:basedOn w:val="VerbatimChar"/>
    <w:rPr>
      <w:rFonts w:ascii="Consolas" w:hAnsi="Consolas" w:cs="Calibri"/>
      <w:i/>
      <w:color w:val="BA2121"/>
      <w:sz w:val="17"/>
      <w:shd w:val="clear" w:color="auto" w:fill="F7F9FB"/>
    </w:rPr>
  </w:style>
  <w:style w:type="character" w:customStyle="1" w:styleId="AnnotationTok">
    <w:name w:val="AnnotationTok"/>
    <w:basedOn w:val="VerbatimChar"/>
    <w:rPr>
      <w:rFonts w:ascii="Consolas" w:hAnsi="Consolas" w:cs="Calibri"/>
      <w:b/>
      <w:i/>
      <w:color w:val="60A0B0"/>
      <w:sz w:val="17"/>
      <w:shd w:val="clear" w:color="auto" w:fill="F7F9FB"/>
    </w:rPr>
  </w:style>
  <w:style w:type="character" w:customStyle="1" w:styleId="CommentVarTok">
    <w:name w:val="CommentVarTok"/>
    <w:basedOn w:val="VerbatimChar"/>
    <w:rPr>
      <w:rFonts w:ascii="Consolas" w:hAnsi="Consolas" w:cs="Calibri"/>
      <w:b/>
      <w:i/>
      <w:color w:val="60A0B0"/>
      <w:sz w:val="17"/>
      <w:shd w:val="clear" w:color="auto" w:fill="F7F9FB"/>
    </w:rPr>
  </w:style>
  <w:style w:type="character" w:customStyle="1" w:styleId="OtherTok">
    <w:name w:val="OtherTok"/>
    <w:basedOn w:val="VerbatimChar"/>
    <w:rPr>
      <w:rFonts w:ascii="Consolas" w:hAnsi="Consolas" w:cs="Calibri"/>
      <w:color w:val="007020"/>
      <w:sz w:val="17"/>
      <w:shd w:val="clear" w:color="auto" w:fill="F7F9FB"/>
    </w:rPr>
  </w:style>
  <w:style w:type="character" w:customStyle="1" w:styleId="FunctionTok">
    <w:name w:val="FunctionTok"/>
    <w:basedOn w:val="VerbatimChar"/>
    <w:rPr>
      <w:rFonts w:ascii="Consolas" w:hAnsi="Consolas" w:cs="Calibri"/>
      <w:color w:val="06287E"/>
      <w:sz w:val="17"/>
      <w:shd w:val="clear" w:color="auto" w:fill="F7F9FB"/>
    </w:rPr>
  </w:style>
  <w:style w:type="character" w:customStyle="1" w:styleId="VariableTok">
    <w:name w:val="VariableTok"/>
    <w:basedOn w:val="VerbatimChar"/>
    <w:rPr>
      <w:rFonts w:ascii="Consolas" w:hAnsi="Consolas" w:cs="Calibri"/>
      <w:color w:val="19177C"/>
      <w:sz w:val="17"/>
      <w:shd w:val="clear" w:color="auto" w:fill="F7F9FB"/>
    </w:rPr>
  </w:style>
  <w:style w:type="character" w:customStyle="1" w:styleId="ControlFlowTok">
    <w:name w:val="ControlFlowTok"/>
    <w:basedOn w:val="VerbatimChar"/>
    <w:rPr>
      <w:rFonts w:ascii="Consolas" w:hAnsi="Consolas" w:cs="Calibri"/>
      <w:b/>
      <w:color w:val="007020"/>
      <w:sz w:val="17"/>
      <w:shd w:val="clear" w:color="auto" w:fill="F7F9FB"/>
    </w:rPr>
  </w:style>
  <w:style w:type="character" w:customStyle="1" w:styleId="OperatorTok">
    <w:name w:val="OperatorTok"/>
    <w:basedOn w:val="VerbatimChar"/>
    <w:rPr>
      <w:rFonts w:ascii="Consolas" w:hAnsi="Consolas" w:cs="Calibri"/>
      <w:color w:val="666666"/>
      <w:sz w:val="17"/>
      <w:shd w:val="clear" w:color="auto" w:fill="F7F9FB"/>
    </w:rPr>
  </w:style>
  <w:style w:type="character" w:customStyle="1" w:styleId="BuiltInTok">
    <w:name w:val="BuiltInTok"/>
    <w:basedOn w:val="VerbatimChar"/>
    <w:rPr>
      <w:rFonts w:ascii="Consolas" w:hAnsi="Consolas" w:cs="Calibri"/>
      <w:color w:val="142131"/>
      <w:sz w:val="17"/>
      <w:shd w:val="clear" w:color="auto" w:fill="F7F9FB"/>
    </w:rPr>
  </w:style>
  <w:style w:type="character" w:customStyle="1" w:styleId="ExtensionTok">
    <w:name w:val="ExtensionTok"/>
    <w:basedOn w:val="VerbatimChar"/>
    <w:rPr>
      <w:rFonts w:ascii="Consolas" w:hAnsi="Consolas" w:cs="Calibri"/>
      <w:color w:val="142131"/>
      <w:sz w:val="17"/>
      <w:shd w:val="clear" w:color="auto" w:fill="F7F9FB"/>
    </w:rPr>
  </w:style>
  <w:style w:type="character" w:customStyle="1" w:styleId="PreprocessorTok">
    <w:name w:val="PreprocessorTok"/>
    <w:basedOn w:val="VerbatimChar"/>
    <w:rPr>
      <w:rFonts w:ascii="Consolas" w:hAnsi="Consolas" w:cs="Calibri"/>
      <w:color w:val="BC7A00"/>
      <w:sz w:val="17"/>
      <w:shd w:val="clear" w:color="auto" w:fill="F7F9FB"/>
    </w:rPr>
  </w:style>
  <w:style w:type="character" w:customStyle="1" w:styleId="AttributeTok">
    <w:name w:val="AttributeTok"/>
    <w:basedOn w:val="VerbatimChar"/>
    <w:rPr>
      <w:rFonts w:ascii="Consolas" w:hAnsi="Consolas" w:cs="Calibri"/>
      <w:color w:val="7D9029"/>
      <w:sz w:val="17"/>
      <w:shd w:val="clear" w:color="auto" w:fill="F7F9FB"/>
    </w:rPr>
  </w:style>
  <w:style w:type="character" w:customStyle="1" w:styleId="RegionMarkerTok">
    <w:name w:val="RegionMarkerTok"/>
    <w:basedOn w:val="VerbatimChar"/>
    <w:rPr>
      <w:rFonts w:ascii="Consolas" w:hAnsi="Consolas" w:cs="Calibri"/>
      <w:color w:val="142131"/>
      <w:sz w:val="17"/>
      <w:shd w:val="clear" w:color="auto" w:fill="F7F9FB"/>
    </w:rPr>
  </w:style>
  <w:style w:type="character" w:customStyle="1" w:styleId="InformationTok">
    <w:name w:val="InformationTok"/>
    <w:basedOn w:val="VerbatimChar"/>
    <w:rPr>
      <w:rFonts w:ascii="Consolas" w:hAnsi="Consolas" w:cs="Calibri"/>
      <w:b/>
      <w:i/>
      <w:color w:val="60A0B0"/>
      <w:sz w:val="17"/>
      <w:shd w:val="clear" w:color="auto" w:fill="F7F9FB"/>
    </w:rPr>
  </w:style>
  <w:style w:type="character" w:customStyle="1" w:styleId="WarningTok">
    <w:name w:val="WarningTok"/>
    <w:basedOn w:val="VerbatimChar"/>
    <w:rPr>
      <w:rFonts w:ascii="Consolas" w:hAnsi="Consolas" w:cs="Calibri"/>
      <w:b/>
      <w:i/>
      <w:color w:val="60A0B0"/>
      <w:sz w:val="17"/>
      <w:shd w:val="clear" w:color="auto" w:fill="F7F9FB"/>
    </w:rPr>
  </w:style>
  <w:style w:type="character" w:customStyle="1" w:styleId="AlertTok">
    <w:name w:val="AlertTok"/>
    <w:basedOn w:val="VerbatimChar"/>
    <w:rPr>
      <w:rFonts w:ascii="Consolas" w:hAnsi="Consolas" w:cs="Calibri"/>
      <w:b/>
      <w:color w:val="FF0000"/>
      <w:sz w:val="17"/>
      <w:shd w:val="clear" w:color="auto" w:fill="F7F9FB"/>
    </w:rPr>
  </w:style>
  <w:style w:type="character" w:customStyle="1" w:styleId="ErrorTok">
    <w:name w:val="ErrorTok"/>
    <w:basedOn w:val="VerbatimChar"/>
    <w:rPr>
      <w:rFonts w:ascii="Consolas" w:hAnsi="Consolas" w:cs="Calibri"/>
      <w:b/>
      <w:color w:val="FF0000"/>
      <w:sz w:val="17"/>
      <w:shd w:val="clear" w:color="auto" w:fill="F7F9FB"/>
    </w:rPr>
  </w:style>
  <w:style w:type="character" w:customStyle="1" w:styleId="NormalTok">
    <w:name w:val="NormalTok"/>
    <w:basedOn w:val="VerbatimChar"/>
    <w:rPr>
      <w:rFonts w:ascii="Consolas" w:hAnsi="Consolas" w:cs="Calibri"/>
      <w:color w:val="142131"/>
      <w:sz w:val="17"/>
      <w:shd w:val="clear" w:color="auto" w:fill="F7F9FB"/>
    </w:rPr>
  </w:style>
  <w:style w:type="paragraph" w:styleId="Sumrio1">
    <w:name w:val="toc 1"/>
    <w:basedOn w:val="Normal"/>
    <w:next w:val="Normal"/>
    <w:autoRedefine/>
    <w:uiPriority w:val="39"/>
    <w:rsid w:val="00E37FEB"/>
    <w:pPr>
      <w:spacing w:after="100"/>
    </w:pPr>
  </w:style>
  <w:style w:type="paragraph" w:styleId="Sumrio2">
    <w:name w:val="toc 2"/>
    <w:basedOn w:val="Normal"/>
    <w:next w:val="Normal"/>
    <w:autoRedefine/>
    <w:uiPriority w:val="39"/>
    <w:rsid w:val="00E37FEB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rsid w:val="00E37FEB"/>
    <w:pPr>
      <w:spacing w:after="100"/>
      <w:ind w:left="480"/>
    </w:pPr>
  </w:style>
  <w:style w:type="paragraph" w:styleId="Sumrio4">
    <w:name w:val="toc 4"/>
    <w:basedOn w:val="Normal"/>
    <w:next w:val="Normal"/>
    <w:autoRedefine/>
    <w:uiPriority w:val="39"/>
    <w:rsid w:val="00E37FEB"/>
    <w:pPr>
      <w:spacing w:after="100"/>
      <w:ind w:left="720"/>
    </w:pPr>
  </w:style>
  <w:style w:type="paragraph" w:customStyle="1" w:styleId="LegendadeFiguraCL">
    <w:name w:val="Legenda de Figura CL"/>
    <w:basedOn w:val="Normal"/>
    <w:link w:val="LegendadeFiguraCLChar"/>
    <w:rsid w:val="00E37FEB"/>
    <w:pPr>
      <w:keepLines/>
      <w:spacing w:before="40" w:after="200" w:line="240" w:lineRule="auto"/>
      <w:jc w:val="center"/>
    </w:pPr>
    <w:rPr>
      <w:rFonts w:eastAsiaTheme="majorEastAsia"/>
      <w:i/>
      <w:color w:val="56606A"/>
      <w:sz w:val="19"/>
      <w:szCs w:val="36"/>
    </w:rPr>
  </w:style>
  <w:style w:type="character" w:customStyle="1" w:styleId="TtuloChar">
    <w:name w:val="Título Char"/>
    <w:basedOn w:val="Fontepargpadro"/>
    <w:link w:val="Ttulo"/>
    <w:rsid w:val="00E37FEB"/>
    <w:rPr>
      <w:rFonts w:ascii="Calibri Light" w:eastAsiaTheme="majorEastAsia" w:hAnsi="Calibri Light" w:cstheme="majorBidi"/>
      <w:b/>
      <w:bCs/>
      <w:color w:val="204470"/>
      <w:sz w:val="50"/>
      <w:szCs w:val="36"/>
    </w:rPr>
  </w:style>
  <w:style w:type="character" w:customStyle="1" w:styleId="LegendadeFiguraCLChar">
    <w:name w:val="Legenda de Figura CL Char"/>
    <w:basedOn w:val="TtuloChar"/>
    <w:link w:val="LegendadeFiguraCL"/>
    <w:rsid w:val="00E37FEB"/>
    <w:rPr>
      <w:rFonts w:ascii="Calibri" w:eastAsiaTheme="majorEastAsia" w:hAnsi="Calibri" w:cs="Calibri"/>
      <w:b w:val="0"/>
      <w:bCs w:val="0"/>
      <w:i/>
      <w:color w:val="56606A"/>
      <w:sz w:val="19"/>
      <w:szCs w:val="36"/>
    </w:rPr>
  </w:style>
  <w:style w:type="paragraph" w:customStyle="1" w:styleId="TtulodeTabelaCL">
    <w:name w:val="Título de Tabela CL"/>
    <w:basedOn w:val="Normal"/>
    <w:link w:val="TtulodeTabelaCLChar"/>
    <w:rsid w:val="00E37FEB"/>
    <w:pPr>
      <w:keepNext/>
      <w:spacing w:before="160" w:after="80" w:line="240" w:lineRule="auto"/>
      <w:jc w:val="left"/>
      <w:keepLines/>
    </w:pPr>
    <w:rPr>
      <w:rFonts w:eastAsiaTheme="majorEastAsia"/>
      <w:b/>
      <w:sz w:val="19"/>
      <w:szCs w:val="36"/>
    </w:rPr>
  </w:style>
  <w:style w:type="character" w:customStyle="1" w:styleId="TtulodeTabelaCLChar">
    <w:name w:val="Título de Tabela CL Char"/>
    <w:basedOn w:val="TtuloChar"/>
    <w:link w:val="TtulodeTabelaCL"/>
    <w:rsid w:val="00E37FEB"/>
    <w:rPr>
      <w:rFonts w:ascii="Calibri" w:eastAsiaTheme="majorEastAsia" w:hAnsi="Calibri" w:cs="Calibri"/>
      <w:b/>
      <w:bCs w:val="0"/>
      <w:color w:val="142131"/>
      <w:sz w:val="19"/>
      <w:szCs w:val="36"/>
    </w:rPr>
  </w:style>
  <w:style w:type="paragraph" w:customStyle="1" w:styleId="FontedeTabelaCL">
    <w:name w:val="Fonte de Tabela CL"/>
    <w:basedOn w:val="Normal"/>
    <w:link w:val="FontedeTabelaCLChar"/>
    <w:rsid w:val="00E37FEB"/>
    <w:pPr>
      <w:spacing w:before="60" w:after="180" w:line="240" w:lineRule="auto"/>
      <w:jc w:val="left"/>
    </w:pPr>
    <w:rPr>
      <w:rFonts w:eastAsiaTheme="majorEastAsia"/>
      <w:i/>
      <w:color w:val="56606A"/>
      <w:sz w:val="18"/>
      <w:szCs w:val="36"/>
    </w:rPr>
  </w:style>
  <w:style w:type="character" w:customStyle="1" w:styleId="FontedeTabelaCLChar">
    <w:name w:val="Fonte de Tabela CL Char"/>
    <w:basedOn w:val="TtuloChar"/>
    <w:link w:val="FontedeTabelaCL"/>
    <w:rsid w:val="00E37FEB"/>
    <w:rPr>
      <w:rFonts w:ascii="Calibri" w:eastAsiaTheme="majorEastAsia" w:hAnsi="Calibri" w:cs="Calibri"/>
      <w:b w:val="0"/>
      <w:bCs w:val="0"/>
      <w:i/>
      <w:color w:val="56606A"/>
      <w:sz w:val="18"/>
      <w:szCs w:val="36"/>
    </w:rPr>
  </w:style>
  <w:style w:type="paragraph" w:styleId="Cabealho">
    <w:name w:val="header"/>
    <w:basedOn w:val="Normal"/>
    <w:link w:val="CabealhoChar"/>
    <w:rsid w:val="00E37F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E37FEB"/>
    <w:rPr>
      <w:rFonts w:ascii="Calibri" w:hAnsi="Calibri" w:cs="Calibri"/>
      <w:color w:val="142131"/>
      <w:sz w:val="22"/>
    </w:rPr>
  </w:style>
  <w:style w:type="paragraph" w:styleId="Rodap">
    <w:name w:val="footer"/>
    <w:basedOn w:val="Normal"/>
    <w:link w:val="RodapChar"/>
    <w:rsid w:val="00E37F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E37FEB"/>
    <w:rPr>
      <w:rFonts w:ascii="Calibri" w:hAnsi="Calibri" w:cs="Calibri"/>
      <w:color w:val="14213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yperlink" Target="https://openrouteservice.org/" TargetMode="External"/><Relationship Id="rId21" Type="http://schemas.openxmlformats.org/officeDocument/2006/relationships/hyperlink" Target="https://shipandbunker.com/prices/br-brazil" TargetMode="External"/><Relationship Id="rId42" Type="http://schemas.openxmlformats.org/officeDocument/2006/relationships/hyperlink" Target="https://mrv.emsa.europa.eu/" TargetMode="External"/><Relationship Id="rId47" Type="http://schemas.openxmlformats.org/officeDocument/2006/relationships/image" Target="media/image12.png"/><Relationship Id="rId63" Type="http://schemas.openxmlformats.org/officeDocument/2006/relationships/hyperlink" Target="https://theicct.org/wp-content/uploads/2022/07/brazilmarinebrazil-coastal-shipping-new-prospects-growth-decarbonization-jul22.pdf" TargetMode="External"/><Relationship Id="rId68" Type="http://schemas.openxmlformats.org/officeDocument/2006/relationships/hyperlink" Target="https://www.geografos.com.br/distancias-maritimas-entre-portos" TargetMode="External"/><Relationship Id="rId84" Type="http://schemas.openxmlformats.org/officeDocument/2006/relationships/footer" Target="footer3.xml"/><Relationship Id="rId16" Type="http://schemas.openxmlformats.org/officeDocument/2006/relationships/hyperlink" Target="https://shipandbunker.com/prices/br-brazil" TargetMode="External"/><Relationship Id="rId11" Type="http://schemas.openxmlformats.org/officeDocument/2006/relationships/hyperlink" Target="https://www.gov.br/anp/pt-br/assuntos/precos-e-defesa-da-concorrencia/precos/levantamento-de-precos-de-combustiveis-ultimas-semanas-pesquisadas" TargetMode="External"/><Relationship Id="rId32" Type="http://schemas.openxmlformats.org/officeDocument/2006/relationships/image" Target="media/image4.png"/><Relationship Id="rId37" Type="http://schemas.openxmlformats.org/officeDocument/2006/relationships/image" Target="media/image8.png"/><Relationship Id="rId53" Type="http://schemas.openxmlformats.org/officeDocument/2006/relationships/hyperlink" Target="https://calculadorafrete.antt.gov.br/" TargetMode="External"/><Relationship Id="rId58" Type="http://schemas.openxmlformats.org/officeDocument/2006/relationships/hyperlink" Target="https://estatistica.antaq.gov.br/ea/sense/download.html" TargetMode="External"/><Relationship Id="rId74" Type="http://schemas.openxmlformats.org/officeDocument/2006/relationships/hyperlink" Target="https://doi.org/10.1080/01441647.2020.1714789" TargetMode="External"/><Relationship Id="rId79" Type="http://schemas.openxmlformats.org/officeDocument/2006/relationships/header" Target="header1.xml"/><Relationship Id="rId5" Type="http://schemas.openxmlformats.org/officeDocument/2006/relationships/footnotes" Target="footnotes.xml"/><Relationship Id="rId19" Type="http://schemas.openxmlformats.org/officeDocument/2006/relationships/hyperlink" Target="https://www.gov.br/anp/pt-br/assuntos/precos-e-defesa-da-concorrencia/precos/levantamento-de-precos-de-combustiveis-ultimas-semanas-pesquisadas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www.gov.br/anp/pt-br/assuntos/precos-e-defesa-da-concorrencia/precos/levantamento-de-precos-de-combustiveis-ultimas-semanas-pesquisadas" TargetMode="External"/><Relationship Id="rId27" Type="http://schemas.openxmlformats.org/officeDocument/2006/relationships/hyperlink" Target="https://locationiq.com/" TargetMode="External"/><Relationship Id="rId30" Type="http://schemas.openxmlformats.org/officeDocument/2006/relationships/hyperlink" Target="https://pypi.org/project/CurrencyConverter/" TargetMode="External"/><Relationship Id="rId35" Type="http://schemas.openxmlformats.org/officeDocument/2006/relationships/image" Target="media/image7.png"/><Relationship Id="rId43" Type="http://schemas.openxmlformats.org/officeDocument/2006/relationships/image" Target="media/image9.png"/><Relationship Id="rId48" Type="http://schemas.openxmlformats.org/officeDocument/2006/relationships/image" Target="media/image13.png"/><Relationship Id="rId56" Type="http://schemas.openxmlformats.org/officeDocument/2006/relationships/hyperlink" Target="https://github.com/pennylanesccp/cabotage-lens" TargetMode="External"/><Relationship Id="rId64" Type="http://schemas.openxmlformats.org/officeDocument/2006/relationships/hyperlink" Target="https://doi.org/10.1016/j.jtrangeo.2024.104062" TargetMode="External"/><Relationship Id="rId69" Type="http://schemas.openxmlformats.org/officeDocument/2006/relationships/hyperlink" Target="https://www.google.com/maps" TargetMode="External"/><Relationship Id="rId77" Type="http://schemas.openxmlformats.org/officeDocument/2006/relationships/hyperlink" Target="https://spbancarios.com.br/05/2018/brasil-e-dependente-do-transporte-rodoviario-de-cargas" TargetMode="External"/><Relationship Id="rId8" Type="http://schemas.openxmlformats.org/officeDocument/2006/relationships/hyperlink" Target="https://spbancarios.com.br/05/2018/brasil-e-dependente-do-transporte-rodoviario-de-cargas" TargetMode="External"/><Relationship Id="rId51" Type="http://schemas.openxmlformats.org/officeDocument/2006/relationships/hyperlink" Target="https://www.loginlogistica.com.br/calculadora-co2/" TargetMode="External"/><Relationship Id="rId72" Type="http://schemas.openxmlformats.org/officeDocument/2006/relationships/hyperlink" Target="https://doi.org/10.1016/j.trd.2022.103223" TargetMode="External"/><Relationship Id="rId80" Type="http://schemas.openxmlformats.org/officeDocument/2006/relationships/header" Target="header2.xm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estatistica.antaq.gov.br/ea/sense/download.html" TargetMode="External"/><Relationship Id="rId17" Type="http://schemas.openxmlformats.org/officeDocument/2006/relationships/hyperlink" Target="https://pypi.org/project/CurrencyConverter/" TargetMode="External"/><Relationship Id="rId25" Type="http://schemas.openxmlformats.org/officeDocument/2006/relationships/hyperlink" Target="https://supabase.com/" TargetMode="External"/><Relationship Id="rId33" Type="http://schemas.openxmlformats.org/officeDocument/2006/relationships/image" Target="media/image5.png"/><Relationship Id="rId38" Type="http://schemas.openxmlformats.org/officeDocument/2006/relationships/hyperlink" Target="https://shipandbunker.com/prices/br-brazil" TargetMode="External"/><Relationship Id="rId46" Type="http://schemas.openxmlformats.org/officeDocument/2006/relationships/image" Target="media/image11.png"/><Relationship Id="rId59" Type="http://schemas.openxmlformats.org/officeDocument/2006/relationships/hyperlink" Target="https://anttlegis.antt.gov.br/action/UrlPublicasAction.php?acao=abrirAtoPublico&amp;cod_menu=9230&amp;cod_modulo=623&amp;num_ato=00000001&amp;seq_ato=ATT&amp;sgl_orgao=SUROC%2FANTT%2FMT&amp;sgl_tipo=POR&amp;vlr_ano=2025" TargetMode="External"/><Relationship Id="rId67" Type="http://schemas.openxmlformats.org/officeDocument/2006/relationships/hyperlink" Target="https://mrv.emsa.europa.eu/" TargetMode="External"/><Relationship Id="rId20" Type="http://schemas.openxmlformats.org/officeDocument/2006/relationships/hyperlink" Target="https://www.gov.br/anp/pt-br/assuntos/precos-e-defesa-da-concorrencia/precos/levantamento-de-precos-de-combustiveis-ultimas-semanas-pesquisadas" TargetMode="External"/><Relationship Id="rId41" Type="http://schemas.openxmlformats.org/officeDocument/2006/relationships/hyperlink" Target="https://estatistica.antaq.gov.br/ea/sense/download.html" TargetMode="External"/><Relationship Id="rId54" Type="http://schemas.openxmlformats.org/officeDocument/2006/relationships/image" Target="media/image16.png"/><Relationship Id="rId62" Type="http://schemas.openxmlformats.org/officeDocument/2006/relationships/hyperlink" Target="https://www.ecb.europa.eu/stats/policy_and_exchange_rates/euro_reference_exchange_rates/html/index.en.html" TargetMode="External"/><Relationship Id="rId70" Type="http://schemas.openxmlformats.org/officeDocument/2006/relationships/hyperlink" Target="https://www.ipcc-nggip.iges.or.jp/public/2006gl/vol2.html" TargetMode="External"/><Relationship Id="rId75" Type="http://schemas.openxmlformats.org/officeDocument/2006/relationships/hyperlink" Target="https://doi.org/10.1016/j.spc.2024.07.016" TargetMode="External"/><Relationship Id="rId83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mrv.emsa.europa.eu/" TargetMode="External"/><Relationship Id="rId23" Type="http://schemas.openxmlformats.org/officeDocument/2006/relationships/hyperlink" Target="https://www.python.org/" TargetMode="External"/><Relationship Id="rId28" Type="http://schemas.openxmlformats.org/officeDocument/2006/relationships/hyperlink" Target="https://requests.readthedocs.io/en/stable/" TargetMode="External"/><Relationship Id="rId36" Type="http://schemas.openxmlformats.org/officeDocument/2006/relationships/hyperlink" Target="https://www.gov.br/anp/pt-br/assuntos/precos-e-defesa-da-concorrencia/precos/precos-revenda-e-de-distribuicao-combustiveis/shlp/semanal/" TargetMode="External"/><Relationship Id="rId49" Type="http://schemas.openxmlformats.org/officeDocument/2006/relationships/hyperlink" Target="https://www.alianca.com.br/calculadora-de-co2" TargetMode="External"/><Relationship Id="rId57" Type="http://schemas.openxmlformats.org/officeDocument/2006/relationships/hyperlink" Target="https://www.gov.br/anp/pt-br/assuntos/precos-e-defesa-da-concorrencia/precos/levantamento-de-precos-de-combustiveis-ultimas-semanas-pesquisadas" TargetMode="External"/><Relationship Id="rId10" Type="http://schemas.openxmlformats.org/officeDocument/2006/relationships/hyperlink" Target="https://anttlegis.antt.gov.br/action/UrlPublicasAction.php?acao=abrirAtoPublico&amp;cod_menu=9230&amp;cod_modulo=623&amp;num_ato=00000001&amp;seq_ato=ATT&amp;sgl_orgao=SUROC%2FANTT%2FMT&amp;sgl_tipo=POR&amp;vlr_ano=2025" TargetMode="External"/><Relationship Id="rId31" Type="http://schemas.openxmlformats.org/officeDocument/2006/relationships/image" Target="media/image3.png"/><Relationship Id="rId44" Type="http://schemas.openxmlformats.org/officeDocument/2006/relationships/hyperlink" Target="https://github.com/pennylanesccp/cabotage-lens" TargetMode="External"/><Relationship Id="rId52" Type="http://schemas.openxmlformats.org/officeDocument/2006/relationships/image" Target="media/image15.png"/><Relationship Id="rId60" Type="http://schemas.openxmlformats.org/officeDocument/2006/relationships/hyperlink" Target="https://calculadorafrete.antt.gov.br/" TargetMode="External"/><Relationship Id="rId65" Type="http://schemas.openxmlformats.org/officeDocument/2006/relationships/hyperlink" Target="https://doi.org/10.1016/j.latran.2024.100018" TargetMode="External"/><Relationship Id="rId73" Type="http://schemas.openxmlformats.org/officeDocument/2006/relationships/hyperlink" Target="https://doi.org/10.1016/j.energy.2017.02.122" TargetMode="External"/><Relationship Id="rId78" Type="http://schemas.openxmlformats.org/officeDocument/2006/relationships/hyperlink" Target="https://doi.org/10.1016/j.trd.2019.08.025" TargetMode="External"/><Relationship Id="rId81" Type="http://schemas.openxmlformats.org/officeDocument/2006/relationships/footer" Target="footer1.xml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ur-lex.europa.eu/legal-content/EN/TXT/?uri=CELEX:52011DC0144" TargetMode="External"/><Relationship Id="rId13" Type="http://schemas.openxmlformats.org/officeDocument/2006/relationships/hyperlink" Target="https://estatistica.antaq.gov.br/ea/sense/download.html" TargetMode="External"/><Relationship Id="rId18" Type="http://schemas.openxmlformats.org/officeDocument/2006/relationships/hyperlink" Target="https://www.gov.br/anp/pt-br/assuntos/precos-e-defesa-da-concorrencia/precos/levantamento-de-precos-de-combustiveis-ultimas-semanas-pesquisadas" TargetMode="External"/><Relationship Id="rId39" Type="http://schemas.openxmlformats.org/officeDocument/2006/relationships/hyperlink" Target="https://pypi.org/project/CurrencyConverter/" TargetMode="External"/><Relationship Id="rId34" Type="http://schemas.openxmlformats.org/officeDocument/2006/relationships/image" Target="media/image6.png"/><Relationship Id="rId50" Type="http://schemas.openxmlformats.org/officeDocument/2006/relationships/image" Target="media/image14.png"/><Relationship Id="rId55" Type="http://schemas.openxmlformats.org/officeDocument/2006/relationships/hyperlink" Target="https://cabotagelens.streamlit.app/" TargetMode="External"/><Relationship Id="rId76" Type="http://schemas.openxmlformats.org/officeDocument/2006/relationships/hyperlink" Target="https://shipandbunker.com/prices/br-brazil" TargetMode="External"/><Relationship Id="rId7" Type="http://schemas.openxmlformats.org/officeDocument/2006/relationships/image" Target="media/image1.jpg"/><Relationship Id="rId71" Type="http://schemas.openxmlformats.org/officeDocument/2006/relationships/hyperlink" Target="https://www.loginlogistica.com.br/calculadora-co2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crummy.com/software/BeautifulSoup/bs4/doc/" TargetMode="External"/><Relationship Id="rId24" Type="http://schemas.openxmlformats.org/officeDocument/2006/relationships/hyperlink" Target="https://streamlit.io/" TargetMode="External"/><Relationship Id="rId40" Type="http://schemas.openxmlformats.org/officeDocument/2006/relationships/hyperlink" Target="https://www.geografos.com.br/" TargetMode="External"/><Relationship Id="rId45" Type="http://schemas.openxmlformats.org/officeDocument/2006/relationships/image" Target="media/image10.png"/><Relationship Id="rId66" Type="http://schemas.openxmlformats.org/officeDocument/2006/relationships/hyperlink" Target="https://eur-lex.europa.eu/legal-content/EN/TXT/?uri=CELEX:52011DC0144" TargetMode="External"/><Relationship Id="rId61" Type="http://schemas.openxmlformats.org/officeDocument/2006/relationships/hyperlink" Target="https://www.alianca.com.br/calculadora-de-co2" TargetMode="External"/><Relationship Id="rId8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48</Pages>
  <Words>16550</Words>
  <Characters>89371</Characters>
  <Application>Microsoft Office Word</Application>
  <DocSecurity>0</DocSecurity>
  <Lines>744</Lines>
  <Paragraphs>211</Paragraphs>
  <ScaleCrop>false</ScaleCrop>
  <Company/>
  <LinksUpToDate>false</LinksUpToDate>
  <CharactersWithSpaces>105710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CabotageLens: sistema computacional auditável para comparação porta a porta entre rodovia e cabotagem no Brasil</dc:title>
  <dc:creator>Felipe de Sá Proença</dc:creator>
  <cp:keywords/>
  <cp:lastModifiedBy>Felipe Proença</cp:lastModifiedBy>
  <cp:revision>2</cp:revision>
  <dcterms:created xsi:type="dcterms:W3CDTF">2026-07-21T16:21:00Z</dcterms:created>
  <dcterms:modified xsi:type="dcterms:W3CDTF">2026-07-21T16:21:00Z</dcterms:modified>
</cp:coreProperties>
</file>