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D700DE" w14:textId="77777777" w:rsidR="007B4F4C" w:rsidRPr="00830379" w:rsidRDefault="007B4F4C" w:rsidP="00830379">
      <w:pPr>
        <w:pStyle w:val="Body"/>
      </w:pPr>
    </w:p>
    <w:p w14:paraId="7878C87A" w14:textId="77777777" w:rsidR="006D6A79" w:rsidRPr="00830379" w:rsidRDefault="006D6A79" w:rsidP="00830379">
      <w:pPr>
        <w:pStyle w:val="Body"/>
      </w:pPr>
    </w:p>
    <w:p w14:paraId="4CAFEA3A" w14:textId="77777777" w:rsidR="006D6A79" w:rsidRPr="00830379" w:rsidRDefault="006D6A79" w:rsidP="00830379">
      <w:pPr>
        <w:pStyle w:val="Body"/>
      </w:pPr>
    </w:p>
    <w:p w14:paraId="13B9A14B" w14:textId="77777777" w:rsidR="006D6A79" w:rsidRPr="00830379" w:rsidRDefault="006D6A79" w:rsidP="00830379">
      <w:pPr>
        <w:pStyle w:val="Body"/>
      </w:pPr>
    </w:p>
    <w:p w14:paraId="536D7524" w14:textId="77777777" w:rsidR="006D6A79" w:rsidRPr="00830379" w:rsidRDefault="006D6A79" w:rsidP="00830379">
      <w:pPr>
        <w:pStyle w:val="Body"/>
      </w:pPr>
    </w:p>
    <w:p w14:paraId="24D700DF" w14:textId="77777777" w:rsidR="006D1F01" w:rsidRPr="00830379" w:rsidRDefault="006D1F01" w:rsidP="00830379">
      <w:pPr>
        <w:pStyle w:val="Body"/>
      </w:pPr>
    </w:p>
    <w:p w14:paraId="24D700E0" w14:textId="3CE0E07A" w:rsidR="00080FFD" w:rsidRPr="00830379" w:rsidRDefault="00A51ACF" w:rsidP="00830379">
      <w:pPr>
        <w:pStyle w:val="VerizonHeadline1"/>
      </w:pPr>
      <w:r w:rsidRPr="00830379">
        <w:t>Audit Management</w:t>
      </w:r>
    </w:p>
    <w:p w14:paraId="24D700E1" w14:textId="3B7FE808" w:rsidR="00080FFD" w:rsidRPr="00830379" w:rsidRDefault="00825409" w:rsidP="00830379">
      <w:pPr>
        <w:pStyle w:val="VerizonHeadline2"/>
      </w:pPr>
      <w:r>
        <w:t>GCTS Audit Management Policy</w:t>
      </w:r>
    </w:p>
    <w:p w14:paraId="303989A0" w14:textId="2E504D98" w:rsidR="00B23EE6" w:rsidRDefault="00B23EE6" w:rsidP="00830379">
      <w:pPr>
        <w:pStyle w:val="VerizonSubhead"/>
      </w:pPr>
      <w:r w:rsidRPr="00DD2B9B">
        <w:t xml:space="preserve">Supplemental to </w:t>
      </w:r>
      <w:r w:rsidR="00185F9B">
        <w:t>Global Transformation Services Security Standard (GTS SS)</w:t>
      </w:r>
    </w:p>
    <w:p w14:paraId="24D700EC" w14:textId="77777777" w:rsidR="006B1A0B" w:rsidRPr="00830379" w:rsidRDefault="006B1A0B" w:rsidP="00830379">
      <w:pPr>
        <w:pStyle w:val="Body"/>
      </w:pPr>
    </w:p>
    <w:p w14:paraId="008259A6" w14:textId="77777777" w:rsidR="00A51ACF" w:rsidRPr="00830379" w:rsidRDefault="00A51ACF" w:rsidP="00830379">
      <w:pPr>
        <w:pStyle w:val="Body"/>
      </w:pPr>
    </w:p>
    <w:p w14:paraId="4DA6F786" w14:textId="77777777" w:rsidR="00507784" w:rsidRDefault="00507784" w:rsidP="00830379">
      <w:pPr>
        <w:pStyle w:val="Body"/>
      </w:pPr>
    </w:p>
    <w:p w14:paraId="1972A4BA" w14:textId="77777777" w:rsidR="00507784" w:rsidRDefault="00507784" w:rsidP="00830379">
      <w:pPr>
        <w:pStyle w:val="Body"/>
      </w:pPr>
    </w:p>
    <w:p w14:paraId="79A35E4B" w14:textId="77777777" w:rsidR="00507784" w:rsidRPr="00830379" w:rsidRDefault="00507784" w:rsidP="00830379">
      <w:pPr>
        <w:pStyle w:val="Body"/>
      </w:pPr>
    </w:p>
    <w:p w14:paraId="27CA9E64" w14:textId="77777777" w:rsidR="00830379" w:rsidRDefault="00830379" w:rsidP="00830379">
      <w:pPr>
        <w:pStyle w:val="Body"/>
      </w:pPr>
    </w:p>
    <w:p w14:paraId="28336411" w14:textId="77777777" w:rsidR="00607325" w:rsidRDefault="00607325" w:rsidP="00830379">
      <w:pPr>
        <w:pStyle w:val="Body"/>
      </w:pPr>
    </w:p>
    <w:p w14:paraId="56929EF7" w14:textId="77777777" w:rsidR="00607325" w:rsidRDefault="00607325" w:rsidP="00830379">
      <w:pPr>
        <w:pStyle w:val="Body"/>
      </w:pPr>
    </w:p>
    <w:p w14:paraId="51E94BD0" w14:textId="77777777" w:rsidR="00607325" w:rsidRPr="00830379" w:rsidRDefault="00607325" w:rsidP="00830379">
      <w:pPr>
        <w:pStyle w:val="Body"/>
      </w:pPr>
    </w:p>
    <w:p w14:paraId="232B2BC3" w14:textId="08E73044" w:rsidR="00830379" w:rsidRPr="00CC1855" w:rsidRDefault="00830379" w:rsidP="00830379">
      <w:pPr>
        <w:pStyle w:val="copyright"/>
      </w:pPr>
      <w:proofErr w:type="gramStart"/>
      <w:r w:rsidRPr="00CC1855">
        <w:t>© 2017</w:t>
      </w:r>
      <w:r w:rsidR="00607325">
        <w:t>, 2018</w:t>
      </w:r>
      <w:r w:rsidRPr="00CC1855">
        <w:t xml:space="preserve"> IBM</w:t>
      </w:r>
      <w:r>
        <w:t>.</w:t>
      </w:r>
      <w:proofErr w:type="gramEnd"/>
      <w:r>
        <w:t xml:space="preserve"> All Rights Reserved.</w:t>
      </w:r>
    </w:p>
    <w:p w14:paraId="24D700EE" w14:textId="5F324D41" w:rsidR="006B1A0B" w:rsidRDefault="006B1A0B" w:rsidP="00E06C42">
      <w:pPr>
        <w:pStyle w:val="copyright"/>
        <w:sectPr w:rsidR="006B1A0B" w:rsidSect="00990897">
          <w:headerReference w:type="even" r:id="rId13"/>
          <w:headerReference w:type="default" r:id="rId14"/>
          <w:footerReference w:type="default" r:id="rId15"/>
          <w:headerReference w:type="first" r:id="rId16"/>
          <w:footerReference w:type="first" r:id="rId17"/>
          <w:pgSz w:w="12240" w:h="15840"/>
          <w:pgMar w:top="1440" w:right="720" w:bottom="1440" w:left="720" w:header="720" w:footer="720" w:gutter="0"/>
          <w:cols w:space="720"/>
          <w:titlePg/>
          <w:docGrid w:linePitch="360"/>
        </w:sectPr>
      </w:pPr>
    </w:p>
    <w:p w14:paraId="24D700EF" w14:textId="77777777" w:rsidR="00D712AE" w:rsidRDefault="00D712AE" w:rsidP="00766F05">
      <w:pPr>
        <w:pStyle w:val="TOCheader"/>
      </w:pPr>
      <w:r>
        <w:lastRenderedPageBreak/>
        <w:t>Revision History</w:t>
      </w:r>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58" w:type="dxa"/>
          <w:bottom w:w="58" w:type="dxa"/>
          <w:right w:w="58" w:type="dxa"/>
        </w:tblCellMar>
        <w:tblLook w:val="0000" w:firstRow="0" w:lastRow="0" w:firstColumn="0" w:lastColumn="0" w:noHBand="0" w:noVBand="0"/>
      </w:tblPr>
      <w:tblGrid>
        <w:gridCol w:w="1136"/>
        <w:gridCol w:w="1928"/>
        <w:gridCol w:w="2970"/>
        <w:gridCol w:w="4622"/>
      </w:tblGrid>
      <w:tr w:rsidR="00A51ACF" w:rsidRPr="00D712AE" w14:paraId="724FB86D" w14:textId="77777777" w:rsidTr="00400788">
        <w:tc>
          <w:tcPr>
            <w:tcW w:w="1136" w:type="dxa"/>
            <w:tcBorders>
              <w:bottom w:val="double" w:sz="4" w:space="0" w:color="auto"/>
            </w:tcBorders>
            <w:shd w:val="clear" w:color="auto" w:fill="E6E6E6"/>
            <w:tcMar>
              <w:top w:w="14" w:type="dxa"/>
              <w:bottom w:w="14" w:type="dxa"/>
            </w:tcMar>
            <w:vAlign w:val="center"/>
          </w:tcPr>
          <w:p w14:paraId="633AEBE6" w14:textId="77777777" w:rsidR="00A51ACF" w:rsidRPr="005B3E4D" w:rsidRDefault="00A51ACF" w:rsidP="00B1369E">
            <w:pPr>
              <w:pStyle w:val="tableheading"/>
            </w:pPr>
            <w:r w:rsidRPr="005B3E4D">
              <w:t>version</w:t>
            </w:r>
          </w:p>
        </w:tc>
        <w:tc>
          <w:tcPr>
            <w:tcW w:w="1928" w:type="dxa"/>
            <w:tcBorders>
              <w:bottom w:val="double" w:sz="4" w:space="0" w:color="auto"/>
            </w:tcBorders>
            <w:shd w:val="clear" w:color="auto" w:fill="E6E6E6"/>
            <w:tcMar>
              <w:top w:w="14" w:type="dxa"/>
              <w:bottom w:w="14" w:type="dxa"/>
            </w:tcMar>
            <w:vAlign w:val="center"/>
          </w:tcPr>
          <w:p w14:paraId="6678B75C" w14:textId="77777777" w:rsidR="00A51ACF" w:rsidRPr="005B3E4D" w:rsidRDefault="00A51ACF" w:rsidP="00B1369E">
            <w:pPr>
              <w:pStyle w:val="tableheading"/>
            </w:pPr>
            <w:r w:rsidRPr="005B3E4D">
              <w:t>Date</w:t>
            </w:r>
          </w:p>
        </w:tc>
        <w:tc>
          <w:tcPr>
            <w:tcW w:w="2970" w:type="dxa"/>
            <w:tcBorders>
              <w:bottom w:val="double" w:sz="4" w:space="0" w:color="auto"/>
            </w:tcBorders>
            <w:shd w:val="clear" w:color="auto" w:fill="E6E6E6"/>
            <w:tcMar>
              <w:top w:w="14" w:type="dxa"/>
              <w:bottom w:w="14" w:type="dxa"/>
            </w:tcMar>
            <w:vAlign w:val="center"/>
          </w:tcPr>
          <w:p w14:paraId="401F3856" w14:textId="77777777" w:rsidR="00A51ACF" w:rsidRPr="005B3E4D" w:rsidRDefault="00A51ACF" w:rsidP="00B1369E">
            <w:pPr>
              <w:pStyle w:val="tableheading"/>
            </w:pPr>
            <w:r w:rsidRPr="005B3E4D">
              <w:t>APPROVED BY</w:t>
            </w:r>
          </w:p>
        </w:tc>
        <w:tc>
          <w:tcPr>
            <w:tcW w:w="4622" w:type="dxa"/>
            <w:tcBorders>
              <w:bottom w:val="double" w:sz="4" w:space="0" w:color="auto"/>
            </w:tcBorders>
            <w:shd w:val="clear" w:color="auto" w:fill="E6E6E6"/>
            <w:tcMar>
              <w:top w:w="14" w:type="dxa"/>
              <w:bottom w:w="14" w:type="dxa"/>
            </w:tcMar>
            <w:vAlign w:val="center"/>
          </w:tcPr>
          <w:p w14:paraId="08C11503" w14:textId="77777777" w:rsidR="00A51ACF" w:rsidRPr="005B3E4D" w:rsidRDefault="00A51ACF" w:rsidP="00B1369E">
            <w:pPr>
              <w:pStyle w:val="tableheading"/>
            </w:pPr>
            <w:r w:rsidRPr="005B3E4D">
              <w:t>Description of the Change</w:t>
            </w:r>
          </w:p>
        </w:tc>
      </w:tr>
      <w:tr w:rsidR="00A51ACF" w:rsidRPr="00D712AE" w14:paraId="0AE9D109" w14:textId="77777777" w:rsidTr="00400788">
        <w:tc>
          <w:tcPr>
            <w:tcW w:w="1136" w:type="dxa"/>
            <w:tcBorders>
              <w:top w:val="double" w:sz="4" w:space="0" w:color="auto"/>
            </w:tcBorders>
          </w:tcPr>
          <w:p w14:paraId="77633178" w14:textId="77777777" w:rsidR="00A51ACF" w:rsidRPr="00D712AE" w:rsidRDefault="00A51ACF" w:rsidP="00B1369E">
            <w:pPr>
              <w:pStyle w:val="TableText"/>
              <w:jc w:val="center"/>
              <w:rPr>
                <w:lang w:val="en-GB" w:bidi="ar-SA"/>
              </w:rPr>
            </w:pPr>
            <w:r>
              <w:rPr>
                <w:lang w:val="en-GB" w:bidi="ar-SA"/>
              </w:rPr>
              <w:t>1.0</w:t>
            </w:r>
          </w:p>
        </w:tc>
        <w:tc>
          <w:tcPr>
            <w:tcW w:w="1928" w:type="dxa"/>
            <w:tcBorders>
              <w:top w:val="double" w:sz="4" w:space="0" w:color="auto"/>
            </w:tcBorders>
          </w:tcPr>
          <w:p w14:paraId="336DBCCF" w14:textId="77777777" w:rsidR="00A51ACF" w:rsidRPr="00D712AE" w:rsidRDefault="00A51ACF" w:rsidP="00B1369E">
            <w:pPr>
              <w:pStyle w:val="TableText"/>
              <w:rPr>
                <w:lang w:val="en-GB" w:bidi="ar-SA"/>
              </w:rPr>
            </w:pPr>
            <w:r>
              <w:rPr>
                <w:lang w:val="en-GB" w:bidi="ar-SA"/>
              </w:rPr>
              <w:t>15-Jul-2013</w:t>
            </w:r>
          </w:p>
        </w:tc>
        <w:tc>
          <w:tcPr>
            <w:tcW w:w="2970" w:type="dxa"/>
            <w:tcBorders>
              <w:top w:val="double" w:sz="4" w:space="0" w:color="auto"/>
            </w:tcBorders>
          </w:tcPr>
          <w:p w14:paraId="13F1208D" w14:textId="77777777" w:rsidR="00A51ACF" w:rsidRPr="00D712AE" w:rsidRDefault="00A51ACF" w:rsidP="00B1369E">
            <w:pPr>
              <w:pStyle w:val="TableText"/>
              <w:rPr>
                <w:lang w:val="en-GB" w:bidi="ar-SA"/>
              </w:rPr>
            </w:pPr>
            <w:r w:rsidRPr="00E51448">
              <w:t>Art Griffin</w:t>
            </w:r>
          </w:p>
        </w:tc>
        <w:tc>
          <w:tcPr>
            <w:tcW w:w="4622" w:type="dxa"/>
            <w:tcBorders>
              <w:top w:val="double" w:sz="4" w:space="0" w:color="auto"/>
            </w:tcBorders>
          </w:tcPr>
          <w:p w14:paraId="247A826A" w14:textId="77777777" w:rsidR="00A51ACF" w:rsidRPr="00D712AE" w:rsidRDefault="00A51ACF" w:rsidP="00B1369E">
            <w:pPr>
              <w:pStyle w:val="TableText"/>
              <w:rPr>
                <w:lang w:val="en-GB" w:bidi="ar-SA"/>
              </w:rPr>
            </w:pPr>
            <w:r>
              <w:rPr>
                <w:lang w:val="en-GB"/>
              </w:rPr>
              <w:t>First Approved version under new Document Management System</w:t>
            </w:r>
          </w:p>
        </w:tc>
      </w:tr>
      <w:tr w:rsidR="00A51ACF" w:rsidRPr="00D712AE" w14:paraId="7B6E39FD" w14:textId="77777777" w:rsidTr="00400788">
        <w:tc>
          <w:tcPr>
            <w:tcW w:w="1136" w:type="dxa"/>
          </w:tcPr>
          <w:p w14:paraId="47050668" w14:textId="77777777" w:rsidR="00A51ACF" w:rsidRPr="00D712AE" w:rsidRDefault="00A51ACF" w:rsidP="00B1369E">
            <w:pPr>
              <w:pStyle w:val="TableText"/>
              <w:jc w:val="center"/>
              <w:rPr>
                <w:lang w:val="en-GB" w:bidi="ar-SA"/>
              </w:rPr>
            </w:pPr>
            <w:r>
              <w:rPr>
                <w:lang w:val="en-GB" w:bidi="ar-SA"/>
              </w:rPr>
              <w:t>2.0</w:t>
            </w:r>
          </w:p>
        </w:tc>
        <w:tc>
          <w:tcPr>
            <w:tcW w:w="1928" w:type="dxa"/>
          </w:tcPr>
          <w:p w14:paraId="26D3B034" w14:textId="77777777" w:rsidR="00A51ACF" w:rsidRPr="00D712AE" w:rsidRDefault="00A51ACF" w:rsidP="00B1369E">
            <w:pPr>
              <w:pStyle w:val="TableText"/>
              <w:rPr>
                <w:lang w:val="en-GB" w:bidi="ar-SA"/>
              </w:rPr>
            </w:pPr>
            <w:r>
              <w:rPr>
                <w:lang w:val="en-GB" w:bidi="ar-SA"/>
              </w:rPr>
              <w:t>13-Mar-2014</w:t>
            </w:r>
          </w:p>
        </w:tc>
        <w:tc>
          <w:tcPr>
            <w:tcW w:w="2970" w:type="dxa"/>
          </w:tcPr>
          <w:p w14:paraId="221B8E5D" w14:textId="77777777" w:rsidR="00A51ACF" w:rsidRPr="00D712AE" w:rsidRDefault="00A51ACF" w:rsidP="00B1369E">
            <w:pPr>
              <w:pStyle w:val="TableText"/>
              <w:rPr>
                <w:lang w:val="en-GB" w:bidi="ar-SA"/>
              </w:rPr>
            </w:pPr>
            <w:r>
              <w:rPr>
                <w:lang w:val="en-GB"/>
              </w:rPr>
              <w:t xml:space="preserve">Marc </w:t>
            </w:r>
            <w:proofErr w:type="spellStart"/>
            <w:r>
              <w:rPr>
                <w:lang w:val="en-GB"/>
              </w:rPr>
              <w:t>Verstraeten</w:t>
            </w:r>
            <w:proofErr w:type="spellEnd"/>
          </w:p>
        </w:tc>
        <w:tc>
          <w:tcPr>
            <w:tcW w:w="4622" w:type="dxa"/>
          </w:tcPr>
          <w:p w14:paraId="1631469A" w14:textId="77777777" w:rsidR="00A51ACF" w:rsidRPr="00D712AE" w:rsidRDefault="00A51ACF" w:rsidP="00B1369E">
            <w:pPr>
              <w:pStyle w:val="TableText"/>
              <w:rPr>
                <w:lang w:val="en-GB" w:bidi="ar-SA"/>
              </w:rPr>
            </w:pPr>
            <w:r>
              <w:rPr>
                <w:lang w:val="en-GB"/>
              </w:rPr>
              <w:t>Updates to reflect Pre-sales audit policies. Updated Revision history table to reflect document mg SOP adjustments. (Only approved versions will be in revision history)</w:t>
            </w:r>
          </w:p>
        </w:tc>
      </w:tr>
      <w:tr w:rsidR="00A51ACF" w:rsidRPr="00D712AE" w14:paraId="10B0FB7D" w14:textId="77777777" w:rsidTr="00400788">
        <w:tc>
          <w:tcPr>
            <w:tcW w:w="1136" w:type="dxa"/>
          </w:tcPr>
          <w:p w14:paraId="4EB39A04" w14:textId="77777777" w:rsidR="00A51ACF" w:rsidRPr="00D712AE" w:rsidRDefault="00A51ACF" w:rsidP="00B1369E">
            <w:pPr>
              <w:pStyle w:val="TableText"/>
              <w:jc w:val="center"/>
              <w:rPr>
                <w:lang w:val="en-GB" w:bidi="ar-SA"/>
              </w:rPr>
            </w:pPr>
            <w:r>
              <w:rPr>
                <w:lang w:val="en-GB" w:bidi="ar-SA"/>
              </w:rPr>
              <w:t>2.1</w:t>
            </w:r>
          </w:p>
        </w:tc>
        <w:tc>
          <w:tcPr>
            <w:tcW w:w="1928" w:type="dxa"/>
          </w:tcPr>
          <w:p w14:paraId="5B287613" w14:textId="77777777" w:rsidR="00A51ACF" w:rsidRPr="00D712AE" w:rsidRDefault="00A51ACF" w:rsidP="00B1369E">
            <w:pPr>
              <w:pStyle w:val="TableText"/>
              <w:rPr>
                <w:lang w:val="en-GB" w:bidi="ar-SA"/>
              </w:rPr>
            </w:pPr>
            <w:r>
              <w:rPr>
                <w:lang w:val="en-GB" w:bidi="ar-SA"/>
              </w:rPr>
              <w:t>20-Nov-2015</w:t>
            </w:r>
          </w:p>
        </w:tc>
        <w:tc>
          <w:tcPr>
            <w:tcW w:w="2970" w:type="dxa"/>
          </w:tcPr>
          <w:p w14:paraId="3A46A2F3" w14:textId="77777777" w:rsidR="00A51ACF" w:rsidRPr="00D712AE" w:rsidRDefault="00A51ACF" w:rsidP="00B1369E">
            <w:pPr>
              <w:pStyle w:val="TableText"/>
              <w:rPr>
                <w:lang w:val="en-GB" w:bidi="ar-SA"/>
              </w:rPr>
            </w:pPr>
          </w:p>
        </w:tc>
        <w:tc>
          <w:tcPr>
            <w:tcW w:w="4622" w:type="dxa"/>
          </w:tcPr>
          <w:p w14:paraId="42E61B45" w14:textId="77777777" w:rsidR="00A51ACF" w:rsidRPr="00D712AE" w:rsidRDefault="00A51ACF" w:rsidP="00B1369E">
            <w:pPr>
              <w:pStyle w:val="TableText"/>
              <w:rPr>
                <w:lang w:val="en-GB" w:bidi="ar-SA"/>
              </w:rPr>
            </w:pPr>
            <w:r>
              <w:rPr>
                <w:lang w:val="en-GB" w:bidi="ar-SA"/>
              </w:rPr>
              <w:t>Updated template</w:t>
            </w:r>
          </w:p>
        </w:tc>
      </w:tr>
      <w:tr w:rsidR="00A51ACF" w:rsidRPr="00D712AE" w14:paraId="51D2A73C" w14:textId="77777777" w:rsidTr="00400788">
        <w:tc>
          <w:tcPr>
            <w:tcW w:w="1136" w:type="dxa"/>
          </w:tcPr>
          <w:p w14:paraId="70ACA095" w14:textId="5E28BBA1" w:rsidR="00A51ACF" w:rsidRPr="00D712AE" w:rsidRDefault="00A51ACF" w:rsidP="00B1369E">
            <w:pPr>
              <w:pStyle w:val="TableText"/>
              <w:jc w:val="center"/>
              <w:rPr>
                <w:lang w:val="en-GB" w:bidi="ar-SA"/>
              </w:rPr>
            </w:pPr>
            <w:r>
              <w:rPr>
                <w:lang w:val="en-GB" w:bidi="ar-SA"/>
              </w:rPr>
              <w:t>2.2</w:t>
            </w:r>
          </w:p>
        </w:tc>
        <w:tc>
          <w:tcPr>
            <w:tcW w:w="1928" w:type="dxa"/>
          </w:tcPr>
          <w:p w14:paraId="29995A7C" w14:textId="5BB2ED5F" w:rsidR="00A51ACF" w:rsidRPr="00D712AE" w:rsidRDefault="00A51ACF" w:rsidP="00B1369E">
            <w:pPr>
              <w:pStyle w:val="TableText"/>
              <w:rPr>
                <w:lang w:val="en-GB" w:bidi="ar-SA"/>
              </w:rPr>
            </w:pPr>
            <w:r>
              <w:rPr>
                <w:lang w:val="en-GB" w:bidi="ar-SA"/>
              </w:rPr>
              <w:t>08-Sep-2016</w:t>
            </w:r>
          </w:p>
        </w:tc>
        <w:tc>
          <w:tcPr>
            <w:tcW w:w="2970" w:type="dxa"/>
          </w:tcPr>
          <w:p w14:paraId="7B30FF51" w14:textId="77777777" w:rsidR="00A51ACF" w:rsidRPr="00D712AE" w:rsidRDefault="00A51ACF" w:rsidP="00B1369E">
            <w:pPr>
              <w:pStyle w:val="TableText"/>
              <w:rPr>
                <w:lang w:val="en-GB" w:bidi="ar-SA"/>
              </w:rPr>
            </w:pPr>
          </w:p>
        </w:tc>
        <w:tc>
          <w:tcPr>
            <w:tcW w:w="4622" w:type="dxa"/>
          </w:tcPr>
          <w:p w14:paraId="21BFB014" w14:textId="13B5E613" w:rsidR="00A51ACF" w:rsidRPr="00D712AE" w:rsidRDefault="00A51ACF" w:rsidP="00B1369E">
            <w:pPr>
              <w:pStyle w:val="TableText"/>
              <w:rPr>
                <w:lang w:val="en-GB" w:bidi="ar-SA"/>
              </w:rPr>
            </w:pPr>
            <w:r>
              <w:rPr>
                <w:lang w:val="en-GB" w:bidi="ar-SA"/>
              </w:rPr>
              <w:t>Policy Management Review, edit, and template refresh</w:t>
            </w:r>
          </w:p>
        </w:tc>
      </w:tr>
      <w:tr w:rsidR="00A51ACF" w:rsidRPr="00D712AE" w14:paraId="1FFBD54B" w14:textId="77777777" w:rsidTr="00400788">
        <w:tc>
          <w:tcPr>
            <w:tcW w:w="1136" w:type="dxa"/>
          </w:tcPr>
          <w:p w14:paraId="19669CF0" w14:textId="2D6FCB66" w:rsidR="00A51ACF" w:rsidRPr="00D712AE" w:rsidRDefault="006C6C7F" w:rsidP="00B1369E">
            <w:pPr>
              <w:pStyle w:val="TableText"/>
              <w:jc w:val="center"/>
              <w:rPr>
                <w:lang w:val="en-GB" w:bidi="ar-SA"/>
              </w:rPr>
            </w:pPr>
            <w:r>
              <w:rPr>
                <w:lang w:val="en-GB" w:bidi="ar-SA"/>
              </w:rPr>
              <w:t>2.3</w:t>
            </w:r>
          </w:p>
        </w:tc>
        <w:tc>
          <w:tcPr>
            <w:tcW w:w="1928" w:type="dxa"/>
          </w:tcPr>
          <w:p w14:paraId="109F6B7F" w14:textId="4E86091A" w:rsidR="00A51ACF" w:rsidRPr="00D712AE" w:rsidRDefault="007701BE" w:rsidP="00B1369E">
            <w:pPr>
              <w:pStyle w:val="TableText"/>
              <w:rPr>
                <w:lang w:val="en-GB" w:bidi="ar-SA"/>
              </w:rPr>
            </w:pPr>
            <w:r>
              <w:rPr>
                <w:lang w:val="en-GB" w:bidi="ar-SA"/>
              </w:rPr>
              <w:t>02-Mar-2017</w:t>
            </w:r>
          </w:p>
        </w:tc>
        <w:tc>
          <w:tcPr>
            <w:tcW w:w="2970" w:type="dxa"/>
          </w:tcPr>
          <w:p w14:paraId="4EEBA57A" w14:textId="4E1C33E7" w:rsidR="00A51ACF" w:rsidRPr="00D712AE" w:rsidRDefault="0098398F" w:rsidP="00B1369E">
            <w:pPr>
              <w:pStyle w:val="TableText"/>
              <w:rPr>
                <w:lang w:val="en-GB" w:bidi="ar-SA"/>
              </w:rPr>
            </w:pPr>
            <w:r>
              <w:rPr>
                <w:lang w:val="en-GB" w:bidi="ar-SA"/>
              </w:rPr>
              <w:t>Jeremy Dick</w:t>
            </w:r>
          </w:p>
        </w:tc>
        <w:tc>
          <w:tcPr>
            <w:tcW w:w="4622" w:type="dxa"/>
          </w:tcPr>
          <w:p w14:paraId="413817F4" w14:textId="2E3167D0" w:rsidR="00A51ACF" w:rsidRPr="00D712AE" w:rsidRDefault="006E2CEF" w:rsidP="00B1369E">
            <w:pPr>
              <w:pStyle w:val="TableText"/>
              <w:rPr>
                <w:lang w:val="en-GB" w:bidi="ar-SA"/>
              </w:rPr>
            </w:pPr>
            <w:r>
              <w:rPr>
                <w:lang w:val="en-GB" w:bidi="ar-SA"/>
              </w:rPr>
              <w:t>Annual update to content</w:t>
            </w:r>
            <w:r w:rsidR="00A834B1">
              <w:rPr>
                <w:lang w:val="en-GB" w:bidi="ar-SA"/>
              </w:rPr>
              <w:t xml:space="preserve"> </w:t>
            </w:r>
            <w:r w:rsidR="00A97DB8">
              <w:rPr>
                <w:lang w:val="en-GB" w:bidi="ar-SA"/>
              </w:rPr>
              <w:t>Added Section 2 (all)</w:t>
            </w:r>
          </w:p>
        </w:tc>
      </w:tr>
      <w:tr w:rsidR="00A51ACF" w:rsidRPr="00D712AE" w14:paraId="7F5E2100" w14:textId="77777777" w:rsidTr="00400788">
        <w:tc>
          <w:tcPr>
            <w:tcW w:w="1136" w:type="dxa"/>
          </w:tcPr>
          <w:p w14:paraId="1B325612" w14:textId="34DAE21F" w:rsidR="00A51ACF" w:rsidRPr="00D712AE" w:rsidRDefault="006C6C7F" w:rsidP="00B1369E">
            <w:pPr>
              <w:pStyle w:val="TableText"/>
              <w:jc w:val="center"/>
              <w:rPr>
                <w:lang w:val="en-GB" w:bidi="ar-SA"/>
              </w:rPr>
            </w:pPr>
            <w:r>
              <w:rPr>
                <w:lang w:val="en-GB" w:bidi="ar-SA"/>
              </w:rPr>
              <w:t>2.4</w:t>
            </w:r>
          </w:p>
        </w:tc>
        <w:tc>
          <w:tcPr>
            <w:tcW w:w="1928" w:type="dxa"/>
          </w:tcPr>
          <w:p w14:paraId="751CB060" w14:textId="4C217F7A" w:rsidR="00A51ACF" w:rsidRPr="00D712AE" w:rsidRDefault="006C6C7F" w:rsidP="00B1369E">
            <w:pPr>
              <w:pStyle w:val="TableText"/>
              <w:rPr>
                <w:lang w:val="en-GB" w:bidi="ar-SA"/>
              </w:rPr>
            </w:pPr>
            <w:r>
              <w:rPr>
                <w:lang w:val="en-GB" w:bidi="ar-SA"/>
              </w:rPr>
              <w:t>09-Mar-2017</w:t>
            </w:r>
          </w:p>
        </w:tc>
        <w:tc>
          <w:tcPr>
            <w:tcW w:w="2970" w:type="dxa"/>
          </w:tcPr>
          <w:p w14:paraId="68A749C9" w14:textId="77777777" w:rsidR="00A51ACF" w:rsidRPr="00D712AE" w:rsidRDefault="00A51ACF" w:rsidP="00B1369E">
            <w:pPr>
              <w:pStyle w:val="TableText"/>
              <w:rPr>
                <w:lang w:val="en-GB" w:bidi="ar-SA"/>
              </w:rPr>
            </w:pPr>
          </w:p>
        </w:tc>
        <w:tc>
          <w:tcPr>
            <w:tcW w:w="4622" w:type="dxa"/>
          </w:tcPr>
          <w:p w14:paraId="74C6880C" w14:textId="54927DAE" w:rsidR="00A51ACF" w:rsidRPr="00D712AE" w:rsidRDefault="006C6C7F" w:rsidP="00B1369E">
            <w:pPr>
              <w:pStyle w:val="TableText"/>
              <w:rPr>
                <w:lang w:val="en-GB" w:bidi="ar-SA"/>
              </w:rPr>
            </w:pPr>
            <w:r>
              <w:rPr>
                <w:lang w:val="en-GB" w:bidi="ar-SA"/>
              </w:rPr>
              <w:t xml:space="preserve">Minor style/formatting changes (cosmetic) and </w:t>
            </w:r>
          </w:p>
        </w:tc>
      </w:tr>
      <w:tr w:rsidR="00A51ACF" w:rsidRPr="00D712AE" w14:paraId="005DE67F" w14:textId="77777777" w:rsidTr="00400788">
        <w:tc>
          <w:tcPr>
            <w:tcW w:w="1136" w:type="dxa"/>
          </w:tcPr>
          <w:p w14:paraId="59250BE3" w14:textId="4A24ECC4" w:rsidR="00A51ACF" w:rsidRPr="00D712AE" w:rsidRDefault="00571780" w:rsidP="00B1369E">
            <w:pPr>
              <w:pStyle w:val="TableText"/>
              <w:jc w:val="center"/>
              <w:rPr>
                <w:lang w:val="en-GB" w:bidi="ar-SA"/>
              </w:rPr>
            </w:pPr>
            <w:r>
              <w:rPr>
                <w:lang w:val="en-GB" w:bidi="ar-SA"/>
              </w:rPr>
              <w:t>2.5</w:t>
            </w:r>
          </w:p>
        </w:tc>
        <w:tc>
          <w:tcPr>
            <w:tcW w:w="1928" w:type="dxa"/>
          </w:tcPr>
          <w:p w14:paraId="7D45EC49" w14:textId="059BFC04" w:rsidR="00A51ACF" w:rsidRPr="00D712AE" w:rsidRDefault="00571780" w:rsidP="00B1369E">
            <w:pPr>
              <w:pStyle w:val="TableText"/>
              <w:rPr>
                <w:lang w:val="en-GB" w:bidi="ar-SA"/>
              </w:rPr>
            </w:pPr>
            <w:r>
              <w:rPr>
                <w:lang w:val="en-GB" w:bidi="ar-SA"/>
              </w:rPr>
              <w:t>13-Mar-2017</w:t>
            </w:r>
          </w:p>
        </w:tc>
        <w:tc>
          <w:tcPr>
            <w:tcW w:w="2970" w:type="dxa"/>
          </w:tcPr>
          <w:p w14:paraId="7E86B124" w14:textId="77777777" w:rsidR="00A51ACF" w:rsidRPr="00D712AE" w:rsidRDefault="00A51ACF" w:rsidP="00B1369E">
            <w:pPr>
              <w:pStyle w:val="TableText"/>
              <w:rPr>
                <w:lang w:val="en-GB" w:bidi="ar-SA"/>
              </w:rPr>
            </w:pPr>
          </w:p>
        </w:tc>
        <w:tc>
          <w:tcPr>
            <w:tcW w:w="4622" w:type="dxa"/>
          </w:tcPr>
          <w:p w14:paraId="10469F67" w14:textId="79211DDF" w:rsidR="00A51ACF" w:rsidRPr="00D712AE" w:rsidRDefault="00571780" w:rsidP="00B1369E">
            <w:pPr>
              <w:pStyle w:val="TableText"/>
              <w:rPr>
                <w:lang w:val="en-GB" w:bidi="ar-SA"/>
              </w:rPr>
            </w:pPr>
            <w:r>
              <w:rPr>
                <w:lang w:val="en-GB" w:bidi="ar-SA"/>
              </w:rPr>
              <w:t>Policy Management Review</w:t>
            </w:r>
            <w:r w:rsidR="001B4571">
              <w:rPr>
                <w:lang w:val="en-GB" w:bidi="ar-SA"/>
              </w:rPr>
              <w:t xml:space="preserve"> – Analysed against CPI-810 10 and Data Classification </w:t>
            </w:r>
          </w:p>
        </w:tc>
      </w:tr>
      <w:tr w:rsidR="00A51ACF" w:rsidRPr="00D712AE" w14:paraId="07C57845" w14:textId="77777777" w:rsidTr="00400788">
        <w:tc>
          <w:tcPr>
            <w:tcW w:w="1136" w:type="dxa"/>
          </w:tcPr>
          <w:p w14:paraId="2D6052D5" w14:textId="185D3FE0" w:rsidR="00A51ACF" w:rsidRPr="00D712AE" w:rsidRDefault="00A834B1" w:rsidP="00B1369E">
            <w:pPr>
              <w:pStyle w:val="TableText"/>
              <w:jc w:val="center"/>
              <w:rPr>
                <w:lang w:val="en-GB" w:bidi="ar-SA"/>
              </w:rPr>
            </w:pPr>
            <w:r>
              <w:rPr>
                <w:lang w:val="en-GB" w:bidi="ar-SA"/>
              </w:rPr>
              <w:t>2.6</w:t>
            </w:r>
          </w:p>
        </w:tc>
        <w:tc>
          <w:tcPr>
            <w:tcW w:w="1928" w:type="dxa"/>
          </w:tcPr>
          <w:p w14:paraId="63566DCD" w14:textId="4C68315E" w:rsidR="00A51ACF" w:rsidRPr="00D712AE" w:rsidRDefault="00A834B1" w:rsidP="00B1369E">
            <w:pPr>
              <w:pStyle w:val="TableText"/>
              <w:rPr>
                <w:lang w:val="en-GB" w:bidi="ar-SA"/>
              </w:rPr>
            </w:pPr>
            <w:r>
              <w:rPr>
                <w:lang w:val="en-GB" w:bidi="ar-SA"/>
              </w:rPr>
              <w:t>14-Mar-2017</w:t>
            </w:r>
          </w:p>
        </w:tc>
        <w:tc>
          <w:tcPr>
            <w:tcW w:w="2970" w:type="dxa"/>
          </w:tcPr>
          <w:p w14:paraId="05BF3116" w14:textId="77777777" w:rsidR="00A51ACF" w:rsidRPr="00D712AE" w:rsidRDefault="00A51ACF" w:rsidP="00B1369E">
            <w:pPr>
              <w:pStyle w:val="TableText"/>
              <w:rPr>
                <w:lang w:val="en-GB" w:bidi="ar-SA"/>
              </w:rPr>
            </w:pPr>
          </w:p>
        </w:tc>
        <w:tc>
          <w:tcPr>
            <w:tcW w:w="4622" w:type="dxa"/>
          </w:tcPr>
          <w:p w14:paraId="12CAC3C8" w14:textId="1A8A6A04" w:rsidR="00A51ACF" w:rsidRPr="00D712AE" w:rsidRDefault="00147966" w:rsidP="00147966">
            <w:pPr>
              <w:pStyle w:val="TableText"/>
              <w:rPr>
                <w:lang w:val="en-GB" w:bidi="ar-SA"/>
              </w:rPr>
            </w:pPr>
            <w:r>
              <w:rPr>
                <w:lang w:val="en-GB" w:bidi="ar-SA"/>
              </w:rPr>
              <w:t xml:space="preserve">Policy Management </w:t>
            </w:r>
            <w:r w:rsidR="001B4571">
              <w:rPr>
                <w:lang w:val="en-GB" w:bidi="ar-SA"/>
              </w:rPr>
              <w:t>A</w:t>
            </w:r>
            <w:r w:rsidR="00A834B1">
              <w:rPr>
                <w:lang w:val="en-GB" w:bidi="ar-SA"/>
              </w:rPr>
              <w:t xml:space="preserve">dded </w:t>
            </w:r>
            <w:r w:rsidR="001B4571">
              <w:rPr>
                <w:lang w:val="en-GB" w:bidi="ar-SA"/>
              </w:rPr>
              <w:t xml:space="preserve">applicable </w:t>
            </w:r>
            <w:r w:rsidR="00A834B1">
              <w:rPr>
                <w:lang w:val="en-GB" w:bidi="ar-SA"/>
              </w:rPr>
              <w:t xml:space="preserve">Control Standards </w:t>
            </w:r>
            <w:r w:rsidR="001B4571">
              <w:rPr>
                <w:lang w:val="en-GB" w:bidi="ar-SA"/>
              </w:rPr>
              <w:t>to Purpose and DMS Registry</w:t>
            </w:r>
            <w:r w:rsidR="00A834B1">
              <w:rPr>
                <w:lang w:val="en-GB" w:bidi="ar-SA"/>
              </w:rPr>
              <w:t>. TCC Review scheduled 3/20/2017</w:t>
            </w:r>
          </w:p>
        </w:tc>
      </w:tr>
      <w:tr w:rsidR="00A51ACF" w:rsidRPr="00D712AE" w14:paraId="5CB36E0C" w14:textId="77777777" w:rsidTr="00400788">
        <w:tc>
          <w:tcPr>
            <w:tcW w:w="1136" w:type="dxa"/>
          </w:tcPr>
          <w:p w14:paraId="3DA3B3C7" w14:textId="4B11DC91" w:rsidR="00A51ACF" w:rsidRPr="00D712AE" w:rsidRDefault="00147966" w:rsidP="00B1369E">
            <w:pPr>
              <w:pStyle w:val="TableText"/>
              <w:jc w:val="center"/>
              <w:rPr>
                <w:lang w:val="en-GB" w:bidi="ar-SA"/>
              </w:rPr>
            </w:pPr>
            <w:r>
              <w:rPr>
                <w:lang w:val="en-GB" w:bidi="ar-SA"/>
              </w:rPr>
              <w:t>2.7</w:t>
            </w:r>
          </w:p>
        </w:tc>
        <w:tc>
          <w:tcPr>
            <w:tcW w:w="1928" w:type="dxa"/>
          </w:tcPr>
          <w:p w14:paraId="4C34A26C" w14:textId="07477A99" w:rsidR="00A51ACF" w:rsidRPr="00D712AE" w:rsidRDefault="00147966" w:rsidP="00B1369E">
            <w:pPr>
              <w:pStyle w:val="TableText"/>
              <w:rPr>
                <w:lang w:val="en-GB" w:bidi="ar-SA"/>
              </w:rPr>
            </w:pPr>
            <w:r>
              <w:rPr>
                <w:lang w:val="en-GB" w:bidi="ar-SA"/>
              </w:rPr>
              <w:t>20-Mar-2017</w:t>
            </w:r>
          </w:p>
        </w:tc>
        <w:tc>
          <w:tcPr>
            <w:tcW w:w="2970" w:type="dxa"/>
          </w:tcPr>
          <w:p w14:paraId="1A47EDDE" w14:textId="5C3703D7" w:rsidR="00A51ACF" w:rsidRPr="00D712AE" w:rsidRDefault="00147966" w:rsidP="00B1369E">
            <w:pPr>
              <w:pStyle w:val="TableText"/>
              <w:rPr>
                <w:lang w:val="en-GB" w:bidi="ar-SA"/>
              </w:rPr>
            </w:pPr>
            <w:r>
              <w:rPr>
                <w:lang w:val="en-GB" w:bidi="ar-SA"/>
              </w:rPr>
              <w:t>TCC</w:t>
            </w:r>
          </w:p>
        </w:tc>
        <w:tc>
          <w:tcPr>
            <w:tcW w:w="4622" w:type="dxa"/>
          </w:tcPr>
          <w:p w14:paraId="547D0EF3" w14:textId="73668902" w:rsidR="00A51ACF" w:rsidRPr="00D712AE" w:rsidRDefault="00147966" w:rsidP="00B1369E">
            <w:pPr>
              <w:pStyle w:val="TableText"/>
              <w:rPr>
                <w:lang w:val="en-GB" w:bidi="ar-SA"/>
              </w:rPr>
            </w:pPr>
            <w:r>
              <w:rPr>
                <w:lang w:val="en-GB" w:bidi="ar-SA"/>
              </w:rPr>
              <w:t>TCC Majority Approval for CISC Review</w:t>
            </w:r>
          </w:p>
        </w:tc>
      </w:tr>
      <w:tr w:rsidR="00A51ACF" w:rsidRPr="00D712AE" w14:paraId="7E3FAFA1" w14:textId="77777777" w:rsidTr="00400788">
        <w:tc>
          <w:tcPr>
            <w:tcW w:w="1136" w:type="dxa"/>
          </w:tcPr>
          <w:p w14:paraId="6A91A02B" w14:textId="648721DD" w:rsidR="00A51ACF" w:rsidRPr="00D712AE" w:rsidRDefault="004811D6" w:rsidP="00B1369E">
            <w:pPr>
              <w:pStyle w:val="TableText"/>
              <w:jc w:val="center"/>
              <w:rPr>
                <w:lang w:val="en-GB" w:bidi="ar-SA"/>
              </w:rPr>
            </w:pPr>
            <w:r>
              <w:rPr>
                <w:lang w:val="en-GB" w:bidi="ar-SA"/>
              </w:rPr>
              <w:t>2.8</w:t>
            </w:r>
          </w:p>
        </w:tc>
        <w:tc>
          <w:tcPr>
            <w:tcW w:w="1928" w:type="dxa"/>
          </w:tcPr>
          <w:p w14:paraId="6FBA7B58" w14:textId="6A828154" w:rsidR="00A51ACF" w:rsidRPr="00D712AE" w:rsidRDefault="004811D6" w:rsidP="00B1369E">
            <w:pPr>
              <w:pStyle w:val="TableText"/>
              <w:rPr>
                <w:lang w:val="en-GB" w:bidi="ar-SA"/>
              </w:rPr>
            </w:pPr>
            <w:r>
              <w:rPr>
                <w:lang w:val="en-GB" w:bidi="ar-SA"/>
              </w:rPr>
              <w:t>21-Mar-2017</w:t>
            </w:r>
          </w:p>
        </w:tc>
        <w:tc>
          <w:tcPr>
            <w:tcW w:w="2970" w:type="dxa"/>
          </w:tcPr>
          <w:p w14:paraId="601AC41F" w14:textId="77777777" w:rsidR="00A51ACF" w:rsidRPr="00D712AE" w:rsidRDefault="00A51ACF" w:rsidP="00B1369E">
            <w:pPr>
              <w:pStyle w:val="TableText"/>
              <w:rPr>
                <w:lang w:val="en-GB" w:bidi="ar-SA"/>
              </w:rPr>
            </w:pPr>
          </w:p>
        </w:tc>
        <w:tc>
          <w:tcPr>
            <w:tcW w:w="4622" w:type="dxa"/>
          </w:tcPr>
          <w:p w14:paraId="7DE2BB7D" w14:textId="1F77193A" w:rsidR="00A51ACF" w:rsidRPr="00D712AE" w:rsidRDefault="004811D6" w:rsidP="00B1369E">
            <w:pPr>
              <w:pStyle w:val="TableText"/>
              <w:rPr>
                <w:lang w:val="en-GB" w:bidi="ar-SA"/>
              </w:rPr>
            </w:pPr>
            <w:r>
              <w:rPr>
                <w:lang w:val="en-GB" w:bidi="ar-SA"/>
              </w:rPr>
              <w:t>Policy Management Control Standards Gap Analysis</w:t>
            </w:r>
          </w:p>
        </w:tc>
      </w:tr>
      <w:tr w:rsidR="00A51ACF" w:rsidRPr="00D712AE" w14:paraId="44E61FEA" w14:textId="77777777" w:rsidTr="00400788">
        <w:tc>
          <w:tcPr>
            <w:tcW w:w="1136" w:type="dxa"/>
          </w:tcPr>
          <w:p w14:paraId="6C41B231" w14:textId="38310EA9" w:rsidR="00A51ACF" w:rsidRPr="00D712AE" w:rsidRDefault="00937961" w:rsidP="00B1369E">
            <w:pPr>
              <w:pStyle w:val="TableText"/>
              <w:jc w:val="center"/>
              <w:rPr>
                <w:lang w:val="en-GB" w:bidi="ar-SA"/>
              </w:rPr>
            </w:pPr>
            <w:r>
              <w:rPr>
                <w:lang w:val="en-GB" w:bidi="ar-SA"/>
              </w:rPr>
              <w:t>2.9</w:t>
            </w:r>
          </w:p>
        </w:tc>
        <w:tc>
          <w:tcPr>
            <w:tcW w:w="1928" w:type="dxa"/>
          </w:tcPr>
          <w:p w14:paraId="2F5DE1A3" w14:textId="4D0C4315" w:rsidR="00A51ACF" w:rsidRPr="00D712AE" w:rsidRDefault="00937961" w:rsidP="00B1369E">
            <w:pPr>
              <w:pStyle w:val="TableText"/>
              <w:rPr>
                <w:lang w:val="en-GB" w:bidi="ar-SA"/>
              </w:rPr>
            </w:pPr>
            <w:r>
              <w:rPr>
                <w:lang w:val="en-GB" w:bidi="ar-SA"/>
              </w:rPr>
              <w:t>24-Mar-2017</w:t>
            </w:r>
          </w:p>
        </w:tc>
        <w:tc>
          <w:tcPr>
            <w:tcW w:w="2970" w:type="dxa"/>
          </w:tcPr>
          <w:p w14:paraId="3FA5E9FB" w14:textId="77777777" w:rsidR="00A51ACF" w:rsidRPr="00D712AE" w:rsidRDefault="00A51ACF" w:rsidP="00B1369E">
            <w:pPr>
              <w:pStyle w:val="TableText"/>
              <w:rPr>
                <w:lang w:val="en-GB" w:bidi="ar-SA"/>
              </w:rPr>
            </w:pPr>
          </w:p>
        </w:tc>
        <w:tc>
          <w:tcPr>
            <w:tcW w:w="4622" w:type="dxa"/>
          </w:tcPr>
          <w:p w14:paraId="0EA2A7F3" w14:textId="77777777" w:rsidR="00A51ACF" w:rsidRDefault="00937961" w:rsidP="00B1369E">
            <w:pPr>
              <w:pStyle w:val="TableText"/>
              <w:rPr>
                <w:lang w:val="en-GB" w:bidi="ar-SA"/>
              </w:rPr>
            </w:pPr>
            <w:r>
              <w:rPr>
                <w:lang w:val="en-GB" w:bidi="ar-SA"/>
              </w:rPr>
              <w:t>CISC No Vote – Suggested Changes:</w:t>
            </w:r>
          </w:p>
          <w:p w14:paraId="7D42316B" w14:textId="77777777" w:rsidR="00937961" w:rsidRDefault="00937961" w:rsidP="00937961">
            <w:pPr>
              <w:pStyle w:val="TableBullet"/>
            </w:pPr>
            <w:r>
              <w:t>No Vote – Change PCI 12.6 to 12.1.1 and 12.8.4</w:t>
            </w:r>
          </w:p>
          <w:p w14:paraId="6F6EE0B6" w14:textId="77777777" w:rsidR="00937961" w:rsidRDefault="00937961" w:rsidP="00937961">
            <w:pPr>
              <w:pStyle w:val="TableBullet"/>
            </w:pPr>
            <w:r>
              <w:t xml:space="preserve">Purpose and Scope need to be reworked </w:t>
            </w:r>
          </w:p>
          <w:p w14:paraId="5B0E0BC3" w14:textId="0B656639" w:rsidR="00937961" w:rsidRPr="00D712AE" w:rsidRDefault="00937961" w:rsidP="00507784">
            <w:pPr>
              <w:pStyle w:val="TableBullet"/>
              <w:rPr>
                <w:lang w:val="en-GB" w:bidi="ar-SA"/>
              </w:rPr>
            </w:pPr>
            <w:r>
              <w:t>Program Audit also needs to be reworked</w:t>
            </w:r>
          </w:p>
        </w:tc>
      </w:tr>
      <w:tr w:rsidR="00A51ACF" w:rsidRPr="00D712AE" w14:paraId="097FC351" w14:textId="77777777" w:rsidTr="00400788">
        <w:tc>
          <w:tcPr>
            <w:tcW w:w="1136" w:type="dxa"/>
          </w:tcPr>
          <w:p w14:paraId="4B63394F" w14:textId="66B10C85" w:rsidR="00A51ACF" w:rsidRPr="00D712AE" w:rsidRDefault="002C5E9F" w:rsidP="00B1369E">
            <w:pPr>
              <w:pStyle w:val="TableText"/>
              <w:jc w:val="center"/>
              <w:rPr>
                <w:lang w:val="en-GB" w:bidi="ar-SA"/>
              </w:rPr>
            </w:pPr>
            <w:r>
              <w:rPr>
                <w:lang w:val="en-GB" w:bidi="ar-SA"/>
              </w:rPr>
              <w:t>2.10</w:t>
            </w:r>
          </w:p>
        </w:tc>
        <w:tc>
          <w:tcPr>
            <w:tcW w:w="1928" w:type="dxa"/>
          </w:tcPr>
          <w:p w14:paraId="389A7BB8" w14:textId="313A4187" w:rsidR="00A51ACF" w:rsidRPr="00D712AE" w:rsidRDefault="002C5E9F" w:rsidP="00B1369E">
            <w:pPr>
              <w:pStyle w:val="TableText"/>
              <w:rPr>
                <w:lang w:val="en-GB" w:bidi="ar-SA"/>
              </w:rPr>
            </w:pPr>
            <w:r>
              <w:rPr>
                <w:lang w:val="en-GB" w:bidi="ar-SA"/>
              </w:rPr>
              <w:t>07-Dec-2017</w:t>
            </w:r>
          </w:p>
        </w:tc>
        <w:tc>
          <w:tcPr>
            <w:tcW w:w="2970" w:type="dxa"/>
          </w:tcPr>
          <w:p w14:paraId="19890A87" w14:textId="77777777" w:rsidR="00A51ACF" w:rsidRPr="00D712AE" w:rsidRDefault="00A51ACF" w:rsidP="00B1369E">
            <w:pPr>
              <w:pStyle w:val="TableText"/>
              <w:rPr>
                <w:lang w:val="en-GB" w:bidi="ar-SA"/>
              </w:rPr>
            </w:pPr>
          </w:p>
        </w:tc>
        <w:tc>
          <w:tcPr>
            <w:tcW w:w="4622" w:type="dxa"/>
          </w:tcPr>
          <w:p w14:paraId="396597DD" w14:textId="22F0B182" w:rsidR="00A51ACF" w:rsidRPr="00D712AE" w:rsidRDefault="002C5E9F" w:rsidP="00B1369E">
            <w:pPr>
              <w:pStyle w:val="TableText"/>
              <w:rPr>
                <w:lang w:val="en-GB" w:bidi="ar-SA"/>
              </w:rPr>
            </w:pPr>
            <w:r>
              <w:rPr>
                <w:lang w:val="en-GB" w:bidi="ar-SA"/>
              </w:rPr>
              <w:t>Template updated</w:t>
            </w:r>
          </w:p>
        </w:tc>
      </w:tr>
      <w:tr w:rsidR="00A51ACF" w:rsidRPr="00D712AE" w14:paraId="7B37A43D" w14:textId="77777777" w:rsidTr="00400788">
        <w:tc>
          <w:tcPr>
            <w:tcW w:w="1136" w:type="dxa"/>
          </w:tcPr>
          <w:p w14:paraId="0574BF97" w14:textId="6EDD0A80" w:rsidR="00A51ACF" w:rsidRPr="00D712AE" w:rsidRDefault="00B23EE6" w:rsidP="00B1369E">
            <w:pPr>
              <w:pStyle w:val="TableText"/>
              <w:jc w:val="center"/>
              <w:rPr>
                <w:lang w:val="en-GB" w:bidi="ar-SA"/>
              </w:rPr>
            </w:pPr>
            <w:r>
              <w:rPr>
                <w:lang w:val="en-GB" w:bidi="ar-SA"/>
              </w:rPr>
              <w:t>2.11</w:t>
            </w:r>
          </w:p>
        </w:tc>
        <w:tc>
          <w:tcPr>
            <w:tcW w:w="1928" w:type="dxa"/>
          </w:tcPr>
          <w:p w14:paraId="6AE6AA11" w14:textId="30E8CDDB" w:rsidR="00A51ACF" w:rsidRPr="00D712AE" w:rsidRDefault="00B23EE6" w:rsidP="00B1369E">
            <w:pPr>
              <w:pStyle w:val="TableText"/>
              <w:rPr>
                <w:lang w:val="en-GB" w:bidi="ar-SA"/>
              </w:rPr>
            </w:pPr>
            <w:r>
              <w:rPr>
                <w:lang w:val="en-GB" w:bidi="ar-SA"/>
              </w:rPr>
              <w:t>08-Dec-2017</w:t>
            </w:r>
          </w:p>
        </w:tc>
        <w:tc>
          <w:tcPr>
            <w:tcW w:w="2970" w:type="dxa"/>
          </w:tcPr>
          <w:p w14:paraId="2E174071" w14:textId="77777777" w:rsidR="00A51ACF" w:rsidRPr="00D712AE" w:rsidRDefault="00A51ACF" w:rsidP="00B1369E">
            <w:pPr>
              <w:pStyle w:val="TableText"/>
              <w:rPr>
                <w:lang w:val="en-GB" w:bidi="ar-SA"/>
              </w:rPr>
            </w:pPr>
          </w:p>
        </w:tc>
        <w:tc>
          <w:tcPr>
            <w:tcW w:w="4622" w:type="dxa"/>
          </w:tcPr>
          <w:p w14:paraId="52D7AE0C" w14:textId="5E9E39AB" w:rsidR="00B23EE6" w:rsidRDefault="00185425" w:rsidP="00B1369E">
            <w:pPr>
              <w:pStyle w:val="TableText"/>
              <w:rPr>
                <w:lang w:val="en-GB" w:bidi="ar-SA"/>
              </w:rPr>
            </w:pPr>
            <w:r>
              <w:rPr>
                <w:lang w:val="en-GB" w:bidi="ar-SA"/>
              </w:rPr>
              <w:t xml:space="preserve">IN PROGRESS </w:t>
            </w:r>
            <w:r w:rsidR="00B23EE6">
              <w:rPr>
                <w:lang w:val="en-GB" w:bidi="ar-SA"/>
              </w:rPr>
              <w:t>Policy Management review</w:t>
            </w:r>
            <w:r w:rsidR="003214CD">
              <w:rPr>
                <w:lang w:val="en-GB" w:bidi="ar-SA"/>
              </w:rPr>
              <w:t xml:space="preserve"> and changes associated with </w:t>
            </w:r>
            <w:r w:rsidR="00B23EE6">
              <w:rPr>
                <w:lang w:val="en-GB" w:bidi="ar-SA"/>
              </w:rPr>
              <w:t>IBM branding</w:t>
            </w:r>
          </w:p>
          <w:p w14:paraId="4D10090A" w14:textId="0C4AC096" w:rsidR="00A51ACF" w:rsidRPr="00B23EE6" w:rsidRDefault="00B23EE6" w:rsidP="00B23EE6">
            <w:pPr>
              <w:pStyle w:val="TableText"/>
              <w:rPr>
                <w:b/>
                <w:lang w:val="en-GB" w:bidi="ar-SA"/>
              </w:rPr>
            </w:pPr>
            <w:r w:rsidRPr="00B23EE6">
              <w:rPr>
                <w:b/>
                <w:lang w:val="en-GB" w:bidi="ar-SA"/>
              </w:rPr>
              <w:t xml:space="preserve">NOTE: After this review, the SME would need to make the changes requested by CISC per document history entry 2.9 </w:t>
            </w:r>
          </w:p>
        </w:tc>
      </w:tr>
      <w:tr w:rsidR="00A51ACF" w:rsidRPr="00D712AE" w14:paraId="132591FA" w14:textId="77777777" w:rsidTr="00400788">
        <w:tc>
          <w:tcPr>
            <w:tcW w:w="1136" w:type="dxa"/>
          </w:tcPr>
          <w:p w14:paraId="31C25532" w14:textId="4ABA1BF0" w:rsidR="00A51ACF" w:rsidRPr="00D712AE" w:rsidRDefault="00E521C5" w:rsidP="00B1369E">
            <w:pPr>
              <w:pStyle w:val="TableText"/>
              <w:jc w:val="center"/>
              <w:rPr>
                <w:lang w:val="en-GB" w:bidi="ar-SA"/>
              </w:rPr>
            </w:pPr>
            <w:r>
              <w:rPr>
                <w:lang w:val="en-GB" w:bidi="ar-SA"/>
              </w:rPr>
              <w:t>2.12</w:t>
            </w:r>
          </w:p>
        </w:tc>
        <w:tc>
          <w:tcPr>
            <w:tcW w:w="1928" w:type="dxa"/>
          </w:tcPr>
          <w:p w14:paraId="074B3436" w14:textId="69A2D04D" w:rsidR="00A51ACF" w:rsidRPr="00D712AE" w:rsidRDefault="00E23B59" w:rsidP="00B1369E">
            <w:pPr>
              <w:pStyle w:val="TableText"/>
              <w:rPr>
                <w:lang w:val="en-GB" w:bidi="ar-SA"/>
              </w:rPr>
            </w:pPr>
            <w:r>
              <w:rPr>
                <w:lang w:val="en-GB" w:bidi="ar-SA"/>
              </w:rPr>
              <w:t>2-Jul-2018</w:t>
            </w:r>
          </w:p>
        </w:tc>
        <w:tc>
          <w:tcPr>
            <w:tcW w:w="2970" w:type="dxa"/>
          </w:tcPr>
          <w:p w14:paraId="6B1EC0D0" w14:textId="0B26E46E" w:rsidR="00A51ACF" w:rsidRPr="00D712AE" w:rsidRDefault="00825409" w:rsidP="00B1369E">
            <w:pPr>
              <w:pStyle w:val="TableText"/>
              <w:rPr>
                <w:lang w:val="en-GB" w:bidi="ar-SA"/>
              </w:rPr>
            </w:pPr>
            <w:r>
              <w:rPr>
                <w:lang w:val="en-GB" w:bidi="ar-SA"/>
              </w:rPr>
              <w:t>Jeremy Dick</w:t>
            </w:r>
          </w:p>
        </w:tc>
        <w:tc>
          <w:tcPr>
            <w:tcW w:w="4622" w:type="dxa"/>
          </w:tcPr>
          <w:p w14:paraId="15D7CECF" w14:textId="68C8E167" w:rsidR="00A51ACF" w:rsidRPr="00D712AE" w:rsidRDefault="00825409" w:rsidP="00B1369E">
            <w:pPr>
              <w:pStyle w:val="TableText"/>
              <w:rPr>
                <w:lang w:val="en-GB" w:bidi="ar-SA"/>
              </w:rPr>
            </w:pPr>
            <w:r>
              <w:rPr>
                <w:lang w:val="en-GB" w:bidi="ar-SA"/>
              </w:rPr>
              <w:t>Updates throughout document to update overall policy changes.</w:t>
            </w:r>
          </w:p>
        </w:tc>
      </w:tr>
      <w:tr w:rsidR="00A51ACF" w:rsidRPr="00D712AE" w14:paraId="0411970D" w14:textId="77777777" w:rsidTr="00400788">
        <w:tc>
          <w:tcPr>
            <w:tcW w:w="1136" w:type="dxa"/>
          </w:tcPr>
          <w:p w14:paraId="235DCED5" w14:textId="55A39F92" w:rsidR="00A51ACF" w:rsidRPr="00D712AE" w:rsidRDefault="00E23B59" w:rsidP="00B1369E">
            <w:pPr>
              <w:pStyle w:val="TableText"/>
              <w:jc w:val="center"/>
              <w:rPr>
                <w:lang w:val="en-GB" w:bidi="ar-SA"/>
              </w:rPr>
            </w:pPr>
            <w:r>
              <w:rPr>
                <w:lang w:val="en-GB" w:bidi="ar-SA"/>
              </w:rPr>
              <w:t>2.13</w:t>
            </w:r>
          </w:p>
        </w:tc>
        <w:tc>
          <w:tcPr>
            <w:tcW w:w="1928" w:type="dxa"/>
          </w:tcPr>
          <w:p w14:paraId="60D47EE5" w14:textId="7202965E" w:rsidR="00A51ACF" w:rsidRPr="00D712AE" w:rsidRDefault="00E23B59" w:rsidP="00B1369E">
            <w:pPr>
              <w:pStyle w:val="TableText"/>
              <w:rPr>
                <w:lang w:val="en-GB" w:bidi="ar-SA"/>
              </w:rPr>
            </w:pPr>
            <w:r>
              <w:rPr>
                <w:lang w:val="en-GB" w:bidi="ar-SA"/>
              </w:rPr>
              <w:t>2-Jul-2018</w:t>
            </w:r>
          </w:p>
        </w:tc>
        <w:tc>
          <w:tcPr>
            <w:tcW w:w="2970" w:type="dxa"/>
          </w:tcPr>
          <w:p w14:paraId="5314F5E6" w14:textId="77777777" w:rsidR="00A51ACF" w:rsidRPr="00D712AE" w:rsidRDefault="00A51ACF" w:rsidP="00B1369E">
            <w:pPr>
              <w:pStyle w:val="TableText"/>
              <w:rPr>
                <w:lang w:val="en-GB" w:bidi="ar-SA"/>
              </w:rPr>
            </w:pPr>
          </w:p>
        </w:tc>
        <w:tc>
          <w:tcPr>
            <w:tcW w:w="4622" w:type="dxa"/>
          </w:tcPr>
          <w:p w14:paraId="662A692B" w14:textId="649D6DEF" w:rsidR="00A51ACF" w:rsidRPr="00D712AE" w:rsidRDefault="00E23B59" w:rsidP="00B1369E">
            <w:pPr>
              <w:pStyle w:val="TableText"/>
              <w:rPr>
                <w:lang w:val="en-GB" w:bidi="ar-SA"/>
              </w:rPr>
            </w:pPr>
            <w:r>
              <w:rPr>
                <w:lang w:val="en-GB" w:bidi="ar-SA"/>
              </w:rPr>
              <w:t>Policy Management Review and Update</w:t>
            </w:r>
            <w:r w:rsidR="007545D7">
              <w:rPr>
                <w:lang w:val="en-GB" w:bidi="ar-SA"/>
              </w:rPr>
              <w:t xml:space="preserve"> – Ready for Final SME Review</w:t>
            </w:r>
          </w:p>
        </w:tc>
      </w:tr>
      <w:tr w:rsidR="00A51ACF" w:rsidRPr="00D712AE" w14:paraId="7C0732EE" w14:textId="77777777" w:rsidTr="00400788">
        <w:tc>
          <w:tcPr>
            <w:tcW w:w="1136" w:type="dxa"/>
          </w:tcPr>
          <w:p w14:paraId="31DC8DF0" w14:textId="2F58C93C" w:rsidR="00A51ACF" w:rsidRPr="00D712AE" w:rsidRDefault="007545D7" w:rsidP="00B1369E">
            <w:pPr>
              <w:pStyle w:val="TableText"/>
              <w:jc w:val="center"/>
              <w:rPr>
                <w:lang w:val="en-GB" w:bidi="ar-SA"/>
              </w:rPr>
            </w:pPr>
            <w:r>
              <w:rPr>
                <w:lang w:val="en-GB" w:bidi="ar-SA"/>
              </w:rPr>
              <w:t>2.14</w:t>
            </w:r>
          </w:p>
        </w:tc>
        <w:tc>
          <w:tcPr>
            <w:tcW w:w="1928" w:type="dxa"/>
          </w:tcPr>
          <w:p w14:paraId="753DFD36" w14:textId="3545E337" w:rsidR="00A51ACF" w:rsidRPr="00D712AE" w:rsidRDefault="007545D7" w:rsidP="00B1369E">
            <w:pPr>
              <w:pStyle w:val="TableText"/>
              <w:rPr>
                <w:lang w:val="en-GB" w:bidi="ar-SA"/>
              </w:rPr>
            </w:pPr>
            <w:r>
              <w:rPr>
                <w:lang w:val="en-GB" w:bidi="ar-SA"/>
              </w:rPr>
              <w:t>9-Jul-2018</w:t>
            </w:r>
          </w:p>
        </w:tc>
        <w:tc>
          <w:tcPr>
            <w:tcW w:w="2970" w:type="dxa"/>
          </w:tcPr>
          <w:p w14:paraId="6627F654" w14:textId="14EC8C5B" w:rsidR="00A51ACF" w:rsidRPr="00D712AE" w:rsidRDefault="007545D7" w:rsidP="00B1369E">
            <w:pPr>
              <w:pStyle w:val="TableText"/>
              <w:rPr>
                <w:lang w:val="en-GB" w:bidi="ar-SA"/>
              </w:rPr>
            </w:pPr>
            <w:r>
              <w:rPr>
                <w:lang w:val="en-GB" w:bidi="ar-SA"/>
              </w:rPr>
              <w:t>TCC</w:t>
            </w:r>
          </w:p>
        </w:tc>
        <w:tc>
          <w:tcPr>
            <w:tcW w:w="4622" w:type="dxa"/>
          </w:tcPr>
          <w:p w14:paraId="2621DC25" w14:textId="3EBAE7BA" w:rsidR="00A51ACF" w:rsidRPr="00D712AE" w:rsidRDefault="007545D7" w:rsidP="00607325">
            <w:pPr>
              <w:pStyle w:val="TableText"/>
              <w:rPr>
                <w:lang w:val="en-GB" w:bidi="ar-SA"/>
              </w:rPr>
            </w:pPr>
            <w:r>
              <w:rPr>
                <w:lang w:val="en-GB" w:bidi="ar-SA"/>
              </w:rPr>
              <w:t xml:space="preserve">TCC Review </w:t>
            </w:r>
            <w:r w:rsidR="00607325">
              <w:rPr>
                <w:lang w:val="en-GB" w:bidi="ar-SA"/>
              </w:rPr>
              <w:t>and Approved for GRCQ</w:t>
            </w:r>
          </w:p>
        </w:tc>
      </w:tr>
      <w:tr w:rsidR="00A51ACF" w:rsidRPr="00D712AE" w14:paraId="7CAEEF8C" w14:textId="77777777" w:rsidTr="00400788">
        <w:tc>
          <w:tcPr>
            <w:tcW w:w="1136" w:type="dxa"/>
          </w:tcPr>
          <w:p w14:paraId="23C95118" w14:textId="549BCD53" w:rsidR="00A51ACF" w:rsidRPr="00D712AE" w:rsidRDefault="00607325" w:rsidP="00B1369E">
            <w:pPr>
              <w:pStyle w:val="TableText"/>
              <w:jc w:val="center"/>
              <w:rPr>
                <w:lang w:val="en-GB" w:bidi="ar-SA"/>
              </w:rPr>
            </w:pPr>
            <w:r>
              <w:rPr>
                <w:lang w:val="en-GB" w:bidi="ar-SA"/>
              </w:rPr>
              <w:lastRenderedPageBreak/>
              <w:t>2.15</w:t>
            </w:r>
          </w:p>
        </w:tc>
        <w:tc>
          <w:tcPr>
            <w:tcW w:w="1928" w:type="dxa"/>
          </w:tcPr>
          <w:p w14:paraId="7D38C15C" w14:textId="7820D485" w:rsidR="00A51ACF" w:rsidRPr="00D712AE" w:rsidRDefault="00607325" w:rsidP="00B1369E">
            <w:pPr>
              <w:pStyle w:val="TableText"/>
              <w:rPr>
                <w:lang w:val="en-GB" w:bidi="ar-SA"/>
              </w:rPr>
            </w:pPr>
            <w:r>
              <w:rPr>
                <w:lang w:val="en-GB" w:bidi="ar-SA"/>
              </w:rPr>
              <w:t>16-Ju-2018</w:t>
            </w:r>
          </w:p>
        </w:tc>
        <w:tc>
          <w:tcPr>
            <w:tcW w:w="2970" w:type="dxa"/>
          </w:tcPr>
          <w:p w14:paraId="055ED6BE" w14:textId="57002A42" w:rsidR="00A51ACF" w:rsidRPr="00D712AE" w:rsidRDefault="00A51ACF" w:rsidP="00B1369E">
            <w:pPr>
              <w:pStyle w:val="TableText"/>
              <w:rPr>
                <w:lang w:val="en-GB" w:bidi="ar-SA"/>
              </w:rPr>
            </w:pPr>
          </w:p>
        </w:tc>
        <w:tc>
          <w:tcPr>
            <w:tcW w:w="4622" w:type="dxa"/>
          </w:tcPr>
          <w:p w14:paraId="2260F54A" w14:textId="3C621732" w:rsidR="00A51ACF" w:rsidRPr="00D712AE" w:rsidRDefault="00607325" w:rsidP="00B1369E">
            <w:pPr>
              <w:pStyle w:val="TableText"/>
              <w:rPr>
                <w:lang w:val="en-GB" w:bidi="ar-SA"/>
              </w:rPr>
            </w:pPr>
            <w:r w:rsidRPr="00607325">
              <w:rPr>
                <w:lang w:val="en-GB" w:bidi="ar-SA"/>
              </w:rPr>
              <w:t>GRCQ Review</w:t>
            </w:r>
          </w:p>
        </w:tc>
      </w:tr>
    </w:tbl>
    <w:p w14:paraId="24D70154" w14:textId="77777777" w:rsidR="004918DA" w:rsidRPr="00D10E75" w:rsidRDefault="00D10E75" w:rsidP="00507784">
      <w:pPr>
        <w:pStyle w:val="TOCheader"/>
        <w:pageBreakBefore/>
      </w:pPr>
      <w:r w:rsidRPr="00D10E75">
        <w:lastRenderedPageBreak/>
        <w:t xml:space="preserve">Table of </w:t>
      </w:r>
      <w:r w:rsidR="004918DA" w:rsidRPr="00D10E75">
        <w:t>C</w:t>
      </w:r>
      <w:r w:rsidRPr="00D10E75">
        <w:t>ontents</w:t>
      </w:r>
    </w:p>
    <w:p w14:paraId="18692EE8" w14:textId="77777777" w:rsidR="002C5E9F" w:rsidRDefault="004918DA">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r>
        <w:rPr>
          <w:rFonts w:ascii="Verizon Apex Medium" w:hAnsi="Verizon Apex Medium" w:cstheme="minorBidi"/>
          <w:color w:val="000000"/>
          <w:sz w:val="24"/>
          <w:szCs w:val="22"/>
          <w:lang w:bidi="ar-SA"/>
        </w:rPr>
        <w:fldChar w:fldCharType="begin"/>
      </w:r>
      <w:r>
        <w:instrText xml:space="preserve"> TOC \o "1-3" \h \z \u </w:instrText>
      </w:r>
      <w:r>
        <w:rPr>
          <w:rFonts w:ascii="Verizon Apex Medium" w:hAnsi="Verizon Apex Medium" w:cstheme="minorBidi"/>
          <w:color w:val="000000"/>
          <w:sz w:val="24"/>
          <w:szCs w:val="22"/>
          <w:lang w:bidi="ar-SA"/>
        </w:rPr>
        <w:fldChar w:fldCharType="separate"/>
      </w:r>
      <w:hyperlink w:anchor="_Toc500426920" w:history="1">
        <w:r w:rsidR="002C5E9F" w:rsidRPr="00A13A82">
          <w:rPr>
            <w:rStyle w:val="Hyperlink"/>
            <w:noProof/>
          </w:rPr>
          <w:t>1</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Overview</w:t>
        </w:r>
        <w:r w:rsidR="002C5E9F">
          <w:rPr>
            <w:noProof/>
            <w:webHidden/>
          </w:rPr>
          <w:tab/>
        </w:r>
        <w:r w:rsidR="002C5E9F">
          <w:rPr>
            <w:noProof/>
            <w:webHidden/>
          </w:rPr>
          <w:fldChar w:fldCharType="begin"/>
        </w:r>
        <w:r w:rsidR="002C5E9F">
          <w:rPr>
            <w:noProof/>
            <w:webHidden/>
          </w:rPr>
          <w:instrText xml:space="preserve"> PAGEREF _Toc500426920 \h </w:instrText>
        </w:r>
        <w:r w:rsidR="002C5E9F">
          <w:rPr>
            <w:noProof/>
            <w:webHidden/>
          </w:rPr>
        </w:r>
        <w:r w:rsidR="002C5E9F">
          <w:rPr>
            <w:noProof/>
            <w:webHidden/>
          </w:rPr>
          <w:fldChar w:fldCharType="separate"/>
        </w:r>
        <w:r w:rsidR="002C5E9F">
          <w:rPr>
            <w:noProof/>
            <w:webHidden/>
          </w:rPr>
          <w:t>1</w:t>
        </w:r>
        <w:r w:rsidR="002C5E9F">
          <w:rPr>
            <w:noProof/>
            <w:webHidden/>
          </w:rPr>
          <w:fldChar w:fldCharType="end"/>
        </w:r>
      </w:hyperlink>
    </w:p>
    <w:p w14:paraId="16394942" w14:textId="77777777" w:rsidR="002C5E9F" w:rsidRDefault="00607325">
      <w:pPr>
        <w:pStyle w:val="TOC2"/>
        <w:rPr>
          <w:rFonts w:asciiTheme="minorHAnsi" w:eastAsiaTheme="minorEastAsia" w:hAnsiTheme="minorHAnsi" w:cstheme="minorBidi"/>
          <w:szCs w:val="22"/>
          <w:lang w:bidi="ar-SA"/>
        </w:rPr>
      </w:pPr>
      <w:hyperlink w:anchor="_Toc500426921" w:history="1">
        <w:r w:rsidR="002C5E9F" w:rsidRPr="00A13A82">
          <w:rPr>
            <w:rStyle w:val="Hyperlink"/>
          </w:rPr>
          <w:t>1.1</w:t>
        </w:r>
        <w:r w:rsidR="002C5E9F">
          <w:rPr>
            <w:rFonts w:asciiTheme="minorHAnsi" w:eastAsiaTheme="minorEastAsia" w:hAnsiTheme="minorHAnsi" w:cstheme="minorBidi"/>
            <w:szCs w:val="22"/>
            <w:lang w:bidi="ar-SA"/>
          </w:rPr>
          <w:tab/>
        </w:r>
        <w:r w:rsidR="002C5E9F" w:rsidRPr="00A13A82">
          <w:rPr>
            <w:rStyle w:val="Hyperlink"/>
          </w:rPr>
          <w:t>Purpose</w:t>
        </w:r>
        <w:r w:rsidR="002C5E9F">
          <w:rPr>
            <w:webHidden/>
          </w:rPr>
          <w:tab/>
        </w:r>
        <w:r w:rsidR="002C5E9F">
          <w:rPr>
            <w:webHidden/>
          </w:rPr>
          <w:fldChar w:fldCharType="begin"/>
        </w:r>
        <w:r w:rsidR="002C5E9F">
          <w:rPr>
            <w:webHidden/>
          </w:rPr>
          <w:instrText xml:space="preserve"> PAGEREF _Toc500426921 \h </w:instrText>
        </w:r>
        <w:r w:rsidR="002C5E9F">
          <w:rPr>
            <w:webHidden/>
          </w:rPr>
        </w:r>
        <w:r w:rsidR="002C5E9F">
          <w:rPr>
            <w:webHidden/>
          </w:rPr>
          <w:fldChar w:fldCharType="separate"/>
        </w:r>
        <w:r w:rsidR="002C5E9F">
          <w:rPr>
            <w:webHidden/>
          </w:rPr>
          <w:t>1</w:t>
        </w:r>
        <w:r w:rsidR="002C5E9F">
          <w:rPr>
            <w:webHidden/>
          </w:rPr>
          <w:fldChar w:fldCharType="end"/>
        </w:r>
      </w:hyperlink>
    </w:p>
    <w:p w14:paraId="2EBC2DB0" w14:textId="77777777" w:rsidR="002C5E9F" w:rsidRDefault="00607325">
      <w:pPr>
        <w:pStyle w:val="TOC2"/>
        <w:rPr>
          <w:rFonts w:asciiTheme="minorHAnsi" w:eastAsiaTheme="minorEastAsia" w:hAnsiTheme="minorHAnsi" w:cstheme="minorBidi"/>
          <w:szCs w:val="22"/>
          <w:lang w:bidi="ar-SA"/>
        </w:rPr>
      </w:pPr>
      <w:hyperlink w:anchor="_Toc500426922" w:history="1">
        <w:r w:rsidR="002C5E9F" w:rsidRPr="00A13A82">
          <w:rPr>
            <w:rStyle w:val="Hyperlink"/>
          </w:rPr>
          <w:t>1.2</w:t>
        </w:r>
        <w:r w:rsidR="002C5E9F">
          <w:rPr>
            <w:rFonts w:asciiTheme="minorHAnsi" w:eastAsiaTheme="minorEastAsia" w:hAnsiTheme="minorHAnsi" w:cstheme="minorBidi"/>
            <w:szCs w:val="22"/>
            <w:lang w:bidi="ar-SA"/>
          </w:rPr>
          <w:tab/>
        </w:r>
        <w:r w:rsidR="002C5E9F" w:rsidRPr="00A13A82">
          <w:rPr>
            <w:rStyle w:val="Hyperlink"/>
          </w:rPr>
          <w:t>Sc</w:t>
        </w:r>
        <w:r w:rsidR="002C5E9F" w:rsidRPr="00A13A82">
          <w:rPr>
            <w:rStyle w:val="Hyperlink"/>
            <w:spacing w:val="1"/>
          </w:rPr>
          <w:t>o</w:t>
        </w:r>
        <w:r w:rsidR="002C5E9F" w:rsidRPr="00A13A82">
          <w:rPr>
            <w:rStyle w:val="Hyperlink"/>
          </w:rPr>
          <w:t>pe</w:t>
        </w:r>
        <w:r w:rsidR="002C5E9F">
          <w:rPr>
            <w:webHidden/>
          </w:rPr>
          <w:tab/>
        </w:r>
        <w:r w:rsidR="002C5E9F">
          <w:rPr>
            <w:webHidden/>
          </w:rPr>
          <w:fldChar w:fldCharType="begin"/>
        </w:r>
        <w:r w:rsidR="002C5E9F">
          <w:rPr>
            <w:webHidden/>
          </w:rPr>
          <w:instrText xml:space="preserve"> PAGEREF _Toc500426922 \h </w:instrText>
        </w:r>
        <w:r w:rsidR="002C5E9F">
          <w:rPr>
            <w:webHidden/>
          </w:rPr>
        </w:r>
        <w:r w:rsidR="002C5E9F">
          <w:rPr>
            <w:webHidden/>
          </w:rPr>
          <w:fldChar w:fldCharType="separate"/>
        </w:r>
        <w:r w:rsidR="002C5E9F">
          <w:rPr>
            <w:webHidden/>
          </w:rPr>
          <w:t>2</w:t>
        </w:r>
        <w:r w:rsidR="002C5E9F">
          <w:rPr>
            <w:webHidden/>
          </w:rPr>
          <w:fldChar w:fldCharType="end"/>
        </w:r>
      </w:hyperlink>
    </w:p>
    <w:p w14:paraId="04318212" w14:textId="77777777" w:rsidR="002C5E9F" w:rsidRDefault="00607325">
      <w:pPr>
        <w:pStyle w:val="TOC3"/>
        <w:tabs>
          <w:tab w:val="left" w:pos="1320"/>
          <w:tab w:val="right" w:leader="dot" w:pos="10790"/>
        </w:tabs>
        <w:rPr>
          <w:rFonts w:asciiTheme="minorHAnsi" w:eastAsiaTheme="minorEastAsia" w:hAnsiTheme="minorHAnsi" w:cstheme="minorBidi"/>
          <w:noProof/>
          <w:szCs w:val="22"/>
          <w:lang w:bidi="ar-SA"/>
        </w:rPr>
      </w:pPr>
      <w:hyperlink w:anchor="_Toc500426923" w:history="1">
        <w:r w:rsidR="002C5E9F" w:rsidRPr="00A13A82">
          <w:rPr>
            <w:rStyle w:val="Hyperlink"/>
            <w:noProof/>
          </w:rPr>
          <w:t>1.2.1</w:t>
        </w:r>
        <w:r w:rsidR="002C5E9F">
          <w:rPr>
            <w:rFonts w:asciiTheme="minorHAnsi" w:eastAsiaTheme="minorEastAsia" w:hAnsiTheme="minorHAnsi" w:cstheme="minorBidi"/>
            <w:noProof/>
            <w:szCs w:val="22"/>
            <w:lang w:bidi="ar-SA"/>
          </w:rPr>
          <w:tab/>
        </w:r>
        <w:r w:rsidR="002C5E9F" w:rsidRPr="00A13A82">
          <w:rPr>
            <w:rStyle w:val="Hyperlink"/>
            <w:noProof/>
          </w:rPr>
          <w:t>Personnel Covered</w:t>
        </w:r>
        <w:r w:rsidR="002C5E9F">
          <w:rPr>
            <w:noProof/>
            <w:webHidden/>
          </w:rPr>
          <w:tab/>
        </w:r>
        <w:r w:rsidR="002C5E9F">
          <w:rPr>
            <w:noProof/>
            <w:webHidden/>
          </w:rPr>
          <w:fldChar w:fldCharType="begin"/>
        </w:r>
        <w:r w:rsidR="002C5E9F">
          <w:rPr>
            <w:noProof/>
            <w:webHidden/>
          </w:rPr>
          <w:instrText xml:space="preserve"> PAGEREF _Toc500426923 \h </w:instrText>
        </w:r>
        <w:r w:rsidR="002C5E9F">
          <w:rPr>
            <w:noProof/>
            <w:webHidden/>
          </w:rPr>
        </w:r>
        <w:r w:rsidR="002C5E9F">
          <w:rPr>
            <w:noProof/>
            <w:webHidden/>
          </w:rPr>
          <w:fldChar w:fldCharType="separate"/>
        </w:r>
        <w:r w:rsidR="002C5E9F">
          <w:rPr>
            <w:noProof/>
            <w:webHidden/>
          </w:rPr>
          <w:t>2</w:t>
        </w:r>
        <w:r w:rsidR="002C5E9F">
          <w:rPr>
            <w:noProof/>
            <w:webHidden/>
          </w:rPr>
          <w:fldChar w:fldCharType="end"/>
        </w:r>
      </w:hyperlink>
    </w:p>
    <w:p w14:paraId="7A57AACD" w14:textId="77777777" w:rsidR="002C5E9F" w:rsidRDefault="00607325">
      <w:pPr>
        <w:pStyle w:val="TOC3"/>
        <w:tabs>
          <w:tab w:val="left" w:pos="1320"/>
          <w:tab w:val="right" w:leader="dot" w:pos="10790"/>
        </w:tabs>
        <w:rPr>
          <w:rFonts w:asciiTheme="minorHAnsi" w:eastAsiaTheme="minorEastAsia" w:hAnsiTheme="minorHAnsi" w:cstheme="minorBidi"/>
          <w:noProof/>
          <w:szCs w:val="22"/>
          <w:lang w:bidi="ar-SA"/>
        </w:rPr>
      </w:pPr>
      <w:hyperlink w:anchor="_Toc500426924" w:history="1">
        <w:r w:rsidR="002C5E9F" w:rsidRPr="00A13A82">
          <w:rPr>
            <w:rStyle w:val="Hyperlink"/>
            <w:noProof/>
          </w:rPr>
          <w:t>1.2.2</w:t>
        </w:r>
        <w:r w:rsidR="002C5E9F">
          <w:rPr>
            <w:rFonts w:asciiTheme="minorHAnsi" w:eastAsiaTheme="minorEastAsia" w:hAnsiTheme="minorHAnsi" w:cstheme="minorBidi"/>
            <w:noProof/>
            <w:szCs w:val="22"/>
            <w:lang w:bidi="ar-SA"/>
          </w:rPr>
          <w:tab/>
        </w:r>
        <w:r w:rsidR="002C5E9F" w:rsidRPr="00A13A82">
          <w:rPr>
            <w:rStyle w:val="Hyperlink"/>
            <w:noProof/>
          </w:rPr>
          <w:t>Alignment with Corporate Policies</w:t>
        </w:r>
        <w:r w:rsidR="002C5E9F">
          <w:rPr>
            <w:noProof/>
            <w:webHidden/>
          </w:rPr>
          <w:tab/>
        </w:r>
        <w:r w:rsidR="002C5E9F">
          <w:rPr>
            <w:noProof/>
            <w:webHidden/>
          </w:rPr>
          <w:fldChar w:fldCharType="begin"/>
        </w:r>
        <w:r w:rsidR="002C5E9F">
          <w:rPr>
            <w:noProof/>
            <w:webHidden/>
          </w:rPr>
          <w:instrText xml:space="preserve"> PAGEREF _Toc500426924 \h </w:instrText>
        </w:r>
        <w:r w:rsidR="002C5E9F">
          <w:rPr>
            <w:noProof/>
            <w:webHidden/>
          </w:rPr>
        </w:r>
        <w:r w:rsidR="002C5E9F">
          <w:rPr>
            <w:noProof/>
            <w:webHidden/>
          </w:rPr>
          <w:fldChar w:fldCharType="separate"/>
        </w:r>
        <w:r w:rsidR="002C5E9F">
          <w:rPr>
            <w:noProof/>
            <w:webHidden/>
          </w:rPr>
          <w:t>2</w:t>
        </w:r>
        <w:r w:rsidR="002C5E9F">
          <w:rPr>
            <w:noProof/>
            <w:webHidden/>
          </w:rPr>
          <w:fldChar w:fldCharType="end"/>
        </w:r>
      </w:hyperlink>
    </w:p>
    <w:p w14:paraId="10407881" w14:textId="77777777" w:rsidR="002C5E9F" w:rsidRDefault="00607325">
      <w:pPr>
        <w:pStyle w:val="TOC3"/>
        <w:tabs>
          <w:tab w:val="left" w:pos="1320"/>
          <w:tab w:val="right" w:leader="dot" w:pos="10790"/>
        </w:tabs>
        <w:rPr>
          <w:rFonts w:asciiTheme="minorHAnsi" w:eastAsiaTheme="minorEastAsia" w:hAnsiTheme="minorHAnsi" w:cstheme="minorBidi"/>
          <w:noProof/>
          <w:szCs w:val="22"/>
          <w:lang w:bidi="ar-SA"/>
        </w:rPr>
      </w:pPr>
      <w:hyperlink w:anchor="_Toc500426925" w:history="1">
        <w:r w:rsidR="002C5E9F" w:rsidRPr="00A13A82">
          <w:rPr>
            <w:rStyle w:val="Hyperlink"/>
            <w:noProof/>
          </w:rPr>
          <w:t>1.2.3</w:t>
        </w:r>
        <w:r w:rsidR="002C5E9F">
          <w:rPr>
            <w:rFonts w:asciiTheme="minorHAnsi" w:eastAsiaTheme="minorEastAsia" w:hAnsiTheme="minorHAnsi" w:cstheme="minorBidi"/>
            <w:noProof/>
            <w:szCs w:val="22"/>
            <w:lang w:bidi="ar-SA"/>
          </w:rPr>
          <w:tab/>
        </w:r>
        <w:r w:rsidR="002C5E9F" w:rsidRPr="00A13A82">
          <w:rPr>
            <w:rStyle w:val="Hyperlink"/>
            <w:noProof/>
          </w:rPr>
          <w:t>Environments Covered</w:t>
        </w:r>
        <w:r w:rsidR="002C5E9F">
          <w:rPr>
            <w:noProof/>
            <w:webHidden/>
          </w:rPr>
          <w:tab/>
        </w:r>
        <w:r w:rsidR="002C5E9F">
          <w:rPr>
            <w:noProof/>
            <w:webHidden/>
          </w:rPr>
          <w:fldChar w:fldCharType="begin"/>
        </w:r>
        <w:r w:rsidR="002C5E9F">
          <w:rPr>
            <w:noProof/>
            <w:webHidden/>
          </w:rPr>
          <w:instrText xml:space="preserve"> PAGEREF _Toc500426925 \h </w:instrText>
        </w:r>
        <w:r w:rsidR="002C5E9F">
          <w:rPr>
            <w:noProof/>
            <w:webHidden/>
          </w:rPr>
        </w:r>
        <w:r w:rsidR="002C5E9F">
          <w:rPr>
            <w:noProof/>
            <w:webHidden/>
          </w:rPr>
          <w:fldChar w:fldCharType="separate"/>
        </w:r>
        <w:r w:rsidR="002C5E9F">
          <w:rPr>
            <w:noProof/>
            <w:webHidden/>
          </w:rPr>
          <w:t>2</w:t>
        </w:r>
        <w:r w:rsidR="002C5E9F">
          <w:rPr>
            <w:noProof/>
            <w:webHidden/>
          </w:rPr>
          <w:fldChar w:fldCharType="end"/>
        </w:r>
      </w:hyperlink>
    </w:p>
    <w:p w14:paraId="145BB46C"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26" w:history="1">
        <w:r w:rsidR="002C5E9F" w:rsidRPr="00A13A82">
          <w:rPr>
            <w:rStyle w:val="Hyperlink"/>
            <w:noProof/>
          </w:rPr>
          <w:t>2</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Request for Information and Audit Policy</w:t>
        </w:r>
        <w:r w:rsidR="002C5E9F">
          <w:rPr>
            <w:noProof/>
            <w:webHidden/>
          </w:rPr>
          <w:tab/>
        </w:r>
        <w:r w:rsidR="002C5E9F">
          <w:rPr>
            <w:noProof/>
            <w:webHidden/>
          </w:rPr>
          <w:fldChar w:fldCharType="begin"/>
        </w:r>
        <w:r w:rsidR="002C5E9F">
          <w:rPr>
            <w:noProof/>
            <w:webHidden/>
          </w:rPr>
          <w:instrText xml:space="preserve"> PAGEREF _Toc500426926 \h </w:instrText>
        </w:r>
        <w:r w:rsidR="002C5E9F">
          <w:rPr>
            <w:noProof/>
            <w:webHidden/>
          </w:rPr>
        </w:r>
        <w:r w:rsidR="002C5E9F">
          <w:rPr>
            <w:noProof/>
            <w:webHidden/>
          </w:rPr>
          <w:fldChar w:fldCharType="separate"/>
        </w:r>
        <w:r w:rsidR="002C5E9F">
          <w:rPr>
            <w:noProof/>
            <w:webHidden/>
          </w:rPr>
          <w:t>3</w:t>
        </w:r>
        <w:r w:rsidR="002C5E9F">
          <w:rPr>
            <w:noProof/>
            <w:webHidden/>
          </w:rPr>
          <w:fldChar w:fldCharType="end"/>
        </w:r>
      </w:hyperlink>
    </w:p>
    <w:p w14:paraId="1D25589F" w14:textId="77777777" w:rsidR="002C5E9F" w:rsidRDefault="00607325">
      <w:pPr>
        <w:pStyle w:val="TOC2"/>
        <w:rPr>
          <w:rFonts w:asciiTheme="minorHAnsi" w:eastAsiaTheme="minorEastAsia" w:hAnsiTheme="minorHAnsi" w:cstheme="minorBidi"/>
          <w:szCs w:val="22"/>
          <w:lang w:bidi="ar-SA"/>
        </w:rPr>
      </w:pPr>
      <w:hyperlink w:anchor="_Toc500426927" w:history="1">
        <w:r w:rsidR="002C5E9F" w:rsidRPr="00A13A82">
          <w:rPr>
            <w:rStyle w:val="Hyperlink"/>
          </w:rPr>
          <w:t>2.1</w:t>
        </w:r>
        <w:r w:rsidR="002C5E9F">
          <w:rPr>
            <w:rFonts w:asciiTheme="minorHAnsi" w:eastAsiaTheme="minorEastAsia" w:hAnsiTheme="minorHAnsi" w:cstheme="minorBidi"/>
            <w:szCs w:val="22"/>
            <w:lang w:bidi="ar-SA"/>
          </w:rPr>
          <w:tab/>
        </w:r>
        <w:r w:rsidR="002C5E9F" w:rsidRPr="00A13A82">
          <w:rPr>
            <w:rStyle w:val="Hyperlink"/>
          </w:rPr>
          <w:t>Ad hoc Email Questions</w:t>
        </w:r>
        <w:r w:rsidR="002C5E9F">
          <w:rPr>
            <w:webHidden/>
          </w:rPr>
          <w:tab/>
        </w:r>
        <w:r w:rsidR="002C5E9F">
          <w:rPr>
            <w:webHidden/>
          </w:rPr>
          <w:fldChar w:fldCharType="begin"/>
        </w:r>
        <w:r w:rsidR="002C5E9F">
          <w:rPr>
            <w:webHidden/>
          </w:rPr>
          <w:instrText xml:space="preserve"> PAGEREF _Toc500426927 \h </w:instrText>
        </w:r>
        <w:r w:rsidR="002C5E9F">
          <w:rPr>
            <w:webHidden/>
          </w:rPr>
        </w:r>
        <w:r w:rsidR="002C5E9F">
          <w:rPr>
            <w:webHidden/>
          </w:rPr>
          <w:fldChar w:fldCharType="separate"/>
        </w:r>
        <w:r w:rsidR="002C5E9F">
          <w:rPr>
            <w:webHidden/>
          </w:rPr>
          <w:t>3</w:t>
        </w:r>
        <w:r w:rsidR="002C5E9F">
          <w:rPr>
            <w:webHidden/>
          </w:rPr>
          <w:fldChar w:fldCharType="end"/>
        </w:r>
      </w:hyperlink>
    </w:p>
    <w:p w14:paraId="3CC586E1" w14:textId="77777777" w:rsidR="002C5E9F" w:rsidRDefault="00607325">
      <w:pPr>
        <w:pStyle w:val="TOC2"/>
        <w:rPr>
          <w:rFonts w:asciiTheme="minorHAnsi" w:eastAsiaTheme="minorEastAsia" w:hAnsiTheme="minorHAnsi" w:cstheme="minorBidi"/>
          <w:szCs w:val="22"/>
          <w:lang w:bidi="ar-SA"/>
        </w:rPr>
      </w:pPr>
      <w:hyperlink w:anchor="_Toc500426928" w:history="1">
        <w:r w:rsidR="002C5E9F" w:rsidRPr="00A13A82">
          <w:rPr>
            <w:rStyle w:val="Hyperlink"/>
          </w:rPr>
          <w:t>2.2</w:t>
        </w:r>
        <w:r w:rsidR="002C5E9F">
          <w:rPr>
            <w:rFonts w:asciiTheme="minorHAnsi" w:eastAsiaTheme="minorEastAsia" w:hAnsiTheme="minorHAnsi" w:cstheme="minorBidi"/>
            <w:szCs w:val="22"/>
            <w:lang w:bidi="ar-SA"/>
          </w:rPr>
          <w:tab/>
        </w:r>
        <w:r w:rsidR="002C5E9F" w:rsidRPr="00A13A82">
          <w:rPr>
            <w:rStyle w:val="Hyperlink"/>
          </w:rPr>
          <w:t>Questionnaire / Security Questionnaire</w:t>
        </w:r>
        <w:r w:rsidR="002C5E9F">
          <w:rPr>
            <w:webHidden/>
          </w:rPr>
          <w:tab/>
        </w:r>
        <w:r w:rsidR="002C5E9F">
          <w:rPr>
            <w:webHidden/>
          </w:rPr>
          <w:fldChar w:fldCharType="begin"/>
        </w:r>
        <w:r w:rsidR="002C5E9F">
          <w:rPr>
            <w:webHidden/>
          </w:rPr>
          <w:instrText xml:space="preserve"> PAGEREF _Toc500426928 \h </w:instrText>
        </w:r>
        <w:r w:rsidR="002C5E9F">
          <w:rPr>
            <w:webHidden/>
          </w:rPr>
        </w:r>
        <w:r w:rsidR="002C5E9F">
          <w:rPr>
            <w:webHidden/>
          </w:rPr>
          <w:fldChar w:fldCharType="separate"/>
        </w:r>
        <w:r w:rsidR="002C5E9F">
          <w:rPr>
            <w:webHidden/>
          </w:rPr>
          <w:t>3</w:t>
        </w:r>
        <w:r w:rsidR="002C5E9F">
          <w:rPr>
            <w:webHidden/>
          </w:rPr>
          <w:fldChar w:fldCharType="end"/>
        </w:r>
      </w:hyperlink>
    </w:p>
    <w:p w14:paraId="00D44BA5" w14:textId="77777777" w:rsidR="002C5E9F" w:rsidRDefault="00607325">
      <w:pPr>
        <w:pStyle w:val="TOC2"/>
        <w:rPr>
          <w:rFonts w:asciiTheme="minorHAnsi" w:eastAsiaTheme="minorEastAsia" w:hAnsiTheme="minorHAnsi" w:cstheme="minorBidi"/>
          <w:szCs w:val="22"/>
          <w:lang w:bidi="ar-SA"/>
        </w:rPr>
      </w:pPr>
      <w:hyperlink w:anchor="_Toc500426929" w:history="1">
        <w:r w:rsidR="002C5E9F" w:rsidRPr="00A13A82">
          <w:rPr>
            <w:rStyle w:val="Hyperlink"/>
          </w:rPr>
          <w:t>2.3</w:t>
        </w:r>
        <w:r w:rsidR="002C5E9F">
          <w:rPr>
            <w:rFonts w:asciiTheme="minorHAnsi" w:eastAsiaTheme="minorEastAsia" w:hAnsiTheme="minorHAnsi" w:cstheme="minorBidi"/>
            <w:szCs w:val="22"/>
            <w:lang w:bidi="ar-SA"/>
          </w:rPr>
          <w:tab/>
        </w:r>
        <w:r w:rsidR="002C5E9F" w:rsidRPr="00A13A82">
          <w:rPr>
            <w:rStyle w:val="Hyperlink"/>
          </w:rPr>
          <w:t>Customer Audit</w:t>
        </w:r>
        <w:r w:rsidR="002C5E9F">
          <w:rPr>
            <w:webHidden/>
          </w:rPr>
          <w:tab/>
        </w:r>
        <w:r w:rsidR="002C5E9F">
          <w:rPr>
            <w:webHidden/>
          </w:rPr>
          <w:fldChar w:fldCharType="begin"/>
        </w:r>
        <w:r w:rsidR="002C5E9F">
          <w:rPr>
            <w:webHidden/>
          </w:rPr>
          <w:instrText xml:space="preserve"> PAGEREF _Toc500426929 \h </w:instrText>
        </w:r>
        <w:r w:rsidR="002C5E9F">
          <w:rPr>
            <w:webHidden/>
          </w:rPr>
        </w:r>
        <w:r w:rsidR="002C5E9F">
          <w:rPr>
            <w:webHidden/>
          </w:rPr>
          <w:fldChar w:fldCharType="separate"/>
        </w:r>
        <w:r w:rsidR="002C5E9F">
          <w:rPr>
            <w:webHidden/>
          </w:rPr>
          <w:t>4</w:t>
        </w:r>
        <w:r w:rsidR="002C5E9F">
          <w:rPr>
            <w:webHidden/>
          </w:rPr>
          <w:fldChar w:fldCharType="end"/>
        </w:r>
      </w:hyperlink>
    </w:p>
    <w:p w14:paraId="6B66AD9D" w14:textId="77777777" w:rsidR="002C5E9F" w:rsidRDefault="00607325">
      <w:pPr>
        <w:pStyle w:val="TOC2"/>
        <w:rPr>
          <w:rFonts w:asciiTheme="minorHAnsi" w:eastAsiaTheme="minorEastAsia" w:hAnsiTheme="minorHAnsi" w:cstheme="minorBidi"/>
          <w:szCs w:val="22"/>
          <w:lang w:bidi="ar-SA"/>
        </w:rPr>
      </w:pPr>
      <w:hyperlink w:anchor="_Toc500426930" w:history="1">
        <w:r w:rsidR="002C5E9F" w:rsidRPr="00A13A82">
          <w:rPr>
            <w:rStyle w:val="Hyperlink"/>
          </w:rPr>
          <w:t>2.4</w:t>
        </w:r>
        <w:r w:rsidR="002C5E9F">
          <w:rPr>
            <w:rFonts w:asciiTheme="minorHAnsi" w:eastAsiaTheme="minorEastAsia" w:hAnsiTheme="minorHAnsi" w:cstheme="minorBidi"/>
            <w:szCs w:val="22"/>
            <w:lang w:bidi="ar-SA"/>
          </w:rPr>
          <w:tab/>
        </w:r>
        <w:r w:rsidR="002C5E9F" w:rsidRPr="00A13A82">
          <w:rPr>
            <w:rStyle w:val="Hyperlink"/>
          </w:rPr>
          <w:t>Program Audit</w:t>
        </w:r>
        <w:r w:rsidR="002C5E9F">
          <w:rPr>
            <w:webHidden/>
          </w:rPr>
          <w:tab/>
        </w:r>
        <w:r w:rsidR="002C5E9F">
          <w:rPr>
            <w:webHidden/>
          </w:rPr>
          <w:fldChar w:fldCharType="begin"/>
        </w:r>
        <w:r w:rsidR="002C5E9F">
          <w:rPr>
            <w:webHidden/>
          </w:rPr>
          <w:instrText xml:space="preserve"> PAGEREF _Toc500426930 \h </w:instrText>
        </w:r>
        <w:r w:rsidR="002C5E9F">
          <w:rPr>
            <w:webHidden/>
          </w:rPr>
        </w:r>
        <w:r w:rsidR="002C5E9F">
          <w:rPr>
            <w:webHidden/>
          </w:rPr>
          <w:fldChar w:fldCharType="separate"/>
        </w:r>
        <w:r w:rsidR="002C5E9F">
          <w:rPr>
            <w:webHidden/>
          </w:rPr>
          <w:t>5</w:t>
        </w:r>
        <w:r w:rsidR="002C5E9F">
          <w:rPr>
            <w:webHidden/>
          </w:rPr>
          <w:fldChar w:fldCharType="end"/>
        </w:r>
      </w:hyperlink>
    </w:p>
    <w:p w14:paraId="5D1F5479" w14:textId="77777777" w:rsidR="002C5E9F" w:rsidRDefault="00607325">
      <w:pPr>
        <w:pStyle w:val="TOC2"/>
        <w:rPr>
          <w:rFonts w:asciiTheme="minorHAnsi" w:eastAsiaTheme="minorEastAsia" w:hAnsiTheme="minorHAnsi" w:cstheme="minorBidi"/>
          <w:szCs w:val="22"/>
          <w:lang w:bidi="ar-SA"/>
        </w:rPr>
      </w:pPr>
      <w:hyperlink w:anchor="_Toc500426931" w:history="1">
        <w:r w:rsidR="002C5E9F" w:rsidRPr="00A13A82">
          <w:rPr>
            <w:rStyle w:val="Hyperlink"/>
          </w:rPr>
          <w:t>2.5</w:t>
        </w:r>
        <w:r w:rsidR="002C5E9F">
          <w:rPr>
            <w:rFonts w:asciiTheme="minorHAnsi" w:eastAsiaTheme="minorEastAsia" w:hAnsiTheme="minorHAnsi" w:cstheme="minorBidi"/>
            <w:szCs w:val="22"/>
            <w:lang w:bidi="ar-SA"/>
          </w:rPr>
          <w:tab/>
        </w:r>
        <w:r w:rsidR="002C5E9F" w:rsidRPr="00A13A82">
          <w:rPr>
            <w:rStyle w:val="Hyperlink"/>
          </w:rPr>
          <w:t>Definitions</w:t>
        </w:r>
        <w:r w:rsidR="002C5E9F">
          <w:rPr>
            <w:webHidden/>
          </w:rPr>
          <w:tab/>
        </w:r>
        <w:r w:rsidR="002C5E9F">
          <w:rPr>
            <w:webHidden/>
          </w:rPr>
          <w:fldChar w:fldCharType="begin"/>
        </w:r>
        <w:r w:rsidR="002C5E9F">
          <w:rPr>
            <w:webHidden/>
          </w:rPr>
          <w:instrText xml:space="preserve"> PAGEREF _Toc500426931 \h </w:instrText>
        </w:r>
        <w:r w:rsidR="002C5E9F">
          <w:rPr>
            <w:webHidden/>
          </w:rPr>
        </w:r>
        <w:r w:rsidR="002C5E9F">
          <w:rPr>
            <w:webHidden/>
          </w:rPr>
          <w:fldChar w:fldCharType="separate"/>
        </w:r>
        <w:r w:rsidR="002C5E9F">
          <w:rPr>
            <w:webHidden/>
          </w:rPr>
          <w:t>5</w:t>
        </w:r>
        <w:r w:rsidR="002C5E9F">
          <w:rPr>
            <w:webHidden/>
          </w:rPr>
          <w:fldChar w:fldCharType="end"/>
        </w:r>
      </w:hyperlink>
    </w:p>
    <w:p w14:paraId="15F895AE"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32" w:history="1">
        <w:r w:rsidR="002C5E9F" w:rsidRPr="00A13A82">
          <w:rPr>
            <w:rStyle w:val="Hyperlink"/>
            <w:noProof/>
          </w:rPr>
          <w:t>3</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Audit Evidence Policy</w:t>
        </w:r>
        <w:r w:rsidR="002C5E9F">
          <w:rPr>
            <w:noProof/>
            <w:webHidden/>
          </w:rPr>
          <w:tab/>
        </w:r>
        <w:r w:rsidR="002C5E9F">
          <w:rPr>
            <w:noProof/>
            <w:webHidden/>
          </w:rPr>
          <w:fldChar w:fldCharType="begin"/>
        </w:r>
        <w:r w:rsidR="002C5E9F">
          <w:rPr>
            <w:noProof/>
            <w:webHidden/>
          </w:rPr>
          <w:instrText xml:space="preserve"> PAGEREF _Toc500426932 \h </w:instrText>
        </w:r>
        <w:r w:rsidR="002C5E9F">
          <w:rPr>
            <w:noProof/>
            <w:webHidden/>
          </w:rPr>
        </w:r>
        <w:r w:rsidR="002C5E9F">
          <w:rPr>
            <w:noProof/>
            <w:webHidden/>
          </w:rPr>
          <w:fldChar w:fldCharType="separate"/>
        </w:r>
        <w:r w:rsidR="002C5E9F">
          <w:rPr>
            <w:noProof/>
            <w:webHidden/>
          </w:rPr>
          <w:t>7</w:t>
        </w:r>
        <w:r w:rsidR="002C5E9F">
          <w:rPr>
            <w:noProof/>
            <w:webHidden/>
          </w:rPr>
          <w:fldChar w:fldCharType="end"/>
        </w:r>
      </w:hyperlink>
    </w:p>
    <w:p w14:paraId="7C92E104" w14:textId="77777777" w:rsidR="002C5E9F" w:rsidRDefault="00607325">
      <w:pPr>
        <w:pStyle w:val="TOC2"/>
        <w:rPr>
          <w:rFonts w:asciiTheme="minorHAnsi" w:eastAsiaTheme="minorEastAsia" w:hAnsiTheme="minorHAnsi" w:cstheme="minorBidi"/>
          <w:szCs w:val="22"/>
          <w:lang w:bidi="ar-SA"/>
        </w:rPr>
      </w:pPr>
      <w:hyperlink w:anchor="_Toc500426933" w:history="1">
        <w:r w:rsidR="002C5E9F" w:rsidRPr="00A13A82">
          <w:rPr>
            <w:rStyle w:val="Hyperlink"/>
          </w:rPr>
          <w:t>3.1</w:t>
        </w:r>
        <w:r w:rsidR="002C5E9F">
          <w:rPr>
            <w:rFonts w:asciiTheme="minorHAnsi" w:eastAsiaTheme="minorEastAsia" w:hAnsiTheme="minorHAnsi" w:cstheme="minorBidi"/>
            <w:szCs w:val="22"/>
            <w:lang w:bidi="ar-SA"/>
          </w:rPr>
          <w:tab/>
        </w:r>
        <w:r w:rsidR="002C5E9F" w:rsidRPr="00A13A82">
          <w:rPr>
            <w:rStyle w:val="Hyperlink"/>
          </w:rPr>
          <w:t>Purpose</w:t>
        </w:r>
        <w:r w:rsidR="002C5E9F">
          <w:rPr>
            <w:webHidden/>
          </w:rPr>
          <w:tab/>
        </w:r>
        <w:r w:rsidR="002C5E9F">
          <w:rPr>
            <w:webHidden/>
          </w:rPr>
          <w:fldChar w:fldCharType="begin"/>
        </w:r>
        <w:r w:rsidR="002C5E9F">
          <w:rPr>
            <w:webHidden/>
          </w:rPr>
          <w:instrText xml:space="preserve"> PAGEREF _Toc500426933 \h </w:instrText>
        </w:r>
        <w:r w:rsidR="002C5E9F">
          <w:rPr>
            <w:webHidden/>
          </w:rPr>
        </w:r>
        <w:r w:rsidR="002C5E9F">
          <w:rPr>
            <w:webHidden/>
          </w:rPr>
          <w:fldChar w:fldCharType="separate"/>
        </w:r>
        <w:r w:rsidR="002C5E9F">
          <w:rPr>
            <w:webHidden/>
          </w:rPr>
          <w:t>7</w:t>
        </w:r>
        <w:r w:rsidR="002C5E9F">
          <w:rPr>
            <w:webHidden/>
          </w:rPr>
          <w:fldChar w:fldCharType="end"/>
        </w:r>
      </w:hyperlink>
    </w:p>
    <w:p w14:paraId="29CF481F" w14:textId="77777777" w:rsidR="002C5E9F" w:rsidRDefault="00607325">
      <w:pPr>
        <w:pStyle w:val="TOC2"/>
        <w:rPr>
          <w:rFonts w:asciiTheme="minorHAnsi" w:eastAsiaTheme="minorEastAsia" w:hAnsiTheme="minorHAnsi" w:cstheme="minorBidi"/>
          <w:szCs w:val="22"/>
          <w:lang w:bidi="ar-SA"/>
        </w:rPr>
      </w:pPr>
      <w:hyperlink w:anchor="_Toc500426934" w:history="1">
        <w:r w:rsidR="002C5E9F" w:rsidRPr="00A13A82">
          <w:rPr>
            <w:rStyle w:val="Hyperlink"/>
          </w:rPr>
          <w:t>3.2</w:t>
        </w:r>
        <w:r w:rsidR="002C5E9F">
          <w:rPr>
            <w:rFonts w:asciiTheme="minorHAnsi" w:eastAsiaTheme="minorEastAsia" w:hAnsiTheme="minorHAnsi" w:cstheme="minorBidi"/>
            <w:szCs w:val="22"/>
            <w:lang w:bidi="ar-SA"/>
          </w:rPr>
          <w:tab/>
        </w:r>
        <w:r w:rsidR="002C5E9F" w:rsidRPr="00A13A82">
          <w:rPr>
            <w:rStyle w:val="Hyperlink"/>
          </w:rPr>
          <w:t>Scope of the Audit Evidence Policy</w:t>
        </w:r>
        <w:r w:rsidR="002C5E9F">
          <w:rPr>
            <w:webHidden/>
          </w:rPr>
          <w:tab/>
        </w:r>
        <w:r w:rsidR="002C5E9F">
          <w:rPr>
            <w:webHidden/>
          </w:rPr>
          <w:fldChar w:fldCharType="begin"/>
        </w:r>
        <w:r w:rsidR="002C5E9F">
          <w:rPr>
            <w:webHidden/>
          </w:rPr>
          <w:instrText xml:space="preserve"> PAGEREF _Toc500426934 \h </w:instrText>
        </w:r>
        <w:r w:rsidR="002C5E9F">
          <w:rPr>
            <w:webHidden/>
          </w:rPr>
        </w:r>
        <w:r w:rsidR="002C5E9F">
          <w:rPr>
            <w:webHidden/>
          </w:rPr>
          <w:fldChar w:fldCharType="separate"/>
        </w:r>
        <w:r w:rsidR="002C5E9F">
          <w:rPr>
            <w:webHidden/>
          </w:rPr>
          <w:t>7</w:t>
        </w:r>
        <w:r w:rsidR="002C5E9F">
          <w:rPr>
            <w:webHidden/>
          </w:rPr>
          <w:fldChar w:fldCharType="end"/>
        </w:r>
      </w:hyperlink>
    </w:p>
    <w:p w14:paraId="100E95DF"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35" w:history="1">
        <w:r w:rsidR="002C5E9F" w:rsidRPr="00A13A82">
          <w:rPr>
            <w:rStyle w:val="Hyperlink"/>
            <w:noProof/>
          </w:rPr>
          <w:t>4</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Third-Party Compliance Reports</w:t>
        </w:r>
        <w:r w:rsidR="002C5E9F">
          <w:rPr>
            <w:noProof/>
            <w:webHidden/>
          </w:rPr>
          <w:tab/>
        </w:r>
        <w:r w:rsidR="002C5E9F">
          <w:rPr>
            <w:noProof/>
            <w:webHidden/>
          </w:rPr>
          <w:fldChar w:fldCharType="begin"/>
        </w:r>
        <w:r w:rsidR="002C5E9F">
          <w:rPr>
            <w:noProof/>
            <w:webHidden/>
          </w:rPr>
          <w:instrText xml:space="preserve"> PAGEREF _Toc500426935 \h </w:instrText>
        </w:r>
        <w:r w:rsidR="002C5E9F">
          <w:rPr>
            <w:noProof/>
            <w:webHidden/>
          </w:rPr>
        </w:r>
        <w:r w:rsidR="002C5E9F">
          <w:rPr>
            <w:noProof/>
            <w:webHidden/>
          </w:rPr>
          <w:fldChar w:fldCharType="separate"/>
        </w:r>
        <w:r w:rsidR="002C5E9F">
          <w:rPr>
            <w:noProof/>
            <w:webHidden/>
          </w:rPr>
          <w:t>8</w:t>
        </w:r>
        <w:r w:rsidR="002C5E9F">
          <w:rPr>
            <w:noProof/>
            <w:webHidden/>
          </w:rPr>
          <w:fldChar w:fldCharType="end"/>
        </w:r>
      </w:hyperlink>
    </w:p>
    <w:p w14:paraId="1A983FDD"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36" w:history="1">
        <w:r w:rsidR="002C5E9F" w:rsidRPr="00A13A82">
          <w:rPr>
            <w:rStyle w:val="Hyperlink"/>
            <w:noProof/>
          </w:rPr>
          <w:t>5</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Audit Evidence Distribution Policy</w:t>
        </w:r>
        <w:r w:rsidR="002C5E9F">
          <w:rPr>
            <w:noProof/>
            <w:webHidden/>
          </w:rPr>
          <w:tab/>
        </w:r>
        <w:r w:rsidR="002C5E9F">
          <w:rPr>
            <w:noProof/>
            <w:webHidden/>
          </w:rPr>
          <w:fldChar w:fldCharType="begin"/>
        </w:r>
        <w:r w:rsidR="002C5E9F">
          <w:rPr>
            <w:noProof/>
            <w:webHidden/>
          </w:rPr>
          <w:instrText xml:space="preserve"> PAGEREF _Toc500426936 \h </w:instrText>
        </w:r>
        <w:r w:rsidR="002C5E9F">
          <w:rPr>
            <w:noProof/>
            <w:webHidden/>
          </w:rPr>
        </w:r>
        <w:r w:rsidR="002C5E9F">
          <w:rPr>
            <w:noProof/>
            <w:webHidden/>
          </w:rPr>
          <w:fldChar w:fldCharType="separate"/>
        </w:r>
        <w:r w:rsidR="002C5E9F">
          <w:rPr>
            <w:noProof/>
            <w:webHidden/>
          </w:rPr>
          <w:t>9</w:t>
        </w:r>
        <w:r w:rsidR="002C5E9F">
          <w:rPr>
            <w:noProof/>
            <w:webHidden/>
          </w:rPr>
          <w:fldChar w:fldCharType="end"/>
        </w:r>
      </w:hyperlink>
    </w:p>
    <w:p w14:paraId="5DD6CF6F" w14:textId="77777777" w:rsidR="002C5E9F" w:rsidRDefault="00607325">
      <w:pPr>
        <w:pStyle w:val="TOC2"/>
        <w:rPr>
          <w:rFonts w:asciiTheme="minorHAnsi" w:eastAsiaTheme="minorEastAsia" w:hAnsiTheme="minorHAnsi" w:cstheme="minorBidi"/>
          <w:szCs w:val="22"/>
          <w:lang w:bidi="ar-SA"/>
        </w:rPr>
      </w:pPr>
      <w:hyperlink w:anchor="_Toc500426937" w:history="1">
        <w:r w:rsidR="002C5E9F" w:rsidRPr="00A13A82">
          <w:rPr>
            <w:rStyle w:val="Hyperlink"/>
          </w:rPr>
          <w:t>5.1</w:t>
        </w:r>
        <w:r w:rsidR="002C5E9F">
          <w:rPr>
            <w:rFonts w:asciiTheme="minorHAnsi" w:eastAsiaTheme="minorEastAsia" w:hAnsiTheme="minorHAnsi" w:cstheme="minorBidi"/>
            <w:szCs w:val="22"/>
            <w:lang w:bidi="ar-SA"/>
          </w:rPr>
          <w:tab/>
        </w:r>
        <w:r w:rsidR="002C5E9F" w:rsidRPr="00A13A82">
          <w:rPr>
            <w:rStyle w:val="Hyperlink"/>
          </w:rPr>
          <w:t>Restrictions</w:t>
        </w:r>
        <w:r w:rsidR="002C5E9F">
          <w:rPr>
            <w:webHidden/>
          </w:rPr>
          <w:tab/>
        </w:r>
        <w:r w:rsidR="002C5E9F">
          <w:rPr>
            <w:webHidden/>
          </w:rPr>
          <w:fldChar w:fldCharType="begin"/>
        </w:r>
        <w:r w:rsidR="002C5E9F">
          <w:rPr>
            <w:webHidden/>
          </w:rPr>
          <w:instrText xml:space="preserve"> PAGEREF _Toc500426937 \h </w:instrText>
        </w:r>
        <w:r w:rsidR="002C5E9F">
          <w:rPr>
            <w:webHidden/>
          </w:rPr>
        </w:r>
        <w:r w:rsidR="002C5E9F">
          <w:rPr>
            <w:webHidden/>
          </w:rPr>
          <w:fldChar w:fldCharType="separate"/>
        </w:r>
        <w:r w:rsidR="002C5E9F">
          <w:rPr>
            <w:webHidden/>
          </w:rPr>
          <w:t>9</w:t>
        </w:r>
        <w:r w:rsidR="002C5E9F">
          <w:rPr>
            <w:webHidden/>
          </w:rPr>
          <w:fldChar w:fldCharType="end"/>
        </w:r>
      </w:hyperlink>
    </w:p>
    <w:p w14:paraId="14E0C07A" w14:textId="77777777" w:rsidR="002C5E9F" w:rsidRDefault="00607325">
      <w:pPr>
        <w:pStyle w:val="TOC2"/>
        <w:rPr>
          <w:rFonts w:asciiTheme="minorHAnsi" w:eastAsiaTheme="minorEastAsia" w:hAnsiTheme="minorHAnsi" w:cstheme="minorBidi"/>
          <w:szCs w:val="22"/>
          <w:lang w:bidi="ar-SA"/>
        </w:rPr>
      </w:pPr>
      <w:hyperlink w:anchor="_Toc500426938" w:history="1">
        <w:r w:rsidR="002C5E9F" w:rsidRPr="00A13A82">
          <w:rPr>
            <w:rStyle w:val="Hyperlink"/>
          </w:rPr>
          <w:t>5.2</w:t>
        </w:r>
        <w:r w:rsidR="002C5E9F">
          <w:rPr>
            <w:rFonts w:asciiTheme="minorHAnsi" w:eastAsiaTheme="minorEastAsia" w:hAnsiTheme="minorHAnsi" w:cstheme="minorBidi"/>
            <w:szCs w:val="22"/>
            <w:lang w:bidi="ar-SA"/>
          </w:rPr>
          <w:tab/>
        </w:r>
        <w:r w:rsidR="002C5E9F" w:rsidRPr="00A13A82">
          <w:rPr>
            <w:rStyle w:val="Hyperlink"/>
          </w:rPr>
          <w:t>Distribution Matrix</w:t>
        </w:r>
        <w:r w:rsidR="002C5E9F">
          <w:rPr>
            <w:webHidden/>
          </w:rPr>
          <w:tab/>
        </w:r>
        <w:r w:rsidR="002C5E9F">
          <w:rPr>
            <w:webHidden/>
          </w:rPr>
          <w:fldChar w:fldCharType="begin"/>
        </w:r>
        <w:r w:rsidR="002C5E9F">
          <w:rPr>
            <w:webHidden/>
          </w:rPr>
          <w:instrText xml:space="preserve"> PAGEREF _Toc500426938 \h </w:instrText>
        </w:r>
        <w:r w:rsidR="002C5E9F">
          <w:rPr>
            <w:webHidden/>
          </w:rPr>
        </w:r>
        <w:r w:rsidR="002C5E9F">
          <w:rPr>
            <w:webHidden/>
          </w:rPr>
          <w:fldChar w:fldCharType="separate"/>
        </w:r>
        <w:r w:rsidR="002C5E9F">
          <w:rPr>
            <w:webHidden/>
          </w:rPr>
          <w:t>9</w:t>
        </w:r>
        <w:r w:rsidR="002C5E9F">
          <w:rPr>
            <w:webHidden/>
          </w:rPr>
          <w:fldChar w:fldCharType="end"/>
        </w:r>
      </w:hyperlink>
    </w:p>
    <w:p w14:paraId="0D44B20F"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39" w:history="1">
        <w:r w:rsidR="002C5E9F" w:rsidRPr="00A13A82">
          <w:rPr>
            <w:rStyle w:val="Hyperlink"/>
            <w:noProof/>
          </w:rPr>
          <w:t>6</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Responsibility</w:t>
        </w:r>
        <w:r w:rsidR="002C5E9F">
          <w:rPr>
            <w:noProof/>
            <w:webHidden/>
          </w:rPr>
          <w:tab/>
        </w:r>
        <w:r w:rsidR="002C5E9F">
          <w:rPr>
            <w:noProof/>
            <w:webHidden/>
          </w:rPr>
          <w:fldChar w:fldCharType="begin"/>
        </w:r>
        <w:r w:rsidR="002C5E9F">
          <w:rPr>
            <w:noProof/>
            <w:webHidden/>
          </w:rPr>
          <w:instrText xml:space="preserve"> PAGEREF _Toc500426939 \h </w:instrText>
        </w:r>
        <w:r w:rsidR="002C5E9F">
          <w:rPr>
            <w:noProof/>
            <w:webHidden/>
          </w:rPr>
        </w:r>
        <w:r w:rsidR="002C5E9F">
          <w:rPr>
            <w:noProof/>
            <w:webHidden/>
          </w:rPr>
          <w:fldChar w:fldCharType="separate"/>
        </w:r>
        <w:r w:rsidR="002C5E9F">
          <w:rPr>
            <w:noProof/>
            <w:webHidden/>
          </w:rPr>
          <w:t>11</w:t>
        </w:r>
        <w:r w:rsidR="002C5E9F">
          <w:rPr>
            <w:noProof/>
            <w:webHidden/>
          </w:rPr>
          <w:fldChar w:fldCharType="end"/>
        </w:r>
      </w:hyperlink>
    </w:p>
    <w:p w14:paraId="1F6FA399" w14:textId="77777777" w:rsidR="002C5E9F" w:rsidRDefault="00607325">
      <w:pPr>
        <w:pStyle w:val="TOC2"/>
        <w:rPr>
          <w:rFonts w:asciiTheme="minorHAnsi" w:eastAsiaTheme="minorEastAsia" w:hAnsiTheme="minorHAnsi" w:cstheme="minorBidi"/>
          <w:szCs w:val="22"/>
          <w:lang w:bidi="ar-SA"/>
        </w:rPr>
      </w:pPr>
      <w:hyperlink w:anchor="_Toc500426940" w:history="1">
        <w:r w:rsidR="002C5E9F" w:rsidRPr="00A13A82">
          <w:rPr>
            <w:rStyle w:val="Hyperlink"/>
          </w:rPr>
          <w:t>6.1</w:t>
        </w:r>
        <w:r w:rsidR="002C5E9F">
          <w:rPr>
            <w:rFonts w:asciiTheme="minorHAnsi" w:eastAsiaTheme="minorEastAsia" w:hAnsiTheme="minorHAnsi" w:cstheme="minorBidi"/>
            <w:szCs w:val="22"/>
            <w:lang w:bidi="ar-SA"/>
          </w:rPr>
          <w:tab/>
        </w:r>
        <w:r w:rsidR="002C5E9F" w:rsidRPr="00A13A82">
          <w:rPr>
            <w:rStyle w:val="Hyperlink"/>
          </w:rPr>
          <w:t>Compliance Responsibility</w:t>
        </w:r>
        <w:r w:rsidR="002C5E9F">
          <w:rPr>
            <w:webHidden/>
          </w:rPr>
          <w:tab/>
        </w:r>
        <w:r w:rsidR="002C5E9F">
          <w:rPr>
            <w:webHidden/>
          </w:rPr>
          <w:fldChar w:fldCharType="begin"/>
        </w:r>
        <w:r w:rsidR="002C5E9F">
          <w:rPr>
            <w:webHidden/>
          </w:rPr>
          <w:instrText xml:space="preserve"> PAGEREF _Toc500426940 \h </w:instrText>
        </w:r>
        <w:r w:rsidR="002C5E9F">
          <w:rPr>
            <w:webHidden/>
          </w:rPr>
        </w:r>
        <w:r w:rsidR="002C5E9F">
          <w:rPr>
            <w:webHidden/>
          </w:rPr>
          <w:fldChar w:fldCharType="separate"/>
        </w:r>
        <w:r w:rsidR="002C5E9F">
          <w:rPr>
            <w:webHidden/>
          </w:rPr>
          <w:t>11</w:t>
        </w:r>
        <w:r w:rsidR="002C5E9F">
          <w:rPr>
            <w:webHidden/>
          </w:rPr>
          <w:fldChar w:fldCharType="end"/>
        </w:r>
      </w:hyperlink>
    </w:p>
    <w:p w14:paraId="18E3D643" w14:textId="77777777" w:rsidR="002C5E9F" w:rsidRDefault="00607325">
      <w:pPr>
        <w:pStyle w:val="TOC2"/>
        <w:rPr>
          <w:rFonts w:asciiTheme="minorHAnsi" w:eastAsiaTheme="minorEastAsia" w:hAnsiTheme="minorHAnsi" w:cstheme="minorBidi"/>
          <w:szCs w:val="22"/>
          <w:lang w:bidi="ar-SA"/>
        </w:rPr>
      </w:pPr>
      <w:hyperlink w:anchor="_Toc500426941" w:history="1">
        <w:r w:rsidR="002C5E9F" w:rsidRPr="00A13A82">
          <w:rPr>
            <w:rStyle w:val="Hyperlink"/>
          </w:rPr>
          <w:t>6.2</w:t>
        </w:r>
        <w:r w:rsidR="002C5E9F">
          <w:rPr>
            <w:rFonts w:asciiTheme="minorHAnsi" w:eastAsiaTheme="minorEastAsia" w:hAnsiTheme="minorHAnsi" w:cstheme="minorBidi"/>
            <w:szCs w:val="22"/>
            <w:lang w:bidi="ar-SA"/>
          </w:rPr>
          <w:tab/>
        </w:r>
        <w:r w:rsidR="002C5E9F" w:rsidRPr="00A13A82">
          <w:rPr>
            <w:rStyle w:val="Hyperlink"/>
          </w:rPr>
          <w:t>Management Commitment</w:t>
        </w:r>
        <w:r w:rsidR="002C5E9F">
          <w:rPr>
            <w:webHidden/>
          </w:rPr>
          <w:tab/>
        </w:r>
        <w:r w:rsidR="002C5E9F">
          <w:rPr>
            <w:webHidden/>
          </w:rPr>
          <w:fldChar w:fldCharType="begin"/>
        </w:r>
        <w:r w:rsidR="002C5E9F">
          <w:rPr>
            <w:webHidden/>
          </w:rPr>
          <w:instrText xml:space="preserve"> PAGEREF _Toc500426941 \h </w:instrText>
        </w:r>
        <w:r w:rsidR="002C5E9F">
          <w:rPr>
            <w:webHidden/>
          </w:rPr>
        </w:r>
        <w:r w:rsidR="002C5E9F">
          <w:rPr>
            <w:webHidden/>
          </w:rPr>
          <w:fldChar w:fldCharType="separate"/>
        </w:r>
        <w:r w:rsidR="002C5E9F">
          <w:rPr>
            <w:webHidden/>
          </w:rPr>
          <w:t>11</w:t>
        </w:r>
        <w:r w:rsidR="002C5E9F">
          <w:rPr>
            <w:webHidden/>
          </w:rPr>
          <w:fldChar w:fldCharType="end"/>
        </w:r>
      </w:hyperlink>
    </w:p>
    <w:p w14:paraId="779F8C39"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42" w:history="1">
        <w:r w:rsidR="002C5E9F" w:rsidRPr="00A13A82">
          <w:rPr>
            <w:rStyle w:val="Hyperlink"/>
            <w:noProof/>
          </w:rPr>
          <w:t>7</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Exceptions</w:t>
        </w:r>
        <w:r w:rsidR="002C5E9F">
          <w:rPr>
            <w:noProof/>
            <w:webHidden/>
          </w:rPr>
          <w:tab/>
        </w:r>
        <w:r w:rsidR="002C5E9F">
          <w:rPr>
            <w:noProof/>
            <w:webHidden/>
          </w:rPr>
          <w:fldChar w:fldCharType="begin"/>
        </w:r>
        <w:r w:rsidR="002C5E9F">
          <w:rPr>
            <w:noProof/>
            <w:webHidden/>
          </w:rPr>
          <w:instrText xml:space="preserve"> PAGEREF _Toc500426942 \h </w:instrText>
        </w:r>
        <w:r w:rsidR="002C5E9F">
          <w:rPr>
            <w:noProof/>
            <w:webHidden/>
          </w:rPr>
        </w:r>
        <w:r w:rsidR="002C5E9F">
          <w:rPr>
            <w:noProof/>
            <w:webHidden/>
          </w:rPr>
          <w:fldChar w:fldCharType="separate"/>
        </w:r>
        <w:r w:rsidR="002C5E9F">
          <w:rPr>
            <w:noProof/>
            <w:webHidden/>
          </w:rPr>
          <w:t>12</w:t>
        </w:r>
        <w:r w:rsidR="002C5E9F">
          <w:rPr>
            <w:noProof/>
            <w:webHidden/>
          </w:rPr>
          <w:fldChar w:fldCharType="end"/>
        </w:r>
      </w:hyperlink>
    </w:p>
    <w:p w14:paraId="3ED35647"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43" w:history="1">
        <w:r w:rsidR="002C5E9F" w:rsidRPr="00A13A82">
          <w:rPr>
            <w:rStyle w:val="Hyperlink"/>
            <w:noProof/>
          </w:rPr>
          <w:t>8</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Expiration</w:t>
        </w:r>
        <w:r w:rsidR="002C5E9F">
          <w:rPr>
            <w:noProof/>
            <w:webHidden/>
          </w:rPr>
          <w:tab/>
        </w:r>
        <w:r w:rsidR="002C5E9F">
          <w:rPr>
            <w:noProof/>
            <w:webHidden/>
          </w:rPr>
          <w:fldChar w:fldCharType="begin"/>
        </w:r>
        <w:r w:rsidR="002C5E9F">
          <w:rPr>
            <w:noProof/>
            <w:webHidden/>
          </w:rPr>
          <w:instrText xml:space="preserve"> PAGEREF _Toc500426943 \h </w:instrText>
        </w:r>
        <w:r w:rsidR="002C5E9F">
          <w:rPr>
            <w:noProof/>
            <w:webHidden/>
          </w:rPr>
        </w:r>
        <w:r w:rsidR="002C5E9F">
          <w:rPr>
            <w:noProof/>
            <w:webHidden/>
          </w:rPr>
          <w:fldChar w:fldCharType="separate"/>
        </w:r>
        <w:r w:rsidR="002C5E9F">
          <w:rPr>
            <w:noProof/>
            <w:webHidden/>
          </w:rPr>
          <w:t>12</w:t>
        </w:r>
        <w:r w:rsidR="002C5E9F">
          <w:rPr>
            <w:noProof/>
            <w:webHidden/>
          </w:rPr>
          <w:fldChar w:fldCharType="end"/>
        </w:r>
      </w:hyperlink>
    </w:p>
    <w:p w14:paraId="4CA1A71A" w14:textId="77777777" w:rsidR="002C5E9F" w:rsidRDefault="00607325">
      <w:pPr>
        <w:pStyle w:val="TOC1"/>
        <w:tabs>
          <w:tab w:val="left" w:pos="440"/>
          <w:tab w:val="right" w:leader="dot" w:pos="10790"/>
        </w:tabs>
        <w:rPr>
          <w:rFonts w:asciiTheme="minorHAnsi" w:eastAsiaTheme="minorEastAsia" w:hAnsiTheme="minorHAnsi" w:cstheme="minorBidi"/>
          <w:b w:val="0"/>
          <w:smallCaps w:val="0"/>
          <w:noProof/>
          <w:sz w:val="22"/>
          <w:szCs w:val="22"/>
          <w:lang w:bidi="ar-SA"/>
        </w:rPr>
      </w:pPr>
      <w:hyperlink w:anchor="_Toc500426944" w:history="1">
        <w:r w:rsidR="002C5E9F" w:rsidRPr="00A13A82">
          <w:rPr>
            <w:rStyle w:val="Hyperlink"/>
            <w:noProof/>
          </w:rPr>
          <w:t>9</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Enforcement</w:t>
        </w:r>
        <w:r w:rsidR="002C5E9F">
          <w:rPr>
            <w:noProof/>
            <w:webHidden/>
          </w:rPr>
          <w:tab/>
        </w:r>
        <w:r w:rsidR="002C5E9F">
          <w:rPr>
            <w:noProof/>
            <w:webHidden/>
          </w:rPr>
          <w:fldChar w:fldCharType="begin"/>
        </w:r>
        <w:r w:rsidR="002C5E9F">
          <w:rPr>
            <w:noProof/>
            <w:webHidden/>
          </w:rPr>
          <w:instrText xml:space="preserve"> PAGEREF _Toc500426944 \h </w:instrText>
        </w:r>
        <w:r w:rsidR="002C5E9F">
          <w:rPr>
            <w:noProof/>
            <w:webHidden/>
          </w:rPr>
        </w:r>
        <w:r w:rsidR="002C5E9F">
          <w:rPr>
            <w:noProof/>
            <w:webHidden/>
          </w:rPr>
          <w:fldChar w:fldCharType="separate"/>
        </w:r>
        <w:r w:rsidR="002C5E9F">
          <w:rPr>
            <w:noProof/>
            <w:webHidden/>
          </w:rPr>
          <w:t>12</w:t>
        </w:r>
        <w:r w:rsidR="002C5E9F">
          <w:rPr>
            <w:noProof/>
            <w:webHidden/>
          </w:rPr>
          <w:fldChar w:fldCharType="end"/>
        </w:r>
      </w:hyperlink>
    </w:p>
    <w:p w14:paraId="70946AF5" w14:textId="77777777" w:rsidR="002C5E9F" w:rsidRDefault="00607325">
      <w:pPr>
        <w:pStyle w:val="TOC1"/>
        <w:tabs>
          <w:tab w:val="left" w:pos="660"/>
          <w:tab w:val="right" w:leader="dot" w:pos="10790"/>
        </w:tabs>
        <w:rPr>
          <w:rFonts w:asciiTheme="minorHAnsi" w:eastAsiaTheme="minorEastAsia" w:hAnsiTheme="minorHAnsi" w:cstheme="minorBidi"/>
          <w:b w:val="0"/>
          <w:smallCaps w:val="0"/>
          <w:noProof/>
          <w:sz w:val="22"/>
          <w:szCs w:val="22"/>
          <w:lang w:bidi="ar-SA"/>
        </w:rPr>
      </w:pPr>
      <w:hyperlink w:anchor="_Toc500426945" w:history="1">
        <w:r w:rsidR="002C5E9F" w:rsidRPr="00A13A82">
          <w:rPr>
            <w:rStyle w:val="Hyperlink"/>
            <w:noProof/>
          </w:rPr>
          <w:t>10</w:t>
        </w:r>
        <w:r w:rsidR="002C5E9F">
          <w:rPr>
            <w:rFonts w:asciiTheme="minorHAnsi" w:eastAsiaTheme="minorEastAsia" w:hAnsiTheme="minorHAnsi" w:cstheme="minorBidi"/>
            <w:b w:val="0"/>
            <w:smallCaps w:val="0"/>
            <w:noProof/>
            <w:sz w:val="22"/>
            <w:szCs w:val="22"/>
            <w:lang w:bidi="ar-SA"/>
          </w:rPr>
          <w:tab/>
        </w:r>
        <w:r w:rsidR="002C5E9F" w:rsidRPr="00A13A82">
          <w:rPr>
            <w:rStyle w:val="Hyperlink"/>
            <w:noProof/>
          </w:rPr>
          <w:t>Appendices</w:t>
        </w:r>
        <w:r w:rsidR="002C5E9F">
          <w:rPr>
            <w:noProof/>
            <w:webHidden/>
          </w:rPr>
          <w:tab/>
        </w:r>
        <w:r w:rsidR="002C5E9F">
          <w:rPr>
            <w:noProof/>
            <w:webHidden/>
          </w:rPr>
          <w:fldChar w:fldCharType="begin"/>
        </w:r>
        <w:r w:rsidR="002C5E9F">
          <w:rPr>
            <w:noProof/>
            <w:webHidden/>
          </w:rPr>
          <w:instrText xml:space="preserve"> PAGEREF _Toc500426945 \h </w:instrText>
        </w:r>
        <w:r w:rsidR="002C5E9F">
          <w:rPr>
            <w:noProof/>
            <w:webHidden/>
          </w:rPr>
        </w:r>
        <w:r w:rsidR="002C5E9F">
          <w:rPr>
            <w:noProof/>
            <w:webHidden/>
          </w:rPr>
          <w:fldChar w:fldCharType="separate"/>
        </w:r>
        <w:r w:rsidR="002C5E9F">
          <w:rPr>
            <w:noProof/>
            <w:webHidden/>
          </w:rPr>
          <w:t>13</w:t>
        </w:r>
        <w:r w:rsidR="002C5E9F">
          <w:rPr>
            <w:noProof/>
            <w:webHidden/>
          </w:rPr>
          <w:fldChar w:fldCharType="end"/>
        </w:r>
      </w:hyperlink>
    </w:p>
    <w:p w14:paraId="08D82308" w14:textId="77777777" w:rsidR="002C5E9F" w:rsidRDefault="00607325">
      <w:pPr>
        <w:pStyle w:val="TOC2"/>
        <w:rPr>
          <w:rFonts w:asciiTheme="minorHAnsi" w:eastAsiaTheme="minorEastAsia" w:hAnsiTheme="minorHAnsi" w:cstheme="minorBidi"/>
          <w:szCs w:val="22"/>
          <w:lang w:bidi="ar-SA"/>
        </w:rPr>
      </w:pPr>
      <w:hyperlink w:anchor="_Toc500426946" w:history="1">
        <w:r w:rsidR="002C5E9F" w:rsidRPr="00A13A82">
          <w:rPr>
            <w:rStyle w:val="Hyperlink"/>
          </w:rPr>
          <w:t>Appendix A  - Terms and Definitions</w:t>
        </w:r>
        <w:r w:rsidR="002C5E9F">
          <w:rPr>
            <w:webHidden/>
          </w:rPr>
          <w:tab/>
        </w:r>
        <w:r w:rsidR="002C5E9F">
          <w:rPr>
            <w:webHidden/>
          </w:rPr>
          <w:fldChar w:fldCharType="begin"/>
        </w:r>
        <w:r w:rsidR="002C5E9F">
          <w:rPr>
            <w:webHidden/>
          </w:rPr>
          <w:instrText xml:space="preserve"> PAGEREF _Toc500426946 \h </w:instrText>
        </w:r>
        <w:r w:rsidR="002C5E9F">
          <w:rPr>
            <w:webHidden/>
          </w:rPr>
        </w:r>
        <w:r w:rsidR="002C5E9F">
          <w:rPr>
            <w:webHidden/>
          </w:rPr>
          <w:fldChar w:fldCharType="separate"/>
        </w:r>
        <w:r w:rsidR="002C5E9F">
          <w:rPr>
            <w:webHidden/>
          </w:rPr>
          <w:t>14</w:t>
        </w:r>
        <w:r w:rsidR="002C5E9F">
          <w:rPr>
            <w:webHidden/>
          </w:rPr>
          <w:fldChar w:fldCharType="end"/>
        </w:r>
      </w:hyperlink>
    </w:p>
    <w:p w14:paraId="66C49E47" w14:textId="77777777" w:rsidR="002C5E9F" w:rsidRDefault="00607325">
      <w:pPr>
        <w:pStyle w:val="TOC2"/>
        <w:rPr>
          <w:rFonts w:asciiTheme="minorHAnsi" w:eastAsiaTheme="minorEastAsia" w:hAnsiTheme="minorHAnsi" w:cstheme="minorBidi"/>
          <w:szCs w:val="22"/>
          <w:lang w:bidi="ar-SA"/>
        </w:rPr>
      </w:pPr>
      <w:hyperlink w:anchor="_Toc500426947" w:history="1">
        <w:r w:rsidR="002C5E9F" w:rsidRPr="00A13A82">
          <w:rPr>
            <w:rStyle w:val="Hyperlink"/>
          </w:rPr>
          <w:t>Appendix B  - References</w:t>
        </w:r>
        <w:r w:rsidR="002C5E9F">
          <w:rPr>
            <w:webHidden/>
          </w:rPr>
          <w:tab/>
        </w:r>
        <w:r w:rsidR="002C5E9F">
          <w:rPr>
            <w:webHidden/>
          </w:rPr>
          <w:fldChar w:fldCharType="begin"/>
        </w:r>
        <w:r w:rsidR="002C5E9F">
          <w:rPr>
            <w:webHidden/>
          </w:rPr>
          <w:instrText xml:space="preserve"> PAGEREF _Toc500426947 \h </w:instrText>
        </w:r>
        <w:r w:rsidR="002C5E9F">
          <w:rPr>
            <w:webHidden/>
          </w:rPr>
        </w:r>
        <w:r w:rsidR="002C5E9F">
          <w:rPr>
            <w:webHidden/>
          </w:rPr>
          <w:fldChar w:fldCharType="separate"/>
        </w:r>
        <w:r w:rsidR="002C5E9F">
          <w:rPr>
            <w:webHidden/>
          </w:rPr>
          <w:t>16</w:t>
        </w:r>
        <w:r w:rsidR="002C5E9F">
          <w:rPr>
            <w:webHidden/>
          </w:rPr>
          <w:fldChar w:fldCharType="end"/>
        </w:r>
      </w:hyperlink>
    </w:p>
    <w:p w14:paraId="1FF908B9" w14:textId="77777777" w:rsidR="002C5E9F" w:rsidRDefault="00607325">
      <w:pPr>
        <w:pStyle w:val="TOC2"/>
        <w:rPr>
          <w:rFonts w:asciiTheme="minorHAnsi" w:eastAsiaTheme="minorEastAsia" w:hAnsiTheme="minorHAnsi" w:cstheme="minorBidi"/>
          <w:szCs w:val="22"/>
          <w:lang w:bidi="ar-SA"/>
        </w:rPr>
      </w:pPr>
      <w:hyperlink w:anchor="_Toc500426948" w:history="1">
        <w:r w:rsidR="002C5E9F" w:rsidRPr="00A13A82">
          <w:rPr>
            <w:rStyle w:val="Hyperlink"/>
          </w:rPr>
          <w:t>Appendix C  - Distribution</w:t>
        </w:r>
        <w:r w:rsidR="002C5E9F">
          <w:rPr>
            <w:webHidden/>
          </w:rPr>
          <w:tab/>
        </w:r>
        <w:r w:rsidR="002C5E9F">
          <w:rPr>
            <w:webHidden/>
          </w:rPr>
          <w:fldChar w:fldCharType="begin"/>
        </w:r>
        <w:r w:rsidR="002C5E9F">
          <w:rPr>
            <w:webHidden/>
          </w:rPr>
          <w:instrText xml:space="preserve"> PAGEREF _Toc500426948 \h </w:instrText>
        </w:r>
        <w:r w:rsidR="002C5E9F">
          <w:rPr>
            <w:webHidden/>
          </w:rPr>
        </w:r>
        <w:r w:rsidR="002C5E9F">
          <w:rPr>
            <w:webHidden/>
          </w:rPr>
          <w:fldChar w:fldCharType="separate"/>
        </w:r>
        <w:r w:rsidR="002C5E9F">
          <w:rPr>
            <w:webHidden/>
          </w:rPr>
          <w:t>17</w:t>
        </w:r>
        <w:r w:rsidR="002C5E9F">
          <w:rPr>
            <w:webHidden/>
          </w:rPr>
          <w:fldChar w:fldCharType="end"/>
        </w:r>
      </w:hyperlink>
    </w:p>
    <w:p w14:paraId="24D70166" w14:textId="77777777" w:rsidR="00D568F1" w:rsidRDefault="004918DA" w:rsidP="0052648E">
      <w:pPr>
        <w:pStyle w:val="space"/>
      </w:pPr>
      <w:r>
        <w:fldChar w:fldCharType="end"/>
      </w:r>
    </w:p>
    <w:p w14:paraId="24D70167" w14:textId="4245F431" w:rsidR="00992A9A" w:rsidRDefault="00992A9A" w:rsidP="00992A9A">
      <w:pPr>
        <w:pStyle w:val="TOCheader"/>
      </w:pPr>
      <w:r>
        <w:t xml:space="preserve">List of </w:t>
      </w:r>
      <w:r w:rsidR="00507784">
        <w:t>Tables</w:t>
      </w:r>
    </w:p>
    <w:p w14:paraId="0D110E37" w14:textId="6743A585" w:rsidR="002C5E9F" w:rsidRDefault="00C562E4">
      <w:pPr>
        <w:pStyle w:val="TableofFigures"/>
        <w:tabs>
          <w:tab w:val="right" w:leader="dot" w:pos="10790"/>
        </w:tabs>
        <w:rPr>
          <w:rFonts w:asciiTheme="minorHAnsi" w:eastAsiaTheme="minorEastAsia" w:hAnsiTheme="minorHAnsi" w:cstheme="minorBidi"/>
          <w:noProof/>
          <w:szCs w:val="22"/>
          <w:lang w:bidi="ar-SA"/>
        </w:rPr>
      </w:pPr>
      <w:r>
        <w:rPr>
          <w:color w:val="262626" w:themeColor="text1" w:themeShade="80"/>
        </w:rPr>
        <w:fldChar w:fldCharType="begin"/>
      </w:r>
      <w:r>
        <w:instrText xml:space="preserve"> TOC \f T \h \z \t "TableTitleLine" \c </w:instrText>
      </w:r>
      <w:r>
        <w:rPr>
          <w:color w:val="262626" w:themeColor="text1" w:themeShade="80"/>
        </w:rPr>
        <w:fldChar w:fldCharType="separate"/>
      </w:r>
      <w:hyperlink w:anchor="_Toc500426949" w:history="1">
        <w:r w:rsidR="002C5E9F" w:rsidRPr="00F4245C">
          <w:rPr>
            <w:rStyle w:val="Hyperlink"/>
            <w:noProof/>
          </w:rPr>
          <w:t>Table 4</w:t>
        </w:r>
        <w:r w:rsidR="002C5E9F" w:rsidRPr="00F4245C">
          <w:rPr>
            <w:rStyle w:val="Hyperlink"/>
            <w:noProof/>
          </w:rPr>
          <w:noBreakHyphen/>
          <w:t xml:space="preserve">1: </w:t>
        </w:r>
        <w:r w:rsidR="00A86D7F">
          <w:rPr>
            <w:rStyle w:val="Hyperlink"/>
            <w:noProof/>
          </w:rPr>
          <w:t>IBM</w:t>
        </w:r>
        <w:r w:rsidR="002C5E9F" w:rsidRPr="00F4245C">
          <w:rPr>
            <w:rStyle w:val="Hyperlink"/>
            <w:noProof/>
          </w:rPr>
          <w:t>Third-party Compliance Reports</w:t>
        </w:r>
        <w:r w:rsidR="002C5E9F">
          <w:rPr>
            <w:noProof/>
            <w:webHidden/>
          </w:rPr>
          <w:tab/>
        </w:r>
        <w:r w:rsidR="002C5E9F">
          <w:rPr>
            <w:noProof/>
            <w:webHidden/>
          </w:rPr>
          <w:fldChar w:fldCharType="begin"/>
        </w:r>
        <w:r w:rsidR="002C5E9F">
          <w:rPr>
            <w:noProof/>
            <w:webHidden/>
          </w:rPr>
          <w:instrText xml:space="preserve"> PAGEREF _Toc500426949 \h </w:instrText>
        </w:r>
        <w:r w:rsidR="002C5E9F">
          <w:rPr>
            <w:noProof/>
            <w:webHidden/>
          </w:rPr>
        </w:r>
        <w:r w:rsidR="002C5E9F">
          <w:rPr>
            <w:noProof/>
            <w:webHidden/>
          </w:rPr>
          <w:fldChar w:fldCharType="separate"/>
        </w:r>
        <w:r w:rsidR="002C5E9F">
          <w:rPr>
            <w:noProof/>
            <w:webHidden/>
          </w:rPr>
          <w:t>8</w:t>
        </w:r>
        <w:r w:rsidR="002C5E9F">
          <w:rPr>
            <w:noProof/>
            <w:webHidden/>
          </w:rPr>
          <w:fldChar w:fldCharType="end"/>
        </w:r>
      </w:hyperlink>
    </w:p>
    <w:p w14:paraId="625AFBFE" w14:textId="77777777" w:rsidR="002C5E9F" w:rsidRDefault="00607325">
      <w:pPr>
        <w:pStyle w:val="TableofFigures"/>
        <w:tabs>
          <w:tab w:val="right" w:leader="dot" w:pos="10790"/>
        </w:tabs>
        <w:rPr>
          <w:rFonts w:asciiTheme="minorHAnsi" w:eastAsiaTheme="minorEastAsia" w:hAnsiTheme="minorHAnsi" w:cstheme="minorBidi"/>
          <w:noProof/>
          <w:szCs w:val="22"/>
          <w:lang w:bidi="ar-SA"/>
        </w:rPr>
      </w:pPr>
      <w:hyperlink w:anchor="_Toc500426950" w:history="1">
        <w:r w:rsidR="002C5E9F" w:rsidRPr="00F4245C">
          <w:rPr>
            <w:rStyle w:val="Hyperlink"/>
            <w:noProof/>
          </w:rPr>
          <w:t>Table 5</w:t>
        </w:r>
        <w:r w:rsidR="002C5E9F" w:rsidRPr="00F4245C">
          <w:rPr>
            <w:rStyle w:val="Hyperlink"/>
            <w:noProof/>
          </w:rPr>
          <w:noBreakHyphen/>
          <w:t>1: Audit Evidence Distribution Matrix</w:t>
        </w:r>
        <w:r w:rsidR="002C5E9F">
          <w:rPr>
            <w:noProof/>
            <w:webHidden/>
          </w:rPr>
          <w:tab/>
        </w:r>
        <w:r w:rsidR="002C5E9F">
          <w:rPr>
            <w:noProof/>
            <w:webHidden/>
          </w:rPr>
          <w:fldChar w:fldCharType="begin"/>
        </w:r>
        <w:r w:rsidR="002C5E9F">
          <w:rPr>
            <w:noProof/>
            <w:webHidden/>
          </w:rPr>
          <w:instrText xml:space="preserve"> PAGEREF _Toc500426950 \h </w:instrText>
        </w:r>
        <w:r w:rsidR="002C5E9F">
          <w:rPr>
            <w:noProof/>
            <w:webHidden/>
          </w:rPr>
        </w:r>
        <w:r w:rsidR="002C5E9F">
          <w:rPr>
            <w:noProof/>
            <w:webHidden/>
          </w:rPr>
          <w:fldChar w:fldCharType="separate"/>
        </w:r>
        <w:r w:rsidR="002C5E9F">
          <w:rPr>
            <w:noProof/>
            <w:webHidden/>
          </w:rPr>
          <w:t>9</w:t>
        </w:r>
        <w:r w:rsidR="002C5E9F">
          <w:rPr>
            <w:noProof/>
            <w:webHidden/>
          </w:rPr>
          <w:fldChar w:fldCharType="end"/>
        </w:r>
      </w:hyperlink>
    </w:p>
    <w:p w14:paraId="578218F6" w14:textId="77777777" w:rsidR="002C5E9F" w:rsidRDefault="00607325">
      <w:pPr>
        <w:pStyle w:val="TableofFigures"/>
        <w:tabs>
          <w:tab w:val="right" w:leader="dot" w:pos="10790"/>
        </w:tabs>
        <w:rPr>
          <w:rFonts w:asciiTheme="minorHAnsi" w:eastAsiaTheme="minorEastAsia" w:hAnsiTheme="minorHAnsi" w:cstheme="minorBidi"/>
          <w:noProof/>
          <w:szCs w:val="22"/>
          <w:lang w:bidi="ar-SA"/>
        </w:rPr>
      </w:pPr>
      <w:hyperlink w:anchor="_Toc500426951" w:history="1">
        <w:r w:rsidR="002C5E9F" w:rsidRPr="00F4245C">
          <w:rPr>
            <w:rStyle w:val="Hyperlink"/>
            <w:noProof/>
          </w:rPr>
          <w:t>Table A</w:t>
        </w:r>
        <w:r w:rsidR="002C5E9F" w:rsidRPr="00F4245C">
          <w:rPr>
            <w:rStyle w:val="Hyperlink"/>
            <w:noProof/>
          </w:rPr>
          <w:noBreakHyphen/>
          <w:t>1: Terms and Definitions</w:t>
        </w:r>
        <w:r w:rsidR="002C5E9F">
          <w:rPr>
            <w:noProof/>
            <w:webHidden/>
          </w:rPr>
          <w:tab/>
        </w:r>
        <w:r w:rsidR="002C5E9F">
          <w:rPr>
            <w:noProof/>
            <w:webHidden/>
          </w:rPr>
          <w:fldChar w:fldCharType="begin"/>
        </w:r>
        <w:r w:rsidR="002C5E9F">
          <w:rPr>
            <w:noProof/>
            <w:webHidden/>
          </w:rPr>
          <w:instrText xml:space="preserve"> PAGEREF _Toc500426951 \h </w:instrText>
        </w:r>
        <w:r w:rsidR="002C5E9F">
          <w:rPr>
            <w:noProof/>
            <w:webHidden/>
          </w:rPr>
        </w:r>
        <w:r w:rsidR="002C5E9F">
          <w:rPr>
            <w:noProof/>
            <w:webHidden/>
          </w:rPr>
          <w:fldChar w:fldCharType="separate"/>
        </w:r>
        <w:r w:rsidR="002C5E9F">
          <w:rPr>
            <w:noProof/>
            <w:webHidden/>
          </w:rPr>
          <w:t>14</w:t>
        </w:r>
        <w:r w:rsidR="002C5E9F">
          <w:rPr>
            <w:noProof/>
            <w:webHidden/>
          </w:rPr>
          <w:fldChar w:fldCharType="end"/>
        </w:r>
      </w:hyperlink>
    </w:p>
    <w:p w14:paraId="35047F77" w14:textId="77777777" w:rsidR="002C5E9F" w:rsidRDefault="00607325">
      <w:pPr>
        <w:pStyle w:val="TableofFigures"/>
        <w:tabs>
          <w:tab w:val="right" w:leader="dot" w:pos="10790"/>
        </w:tabs>
        <w:rPr>
          <w:rFonts w:asciiTheme="minorHAnsi" w:eastAsiaTheme="minorEastAsia" w:hAnsiTheme="minorHAnsi" w:cstheme="minorBidi"/>
          <w:noProof/>
          <w:szCs w:val="22"/>
          <w:lang w:bidi="ar-SA"/>
        </w:rPr>
      </w:pPr>
      <w:hyperlink w:anchor="_Toc500426952" w:history="1">
        <w:r w:rsidR="002C5E9F" w:rsidRPr="00F4245C">
          <w:rPr>
            <w:rStyle w:val="Hyperlink"/>
            <w:noProof/>
          </w:rPr>
          <w:t>Table B</w:t>
        </w:r>
        <w:r w:rsidR="002C5E9F" w:rsidRPr="00F4245C">
          <w:rPr>
            <w:rStyle w:val="Hyperlink"/>
            <w:noProof/>
          </w:rPr>
          <w:noBreakHyphen/>
          <w:t>1: References</w:t>
        </w:r>
        <w:r w:rsidR="002C5E9F">
          <w:rPr>
            <w:noProof/>
            <w:webHidden/>
          </w:rPr>
          <w:tab/>
        </w:r>
        <w:r w:rsidR="002C5E9F">
          <w:rPr>
            <w:noProof/>
            <w:webHidden/>
          </w:rPr>
          <w:fldChar w:fldCharType="begin"/>
        </w:r>
        <w:r w:rsidR="002C5E9F">
          <w:rPr>
            <w:noProof/>
            <w:webHidden/>
          </w:rPr>
          <w:instrText xml:space="preserve"> PAGEREF _Toc500426952 \h </w:instrText>
        </w:r>
        <w:r w:rsidR="002C5E9F">
          <w:rPr>
            <w:noProof/>
            <w:webHidden/>
          </w:rPr>
        </w:r>
        <w:r w:rsidR="002C5E9F">
          <w:rPr>
            <w:noProof/>
            <w:webHidden/>
          </w:rPr>
          <w:fldChar w:fldCharType="separate"/>
        </w:r>
        <w:r w:rsidR="002C5E9F">
          <w:rPr>
            <w:noProof/>
            <w:webHidden/>
          </w:rPr>
          <w:t>16</w:t>
        </w:r>
        <w:r w:rsidR="002C5E9F">
          <w:rPr>
            <w:noProof/>
            <w:webHidden/>
          </w:rPr>
          <w:fldChar w:fldCharType="end"/>
        </w:r>
      </w:hyperlink>
    </w:p>
    <w:p w14:paraId="089AD9DE" w14:textId="77777777" w:rsidR="002C5E9F" w:rsidRDefault="00607325">
      <w:pPr>
        <w:pStyle w:val="TableofFigures"/>
        <w:tabs>
          <w:tab w:val="right" w:leader="dot" w:pos="10790"/>
        </w:tabs>
        <w:rPr>
          <w:rFonts w:asciiTheme="minorHAnsi" w:eastAsiaTheme="minorEastAsia" w:hAnsiTheme="minorHAnsi" w:cstheme="minorBidi"/>
          <w:noProof/>
          <w:szCs w:val="22"/>
          <w:lang w:bidi="ar-SA"/>
        </w:rPr>
      </w:pPr>
      <w:hyperlink w:anchor="_Toc500426953" w:history="1">
        <w:r w:rsidR="002C5E9F" w:rsidRPr="00F4245C">
          <w:rPr>
            <w:rStyle w:val="Hyperlink"/>
            <w:noProof/>
          </w:rPr>
          <w:t>Table C</w:t>
        </w:r>
        <w:r w:rsidR="002C5E9F" w:rsidRPr="00F4245C">
          <w:rPr>
            <w:rStyle w:val="Hyperlink"/>
            <w:noProof/>
          </w:rPr>
          <w:noBreakHyphen/>
          <w:t>1: Distribution Contacts</w:t>
        </w:r>
        <w:r w:rsidR="002C5E9F">
          <w:rPr>
            <w:noProof/>
            <w:webHidden/>
          </w:rPr>
          <w:tab/>
        </w:r>
        <w:r w:rsidR="002C5E9F">
          <w:rPr>
            <w:noProof/>
            <w:webHidden/>
          </w:rPr>
          <w:fldChar w:fldCharType="begin"/>
        </w:r>
        <w:r w:rsidR="002C5E9F">
          <w:rPr>
            <w:noProof/>
            <w:webHidden/>
          </w:rPr>
          <w:instrText xml:space="preserve"> PAGEREF _Toc500426953 \h </w:instrText>
        </w:r>
        <w:r w:rsidR="002C5E9F">
          <w:rPr>
            <w:noProof/>
            <w:webHidden/>
          </w:rPr>
        </w:r>
        <w:r w:rsidR="002C5E9F">
          <w:rPr>
            <w:noProof/>
            <w:webHidden/>
          </w:rPr>
          <w:fldChar w:fldCharType="separate"/>
        </w:r>
        <w:r w:rsidR="002C5E9F">
          <w:rPr>
            <w:noProof/>
            <w:webHidden/>
          </w:rPr>
          <w:t>17</w:t>
        </w:r>
        <w:r w:rsidR="002C5E9F">
          <w:rPr>
            <w:noProof/>
            <w:webHidden/>
          </w:rPr>
          <w:fldChar w:fldCharType="end"/>
        </w:r>
      </w:hyperlink>
    </w:p>
    <w:p w14:paraId="24D7016B" w14:textId="77777777" w:rsidR="00C562E4" w:rsidRDefault="00C562E4" w:rsidP="0052648E">
      <w:pPr>
        <w:pStyle w:val="space"/>
      </w:pPr>
      <w:r>
        <w:fldChar w:fldCharType="end"/>
      </w:r>
    </w:p>
    <w:p w14:paraId="24D7016C" w14:textId="77777777" w:rsidR="00D568F1" w:rsidRDefault="00D568F1" w:rsidP="00D568F1">
      <w:pPr>
        <w:pStyle w:val="TOCheader"/>
      </w:pPr>
      <w:r>
        <w:t>List of Figures</w:t>
      </w:r>
    </w:p>
    <w:p w14:paraId="24D7016D" w14:textId="77777777" w:rsidR="004918DA" w:rsidRPr="00EB3985" w:rsidRDefault="00607325" w:rsidP="0052648E">
      <w:pPr>
        <w:pStyle w:val="space"/>
      </w:pPr>
      <w:r>
        <w:fldChar w:fldCharType="begin"/>
      </w:r>
      <w:r>
        <w:instrText xml:space="preserve"> TOC \h \z \t "figureheading" \c </w:instrText>
      </w:r>
      <w:r>
        <w:fldChar w:fldCharType="separate"/>
      </w:r>
      <w:r w:rsidR="001B4571">
        <w:rPr>
          <w:b/>
          <w:bCs/>
          <w:noProof/>
        </w:rPr>
        <w:t>No table of figures entries found.</w:t>
      </w:r>
      <w:r>
        <w:rPr>
          <w:b/>
          <w:bCs/>
          <w:noProof/>
        </w:rPr>
        <w:fldChar w:fldCharType="end"/>
      </w:r>
    </w:p>
    <w:p w14:paraId="24D7016E" w14:textId="77777777" w:rsidR="004918DA" w:rsidRDefault="004918DA" w:rsidP="005E0297">
      <w:pPr>
        <w:pStyle w:val="Body"/>
        <w:sectPr w:rsidR="004918DA" w:rsidSect="000E65E2">
          <w:headerReference w:type="even" r:id="rId18"/>
          <w:headerReference w:type="first" r:id="rId19"/>
          <w:pgSz w:w="12240" w:h="15840"/>
          <w:pgMar w:top="1440" w:right="720" w:bottom="1440" w:left="720" w:header="720" w:footer="720" w:gutter="0"/>
          <w:pgNumType w:fmt="lowerRoman" w:start="1"/>
          <w:cols w:space="720"/>
          <w:titlePg/>
          <w:docGrid w:linePitch="360"/>
        </w:sectPr>
      </w:pPr>
    </w:p>
    <w:p w14:paraId="24D7016F" w14:textId="77777777" w:rsidR="00316BC4" w:rsidRDefault="00EB3985" w:rsidP="006D1F01">
      <w:pPr>
        <w:pStyle w:val="Heading1"/>
      </w:pPr>
      <w:bookmarkStart w:id="0" w:name="_Toc396823806"/>
      <w:bookmarkStart w:id="1" w:name="_Toc500426920"/>
      <w:r w:rsidRPr="00EB3985">
        <w:lastRenderedPageBreak/>
        <w:t>Overview</w:t>
      </w:r>
      <w:bookmarkEnd w:id="0"/>
      <w:bookmarkEnd w:id="1"/>
    </w:p>
    <w:p w14:paraId="24D70170" w14:textId="77777777" w:rsidR="00EB3985" w:rsidRPr="00EB3985" w:rsidRDefault="00EB3985" w:rsidP="00EB3985">
      <w:pPr>
        <w:pStyle w:val="Heading2"/>
      </w:pPr>
      <w:bookmarkStart w:id="2" w:name="_Toc394134828"/>
      <w:bookmarkStart w:id="3" w:name="_Toc393397551"/>
      <w:bookmarkStart w:id="4" w:name="_Toc386451212"/>
      <w:bookmarkStart w:id="5" w:name="_Toc396823807"/>
      <w:bookmarkStart w:id="6" w:name="_Toc500426921"/>
      <w:r w:rsidRPr="00EB3985">
        <w:t>Purpose</w:t>
      </w:r>
      <w:bookmarkEnd w:id="2"/>
      <w:bookmarkEnd w:id="3"/>
      <w:bookmarkEnd w:id="4"/>
      <w:bookmarkEnd w:id="5"/>
      <w:bookmarkEnd w:id="6"/>
    </w:p>
    <w:p w14:paraId="4391EAB8" w14:textId="1B54CA0B" w:rsidR="00A86D7F" w:rsidRDefault="00A86D7F" w:rsidP="00507784">
      <w:pPr>
        <w:pStyle w:val="Body"/>
      </w:pPr>
      <w:r>
        <w:t>This policy documents the add</w:t>
      </w:r>
      <w:r w:rsidR="004C20CD">
        <w:t>endum policy statements</w:t>
      </w:r>
      <w:r>
        <w:t xml:space="preserve"> supplemental to Information </w:t>
      </w:r>
      <w:r w:rsidR="00185F9B">
        <w:t>Global Transformation Services Security Standard (GTS SS)</w:t>
      </w:r>
      <w:r>
        <w:t>, addressing requirements specific to IBM Global Technology Servers (GTS) Cloud Transformation Services (formerly Verizon), hereinafter referred to as “GCTS.”  This Audit Policy is developed for internal use only to set the policy regarding of all audit rela</w:t>
      </w:r>
      <w:r w:rsidR="004C20CD">
        <w:t>ted activities within GCTS.  Although designed for internal use, this document can serve as evidence where applicable for audit related information requests.</w:t>
      </w:r>
    </w:p>
    <w:p w14:paraId="4FE67FC4" w14:textId="77777777" w:rsidR="00A86D7F" w:rsidRDefault="00A86D7F" w:rsidP="00507784">
      <w:pPr>
        <w:pStyle w:val="Body"/>
      </w:pPr>
    </w:p>
    <w:p w14:paraId="1734E19A" w14:textId="4AF2999A" w:rsidR="00CB0B9C" w:rsidRDefault="00CB0B9C" w:rsidP="00CB0B9C">
      <w:pPr>
        <w:pStyle w:val="bullet1"/>
      </w:pPr>
      <w:r>
        <w:t>FedRAMP:</w:t>
      </w:r>
      <w:r w:rsidR="005D2156">
        <w:t xml:space="preserve"> based on NIST</w:t>
      </w:r>
      <w:r w:rsidR="00F72A48">
        <w:t xml:space="preserve"> SP 800-53, Rev4</w:t>
      </w:r>
      <w:r w:rsidR="00A834B1">
        <w:t>: AU-1</w:t>
      </w:r>
    </w:p>
    <w:p w14:paraId="4981D8A6" w14:textId="425E2E84" w:rsidR="00CB0B9C" w:rsidRDefault="00CB0B9C" w:rsidP="00CB0B9C">
      <w:pPr>
        <w:pStyle w:val="bullet1"/>
      </w:pPr>
      <w:r>
        <w:t>ISO 2700</w:t>
      </w:r>
      <w:r w:rsidR="005D2156">
        <w:t>:</w:t>
      </w:r>
      <w:r>
        <w:t>2013</w:t>
      </w:r>
      <w:r w:rsidR="001E7AEF">
        <w:t>: A12.7</w:t>
      </w:r>
      <w:r w:rsidR="001B4571">
        <w:t>,</w:t>
      </w:r>
      <w:r w:rsidR="001E7AEF">
        <w:t xml:space="preserve"> A.12.7.1</w:t>
      </w:r>
    </w:p>
    <w:p w14:paraId="770ADC40" w14:textId="2E0837CB" w:rsidR="001C6678" w:rsidRDefault="001E737A" w:rsidP="001C6678">
      <w:pPr>
        <w:pStyle w:val="bullet1"/>
      </w:pPr>
      <w:r>
        <w:t>PCI DSS 3.2: 12.1.1</w:t>
      </w:r>
      <w:r w:rsidR="00937961">
        <w:t xml:space="preserve"> and 12.8.4</w:t>
      </w:r>
    </w:p>
    <w:p w14:paraId="466FCE10" w14:textId="77777777" w:rsidR="00507784" w:rsidRDefault="00507784" w:rsidP="00507784">
      <w:pPr>
        <w:pStyle w:val="continue1"/>
      </w:pPr>
    </w:p>
    <w:p w14:paraId="4FE8C528" w14:textId="1B0C66FE" w:rsidR="001C6678" w:rsidRPr="001C6678" w:rsidRDefault="001C6678" w:rsidP="001C6678">
      <w:pPr>
        <w:pStyle w:val="Body"/>
      </w:pPr>
      <w:r>
        <w:t xml:space="preserve">This Audit Policy </w:t>
      </w:r>
      <w:r w:rsidRPr="001C6678">
        <w:t xml:space="preserve">requires renewal on an annual basis and updates as needed to reflect changes to business objectives or the risk environment in accordance </w:t>
      </w:r>
      <w:r w:rsidRPr="001C6678">
        <w:rPr>
          <w:b/>
        </w:rPr>
        <w:t xml:space="preserve">PCI DSS 3.2: 12. </w:t>
      </w:r>
      <w:r w:rsidR="001E737A">
        <w:rPr>
          <w:b/>
        </w:rPr>
        <w:t>1.1</w:t>
      </w:r>
      <w:r w:rsidRPr="001C6678">
        <w:t>. The updates and annual renewal changes are documented Revision History Table located on page (</w:t>
      </w:r>
      <w:proofErr w:type="spellStart"/>
      <w:r w:rsidRPr="001C6678">
        <w:t>i</w:t>
      </w:r>
      <w:proofErr w:type="spellEnd"/>
      <w:r w:rsidRPr="001C6678">
        <w:t>).</w:t>
      </w:r>
    </w:p>
    <w:p w14:paraId="2CF3B29B" w14:textId="4F68CB31" w:rsidR="00B85049" w:rsidRPr="00BE3890" w:rsidRDefault="00B85049" w:rsidP="00B85049">
      <w:pPr>
        <w:pStyle w:val="Body"/>
        <w:rPr>
          <w:szCs w:val="22"/>
        </w:rPr>
      </w:pPr>
      <w:r w:rsidRPr="00BE3890">
        <w:rPr>
          <w:szCs w:val="22"/>
        </w:rPr>
        <w:t xml:space="preserve">The purpose of this Policy document is to outline the guidelines and requirements for the engagement and management of a Request for Information (RFI) of the </w:t>
      </w:r>
      <w:r w:rsidR="00D34C69">
        <w:rPr>
          <w:szCs w:val="22"/>
        </w:rPr>
        <w:t>Cloud</w:t>
      </w:r>
      <w:r w:rsidRPr="00BE3890">
        <w:rPr>
          <w:szCs w:val="22"/>
        </w:rPr>
        <w:t xml:space="preserve"> Operations organization</w:t>
      </w:r>
      <w:r w:rsidR="000E6A30">
        <w:rPr>
          <w:szCs w:val="22"/>
        </w:rPr>
        <w:t xml:space="preserve">. </w:t>
      </w:r>
      <w:r w:rsidRPr="00BE3890">
        <w:rPr>
          <w:szCs w:val="22"/>
        </w:rPr>
        <w:t>A</w:t>
      </w:r>
      <w:r w:rsidR="0051191D">
        <w:rPr>
          <w:szCs w:val="22"/>
        </w:rPr>
        <w:t>n</w:t>
      </w:r>
      <w:r w:rsidRPr="00BE3890">
        <w:rPr>
          <w:szCs w:val="22"/>
        </w:rPr>
        <w:t xml:space="preserve"> </w:t>
      </w:r>
      <w:r w:rsidR="0051191D">
        <w:rPr>
          <w:szCs w:val="22"/>
        </w:rPr>
        <w:t>RFI</w:t>
      </w:r>
      <w:r w:rsidRPr="00BE3890">
        <w:rPr>
          <w:szCs w:val="22"/>
        </w:rPr>
        <w:t xml:space="preserve"> represents any request from an internal or external individual or organization </w:t>
      </w:r>
      <w:r w:rsidR="0051191D">
        <w:rPr>
          <w:szCs w:val="22"/>
        </w:rPr>
        <w:t>requesting</w:t>
      </w:r>
      <w:r w:rsidRPr="00BE3890">
        <w:rPr>
          <w:szCs w:val="22"/>
        </w:rPr>
        <w:t xml:space="preserve"> information about internal policies and proc</w:t>
      </w:r>
      <w:r w:rsidR="002B0D29">
        <w:rPr>
          <w:szCs w:val="22"/>
        </w:rPr>
        <w:t xml:space="preserve">esses with regards to </w:t>
      </w:r>
      <w:r w:rsidR="00D34C69">
        <w:rPr>
          <w:szCs w:val="22"/>
        </w:rPr>
        <w:t>Cloud</w:t>
      </w:r>
      <w:r w:rsidR="002B0D29">
        <w:rPr>
          <w:szCs w:val="22"/>
        </w:rPr>
        <w:t xml:space="preserve">’ </w:t>
      </w:r>
      <w:r w:rsidRPr="00BE3890">
        <w:rPr>
          <w:szCs w:val="22"/>
        </w:rPr>
        <w:t>operational framework.</w:t>
      </w:r>
    </w:p>
    <w:p w14:paraId="1C17C15F" w14:textId="77777777" w:rsidR="00B85049" w:rsidRPr="00BE3890" w:rsidRDefault="00B85049" w:rsidP="00B85049">
      <w:pPr>
        <w:pStyle w:val="Body"/>
        <w:rPr>
          <w:szCs w:val="22"/>
        </w:rPr>
      </w:pPr>
      <w:r w:rsidRPr="00BE3890">
        <w:rPr>
          <w:szCs w:val="22"/>
        </w:rPr>
        <w:t>RFI’s exist on a continuum of complexity and depth and in multiple formats:</w:t>
      </w:r>
    </w:p>
    <w:p w14:paraId="566223EA" w14:textId="77777777" w:rsidR="00B85049" w:rsidRPr="00BE3890" w:rsidRDefault="00B85049" w:rsidP="00400788">
      <w:pPr>
        <w:pStyle w:val="bullet1"/>
      </w:pPr>
      <w:r w:rsidRPr="00BE3890">
        <w:t>Security Questionnaires</w:t>
      </w:r>
    </w:p>
    <w:p w14:paraId="0E08B003" w14:textId="77777777" w:rsidR="00B85049" w:rsidRPr="00BE3890" w:rsidRDefault="00B85049" w:rsidP="00400788">
      <w:pPr>
        <w:pStyle w:val="bullet1"/>
      </w:pPr>
      <w:r w:rsidRPr="00BE3890">
        <w:t>Ad hoc questions via email</w:t>
      </w:r>
    </w:p>
    <w:p w14:paraId="7E551B0F" w14:textId="77777777" w:rsidR="00B85049" w:rsidRPr="00BE3890" w:rsidRDefault="00B85049" w:rsidP="00400788">
      <w:pPr>
        <w:pStyle w:val="bullet1"/>
      </w:pPr>
      <w:r w:rsidRPr="00BE3890">
        <w:t>Audit requests (customer, program, quality and internal)</w:t>
      </w:r>
    </w:p>
    <w:p w14:paraId="21FC0297" w14:textId="77777777" w:rsidR="00B85049" w:rsidRDefault="00B85049" w:rsidP="00400788">
      <w:pPr>
        <w:pStyle w:val="bullet1"/>
      </w:pPr>
      <w:r w:rsidRPr="00BE3890">
        <w:t>Etc.</w:t>
      </w:r>
    </w:p>
    <w:p w14:paraId="4A4111FB" w14:textId="77777777" w:rsidR="00507784" w:rsidRDefault="00507784" w:rsidP="00507784">
      <w:pPr>
        <w:pStyle w:val="continue1"/>
      </w:pPr>
    </w:p>
    <w:p w14:paraId="395BCFF8" w14:textId="3C6035EB" w:rsidR="0098398F" w:rsidRPr="00400788" w:rsidRDefault="00B85049" w:rsidP="00400788">
      <w:pPr>
        <w:pStyle w:val="Body"/>
      </w:pPr>
      <w:r w:rsidRPr="00400788">
        <w:t xml:space="preserve">This policy is in place to help mitigate the risk to </w:t>
      </w:r>
      <w:r w:rsidR="00A86D7F">
        <w:t>IBM</w:t>
      </w:r>
      <w:r w:rsidR="00825409">
        <w:t xml:space="preserve"> </w:t>
      </w:r>
      <w:r w:rsidRPr="00400788">
        <w:t xml:space="preserve">by outlining the overall policy and controls by which </w:t>
      </w:r>
      <w:r w:rsidR="00A86D7F">
        <w:t>IBM</w:t>
      </w:r>
      <w:r w:rsidR="00825409">
        <w:t xml:space="preserve"> </w:t>
      </w:r>
      <w:r w:rsidRPr="00400788">
        <w:t>will provide information in the event of an RFI</w:t>
      </w:r>
      <w:r w:rsidR="002B0D29" w:rsidRPr="00400788">
        <w:t>.</w:t>
      </w:r>
    </w:p>
    <w:p w14:paraId="4B58232B" w14:textId="6C599304" w:rsidR="00B85049" w:rsidRPr="00400788" w:rsidRDefault="00B85049" w:rsidP="00400788">
      <w:pPr>
        <w:pStyle w:val="Body"/>
      </w:pPr>
      <w:r w:rsidRPr="00400788">
        <w:t xml:space="preserve">RFI’s for the Operations team in </w:t>
      </w:r>
      <w:r w:rsidR="004C20CD">
        <w:t xml:space="preserve">GCTS </w:t>
      </w:r>
      <w:r w:rsidRPr="00400788">
        <w:t>are managed by the Governance, Risk, Compliance</w:t>
      </w:r>
      <w:r w:rsidR="00D34C69">
        <w:t>,</w:t>
      </w:r>
      <w:r w:rsidRPr="00400788">
        <w:t xml:space="preserve"> and Quality team </w:t>
      </w:r>
      <w:r w:rsidR="00571780">
        <w:t>(GRCQ)</w:t>
      </w:r>
      <w:r w:rsidRPr="00400788">
        <w:t xml:space="preserve"> with the mission to deliver on requirements of the Operations organization to provide qualified responses, project management</w:t>
      </w:r>
      <w:r w:rsidR="00C07757">
        <w:t>,</w:t>
      </w:r>
      <w:r w:rsidRPr="00400788">
        <w:t xml:space="preserve"> and oversight to all types of requests for information to the organization with respect to </w:t>
      </w:r>
      <w:r w:rsidR="004C20CD">
        <w:t>GCTS products and services</w:t>
      </w:r>
      <w:r w:rsidRPr="00400788">
        <w:t>.</w:t>
      </w:r>
    </w:p>
    <w:p w14:paraId="427BE826" w14:textId="3DF2DC76" w:rsidR="00DE060A" w:rsidRDefault="00DE060A" w:rsidP="00400788">
      <w:pPr>
        <w:pStyle w:val="Body"/>
      </w:pPr>
      <w:r w:rsidRPr="00400788">
        <w:lastRenderedPageBreak/>
        <w:t>Qualified responses are defined as responses that have a degree of rigor around them that are typically provided by a subject matter expert, reviewed by stakeholders and Legal and approved as a vetted response</w:t>
      </w:r>
      <w:r w:rsidR="000E6A30">
        <w:t xml:space="preserve">. </w:t>
      </w:r>
      <w:r w:rsidR="0098398F" w:rsidRPr="00400788">
        <w:t>Conversely</w:t>
      </w:r>
      <w:r w:rsidRPr="00400788">
        <w:t>, unqualified responses are responses that are not fully vetted by stakeholders or subject matter experts</w:t>
      </w:r>
      <w:r w:rsidR="000E6A30">
        <w:t xml:space="preserve">. </w:t>
      </w:r>
      <w:r w:rsidRPr="00400788">
        <w:t>Unqualified responses to any request for information must be identified as such in communications back to the requestor.</w:t>
      </w:r>
    </w:p>
    <w:p w14:paraId="07F809E5" w14:textId="2A5FE565" w:rsidR="00400788" w:rsidRPr="00400788" w:rsidRDefault="00400788" w:rsidP="00400788">
      <w:pPr>
        <w:pStyle w:val="Body"/>
      </w:pPr>
    </w:p>
    <w:p w14:paraId="24D70172" w14:textId="77777777" w:rsidR="008A3F51" w:rsidRDefault="008A3F51" w:rsidP="00EB3985">
      <w:pPr>
        <w:pStyle w:val="Heading2"/>
      </w:pPr>
      <w:bookmarkStart w:id="7" w:name="_Toc500426922"/>
      <w:r>
        <w:t>Sc</w:t>
      </w:r>
      <w:r>
        <w:rPr>
          <w:spacing w:val="1"/>
        </w:rPr>
        <w:t>o</w:t>
      </w:r>
      <w:r>
        <w:t>pe</w:t>
      </w:r>
      <w:bookmarkEnd w:id="7"/>
    </w:p>
    <w:p w14:paraId="24D70173" w14:textId="77777777" w:rsidR="000C7BE1" w:rsidRPr="00F2039B" w:rsidRDefault="008A3F51" w:rsidP="00EB3985">
      <w:pPr>
        <w:pStyle w:val="Heading3"/>
      </w:pPr>
      <w:bookmarkStart w:id="8" w:name="_Toc500426923"/>
      <w:r w:rsidRPr="00F2039B">
        <w:t>Personnel Covered</w:t>
      </w:r>
      <w:bookmarkEnd w:id="8"/>
    </w:p>
    <w:p w14:paraId="24D70174" w14:textId="71788A0D" w:rsidR="008B4FE1" w:rsidRPr="00D2546C" w:rsidRDefault="00D2546C" w:rsidP="00D2546C">
      <w:pPr>
        <w:pStyle w:val="Body"/>
      </w:pPr>
      <w:r w:rsidRPr="00D2546C">
        <w:t xml:space="preserve">This policy applies to all </w:t>
      </w:r>
      <w:r w:rsidR="00A86D7F">
        <w:t>IBM</w:t>
      </w:r>
      <w:r w:rsidR="004C20CD">
        <w:t xml:space="preserve"> </w:t>
      </w:r>
      <w:r w:rsidRPr="00D2546C">
        <w:t xml:space="preserve">full and part-time employees, temporary workers, volunteers, contractors, or any other agents employed to perform work and who have been granted access to </w:t>
      </w:r>
      <w:r w:rsidR="00E521C5">
        <w:t xml:space="preserve">GCTS </w:t>
      </w:r>
      <w:r w:rsidR="00E521C5" w:rsidRPr="00D2546C">
        <w:t>information</w:t>
      </w:r>
      <w:r w:rsidRPr="00D2546C">
        <w:t xml:space="preserve"> systems and information assets. Hereinafter, the covered personnel described above will be referred to as </w:t>
      </w:r>
      <w:r w:rsidR="00B90949">
        <w:t>“</w:t>
      </w:r>
      <w:r w:rsidRPr="00D2546C">
        <w:t>personnel</w:t>
      </w:r>
      <w:r w:rsidR="00507784">
        <w:t>.</w:t>
      </w:r>
      <w:r w:rsidR="00B90949">
        <w:t>”</w:t>
      </w:r>
    </w:p>
    <w:p w14:paraId="6A986EA8" w14:textId="77777777" w:rsidR="008F78ED" w:rsidRPr="00D2546C" w:rsidRDefault="008F78ED" w:rsidP="00D2546C">
      <w:pPr>
        <w:pStyle w:val="Body"/>
      </w:pPr>
    </w:p>
    <w:p w14:paraId="24D70175" w14:textId="3D5B9FAD" w:rsidR="000C7BE1" w:rsidRPr="000C7BE1" w:rsidRDefault="007D3563" w:rsidP="00EB3985">
      <w:pPr>
        <w:pStyle w:val="Heading3"/>
      </w:pPr>
      <w:bookmarkStart w:id="9" w:name="_Toc396744284"/>
      <w:bookmarkStart w:id="10" w:name="_Toc396905874"/>
      <w:bookmarkStart w:id="11" w:name="_Toc500426924"/>
      <w:r w:rsidRPr="007D3563">
        <w:t xml:space="preserve">Alignment with </w:t>
      </w:r>
      <w:bookmarkEnd w:id="9"/>
      <w:bookmarkEnd w:id="10"/>
      <w:r w:rsidR="008F78ED">
        <w:t>Corporate Policies</w:t>
      </w:r>
      <w:bookmarkEnd w:id="11"/>
    </w:p>
    <w:p w14:paraId="24D70176" w14:textId="6E2D655E" w:rsidR="00544D21" w:rsidRPr="00D2546C" w:rsidRDefault="00D2546C" w:rsidP="008F3B49">
      <w:pPr>
        <w:pStyle w:val="Body"/>
      </w:pPr>
      <w:r w:rsidRPr="00D2546C">
        <w:t xml:space="preserve">This document is a supplemental guideline that specifies certain requirements related to </w:t>
      </w:r>
      <w:r w:rsidR="004C20CD">
        <w:t xml:space="preserve">GCTS products and services. </w:t>
      </w:r>
      <w:r w:rsidRPr="00D2546C">
        <w:t xml:space="preserve"> All documents considered for approval by the </w:t>
      </w:r>
      <w:r w:rsidR="00A86D7F">
        <w:t>IBM</w:t>
      </w:r>
      <w:r w:rsidR="004C20CD">
        <w:t xml:space="preserve"> GCTS Technical Coordination Committee (TCC)</w:t>
      </w:r>
      <w:r w:rsidR="00E521C5">
        <w:t xml:space="preserve"> and the Governance, Risk, Compliance, and Quality (GRCQ) Council</w:t>
      </w:r>
      <w:r w:rsidRPr="00D2546C">
        <w:t xml:space="preserve"> are sub-ordinate to, and supplements of, </w:t>
      </w:r>
      <w:r w:rsidR="00A86D7F">
        <w:t>IBM</w:t>
      </w:r>
      <w:r w:rsidR="004C20CD">
        <w:t xml:space="preserve"> </w:t>
      </w:r>
      <w:r w:rsidRPr="00D2546C">
        <w:t xml:space="preserve">Corporate Policy </w:t>
      </w:r>
      <w:r w:rsidR="00E521C5">
        <w:t>GTS SS</w:t>
      </w:r>
      <w:r w:rsidRPr="00D2546C">
        <w:t xml:space="preserve">, as well as </w:t>
      </w:r>
      <w:r w:rsidR="00E521C5">
        <w:t>the Business Conduct Guiltiness and the Worldwide Records Management</w:t>
      </w:r>
      <w:r w:rsidRPr="00D2546C">
        <w:t>.</w:t>
      </w:r>
    </w:p>
    <w:p w14:paraId="74DA0B8E" w14:textId="77777777" w:rsidR="008F78ED" w:rsidRPr="00D2546C" w:rsidRDefault="008F78ED" w:rsidP="00D2546C">
      <w:pPr>
        <w:pStyle w:val="Body"/>
      </w:pPr>
    </w:p>
    <w:p w14:paraId="24D70179" w14:textId="3D397DFE" w:rsidR="00992A9A" w:rsidRDefault="00D43B10" w:rsidP="00D43B10">
      <w:pPr>
        <w:pStyle w:val="Heading3"/>
      </w:pPr>
      <w:bookmarkStart w:id="12" w:name="_Toc500426925"/>
      <w:r>
        <w:t>Environments Covered</w:t>
      </w:r>
      <w:bookmarkEnd w:id="12"/>
    </w:p>
    <w:p w14:paraId="45BB4B03" w14:textId="32DC8533" w:rsidR="00D43B10" w:rsidRPr="008F3B49" w:rsidRDefault="00D2546C" w:rsidP="008F3B49">
      <w:pPr>
        <w:pStyle w:val="Body"/>
      </w:pPr>
      <w:r w:rsidRPr="008F3B49">
        <w:t xml:space="preserve">Unless otherwise noted, the controls outlined within this policy apply to all equipment </w:t>
      </w:r>
      <w:r w:rsidR="0098398F">
        <w:t xml:space="preserve">and associated services </w:t>
      </w:r>
      <w:r w:rsidRPr="008F3B49">
        <w:t>tha</w:t>
      </w:r>
      <w:r w:rsidR="004C20CD">
        <w:t xml:space="preserve">t the GTCS </w:t>
      </w:r>
      <w:r w:rsidR="0098398F">
        <w:t xml:space="preserve">business unit </w:t>
      </w:r>
      <w:r w:rsidRPr="008F3B49">
        <w:t>owns, manages, or leases.</w:t>
      </w:r>
    </w:p>
    <w:p w14:paraId="24D7017B" w14:textId="72B97719" w:rsidR="00992A9A" w:rsidRDefault="00AB6D10" w:rsidP="00992A9A">
      <w:pPr>
        <w:pStyle w:val="Heading1"/>
      </w:pPr>
      <w:bookmarkStart w:id="13" w:name="_Toc500426926"/>
      <w:r>
        <w:lastRenderedPageBreak/>
        <w:t>Request for Information and Audit Policy</w:t>
      </w:r>
      <w:bookmarkEnd w:id="13"/>
    </w:p>
    <w:p w14:paraId="03A7A66C" w14:textId="36DCABDD" w:rsidR="007834AE" w:rsidRDefault="00353E96" w:rsidP="004C20CD">
      <w:pPr>
        <w:pStyle w:val="Body"/>
        <w:rPr>
          <w:rStyle w:val="Hyperlink"/>
        </w:rPr>
      </w:pPr>
      <w:r>
        <w:t xml:space="preserve">As stated above, there is a full </w:t>
      </w:r>
      <w:r w:rsidR="00E611A8">
        <w:t xml:space="preserve">spectrum of RFI types that the </w:t>
      </w:r>
      <w:r>
        <w:t>GRCQ teams are engaged to manage</w:t>
      </w:r>
      <w:r w:rsidR="000E6A30">
        <w:t xml:space="preserve">. </w:t>
      </w:r>
      <w:r w:rsidR="007834AE">
        <w:t xml:space="preserve">The GRCQ team is the primary funnel for all RFI’s into the </w:t>
      </w:r>
      <w:r w:rsidR="00D34C69">
        <w:t>Cloud</w:t>
      </w:r>
      <w:r w:rsidR="007834AE">
        <w:t xml:space="preserve"> Operations organization</w:t>
      </w:r>
      <w:r w:rsidR="000E6A30">
        <w:t xml:space="preserve">. </w:t>
      </w:r>
      <w:r w:rsidR="007834AE">
        <w:t xml:space="preserve">As described in subsequent sections, </w:t>
      </w:r>
      <w:r w:rsidR="004C20CD">
        <w:t>the GTS audit team shall only be engaged in an audit related activity (to include all types of RFI</w:t>
      </w:r>
      <w:r w:rsidR="00927D92">
        <w:t>s) via the following email address:</w:t>
      </w:r>
      <w:r w:rsidR="00825409">
        <w:t xml:space="preserve"> </w:t>
      </w:r>
      <w:hyperlink r:id="rId20" w:history="1">
        <w:r w:rsidR="00EA671A" w:rsidRPr="00EA671A">
          <w:rPr>
            <w:rStyle w:val="Hyperlink"/>
          </w:rPr>
          <w:t>GTS_PCI_AUDIT_TEAM@wwpdl.vnet.ibm.com</w:t>
        </w:r>
      </w:hyperlink>
      <w:r w:rsidR="00881693">
        <w:rPr>
          <w:rStyle w:val="Hyperlink"/>
        </w:rPr>
        <w:t>.</w:t>
      </w:r>
    </w:p>
    <w:p w14:paraId="0DE2381C" w14:textId="02D156C1" w:rsidR="00927D92" w:rsidRDefault="00927D92" w:rsidP="004C20CD">
      <w:pPr>
        <w:pStyle w:val="Body"/>
      </w:pPr>
      <w:r>
        <w:t>GTS PCI Audit Team (Note: in order to engage the audit team, the email can only be initiated to this email distro from an IBM workstation connected to the IBM network.</w:t>
      </w:r>
    </w:p>
    <w:p w14:paraId="0B3E5F05" w14:textId="4D11229E" w:rsidR="00927D92" w:rsidRDefault="00927D92" w:rsidP="004C20CD">
      <w:pPr>
        <w:pStyle w:val="Body"/>
      </w:pPr>
      <w:r>
        <w:t>The contents of the request shall include the following information at a minimum:</w:t>
      </w:r>
    </w:p>
    <w:p w14:paraId="11F0AC35" w14:textId="77777777" w:rsidR="00927D92" w:rsidRDefault="00927D92" w:rsidP="00A74D01">
      <w:pPr>
        <w:pStyle w:val="Body"/>
        <w:numPr>
          <w:ilvl w:val="0"/>
          <w:numId w:val="39"/>
        </w:numPr>
      </w:pPr>
      <w:r>
        <w:t>Scope of the request (i.e. audit, questionnaire, ad hoc question, etc.)</w:t>
      </w:r>
    </w:p>
    <w:p w14:paraId="6D53EBE7" w14:textId="590B2154" w:rsidR="00927D92" w:rsidRDefault="00927D92" w:rsidP="00A74D01">
      <w:pPr>
        <w:pStyle w:val="Body"/>
        <w:numPr>
          <w:ilvl w:val="0"/>
          <w:numId w:val="39"/>
        </w:numPr>
      </w:pPr>
      <w:r>
        <w:t>Definition of services in scope (i.e. Managed Hosting, Cloud, ECME, RAM, IPAH, etc.)</w:t>
      </w:r>
    </w:p>
    <w:p w14:paraId="2B3796FA" w14:textId="38DB261A" w:rsidR="00927D92" w:rsidRDefault="00927D92" w:rsidP="00A74D01">
      <w:pPr>
        <w:pStyle w:val="Body"/>
        <w:numPr>
          <w:ilvl w:val="0"/>
          <w:numId w:val="39"/>
        </w:numPr>
      </w:pPr>
      <w:r>
        <w:t>Location of services</w:t>
      </w:r>
    </w:p>
    <w:p w14:paraId="5309C519" w14:textId="32E89ABF" w:rsidR="00927D92" w:rsidRDefault="00927D92" w:rsidP="00A74D01">
      <w:pPr>
        <w:pStyle w:val="Body"/>
        <w:numPr>
          <w:ilvl w:val="0"/>
          <w:numId w:val="39"/>
        </w:numPr>
      </w:pPr>
      <w:r>
        <w:t>Specifics of the request</w:t>
      </w:r>
    </w:p>
    <w:p w14:paraId="4A517B00" w14:textId="1DC3986B" w:rsidR="00927D92" w:rsidRDefault="00927D92" w:rsidP="00A74D01">
      <w:pPr>
        <w:pStyle w:val="Body"/>
        <w:numPr>
          <w:ilvl w:val="0"/>
          <w:numId w:val="39"/>
        </w:numPr>
      </w:pPr>
      <w:r>
        <w:t>If an audit, please provide customer audit rights outlined in the customer contract.</w:t>
      </w:r>
    </w:p>
    <w:p w14:paraId="1B0A7693" w14:textId="1D7A78E1" w:rsidR="00927D92" w:rsidRDefault="00927D92" w:rsidP="00A74D01">
      <w:pPr>
        <w:pStyle w:val="Body"/>
        <w:numPr>
          <w:ilvl w:val="0"/>
          <w:numId w:val="39"/>
        </w:numPr>
      </w:pPr>
      <w:r>
        <w:t xml:space="preserve">Target timeframe requested for information </w:t>
      </w:r>
    </w:p>
    <w:p w14:paraId="6DDCCEB0" w14:textId="12DCE51C" w:rsidR="00353E96" w:rsidRDefault="00353E96" w:rsidP="00400788">
      <w:pPr>
        <w:pStyle w:val="Body"/>
      </w:pPr>
      <w:r>
        <w:t>The following are the high level RFI Cat</w:t>
      </w:r>
      <w:r w:rsidR="007834AE">
        <w:t>egories and associated policies.</w:t>
      </w:r>
    </w:p>
    <w:p w14:paraId="0BCAECDA" w14:textId="77777777" w:rsidR="00400788" w:rsidRDefault="00400788" w:rsidP="00400788">
      <w:pPr>
        <w:pStyle w:val="Body"/>
      </w:pPr>
    </w:p>
    <w:p w14:paraId="496A10F2" w14:textId="77777777" w:rsidR="00353E96" w:rsidRPr="00AC7189" w:rsidRDefault="00353E96" w:rsidP="00353E96">
      <w:pPr>
        <w:pStyle w:val="Heading2"/>
      </w:pPr>
      <w:bookmarkStart w:id="14" w:name="_Toc500426927"/>
      <w:r w:rsidRPr="00AC7189">
        <w:t>Ad hoc Email Questions</w:t>
      </w:r>
      <w:bookmarkEnd w:id="14"/>
    </w:p>
    <w:p w14:paraId="0518EBBC" w14:textId="14424691" w:rsidR="00353E96" w:rsidRDefault="00353E96" w:rsidP="00400788">
      <w:pPr>
        <w:pStyle w:val="Body"/>
      </w:pPr>
      <w:r>
        <w:t>These types of questions are generally based on internal questions</w:t>
      </w:r>
      <w:r w:rsidR="000E6A30">
        <w:t xml:space="preserve">. </w:t>
      </w:r>
      <w:r>
        <w:t>In general, responses to ad hoc email questions will be in the form of non-qualified responses, and must be reflected as such in the response</w:t>
      </w:r>
      <w:r w:rsidR="000E6A30">
        <w:t xml:space="preserve">. </w:t>
      </w:r>
      <w:r>
        <w:t xml:space="preserve">If the requestor needs a formalized response, the exact verbiage from an already approved response </w:t>
      </w:r>
      <w:r w:rsidR="0098398F">
        <w:t xml:space="preserve">(i.e. qualified) </w:t>
      </w:r>
      <w:r>
        <w:t>must be leveraged if available</w:t>
      </w:r>
      <w:r w:rsidR="000E6A30">
        <w:t xml:space="preserve">. </w:t>
      </w:r>
      <w:r>
        <w:t xml:space="preserve">If there is not already an approved response available for the question, a </w:t>
      </w:r>
      <w:r w:rsidR="00BE40C9">
        <w:t>Subject Matter Expert (</w:t>
      </w:r>
      <w:r>
        <w:t>SME</w:t>
      </w:r>
      <w:r w:rsidR="00BE40C9">
        <w:t>)</w:t>
      </w:r>
      <w:r>
        <w:t xml:space="preserve"> must be consulted for the control area and the answer must be vetted prior to submitting the response as a qualified response.</w:t>
      </w:r>
    </w:p>
    <w:p w14:paraId="44789831" w14:textId="367A6B43" w:rsidR="006E0802" w:rsidRDefault="006E0802" w:rsidP="00400788">
      <w:pPr>
        <w:pStyle w:val="Body"/>
      </w:pPr>
      <w:r>
        <w:t>Once an unqualified response is vetted and approved, it then becomes a qualified response for use at a later date for an identical request</w:t>
      </w:r>
      <w:r w:rsidR="000E6A30">
        <w:t xml:space="preserve">. </w:t>
      </w:r>
      <w:r>
        <w:t>Qualified responses shall be stored for use in a controlled environment</w:t>
      </w:r>
      <w:r w:rsidR="00927D92">
        <w:t>.</w:t>
      </w:r>
    </w:p>
    <w:p w14:paraId="4BDD81D7" w14:textId="77777777" w:rsidR="00400788" w:rsidRDefault="00400788" w:rsidP="00400788">
      <w:pPr>
        <w:pStyle w:val="Body"/>
      </w:pPr>
    </w:p>
    <w:p w14:paraId="28183A47" w14:textId="77777777" w:rsidR="00353E96" w:rsidRDefault="00353E96" w:rsidP="00353E96">
      <w:pPr>
        <w:pStyle w:val="Heading2"/>
      </w:pPr>
      <w:bookmarkStart w:id="15" w:name="_Toc500426928"/>
      <w:r>
        <w:t>Questionnaire / Security Questionnaire</w:t>
      </w:r>
      <w:bookmarkEnd w:id="15"/>
    </w:p>
    <w:p w14:paraId="4B9FD839" w14:textId="4E36CE62" w:rsidR="00DE060A" w:rsidRDefault="00DE060A" w:rsidP="00353E96">
      <w:r>
        <w:t>The following policy statements are applicable for all Questionnaires:</w:t>
      </w:r>
    </w:p>
    <w:p w14:paraId="329A153E" w14:textId="5592DF49" w:rsidR="00043F58" w:rsidRDefault="00043F58" w:rsidP="005368F1">
      <w:pPr>
        <w:pStyle w:val="ListParagraph"/>
        <w:numPr>
          <w:ilvl w:val="0"/>
          <w:numId w:val="14"/>
        </w:numPr>
      </w:pPr>
      <w:r>
        <w:lastRenderedPageBreak/>
        <w:t xml:space="preserve">All Sales and RFP related questionnaires shall be directed to </w:t>
      </w:r>
      <w:r w:rsidR="00927D92">
        <w:t>Sales and Account teams.</w:t>
      </w:r>
      <w:r w:rsidR="000E6A30">
        <w:t xml:space="preserve"> </w:t>
      </w:r>
    </w:p>
    <w:p w14:paraId="44808B5C" w14:textId="5933FBD3" w:rsidR="00353E96" w:rsidRDefault="00DE060A" w:rsidP="005368F1">
      <w:pPr>
        <w:pStyle w:val="ListParagraph"/>
        <w:numPr>
          <w:ilvl w:val="0"/>
          <w:numId w:val="14"/>
        </w:numPr>
      </w:pPr>
      <w:r>
        <w:t xml:space="preserve">Questionnaires must be submitted to the </w:t>
      </w:r>
      <w:r w:rsidR="00A06A3A">
        <w:t>GRCQ</w:t>
      </w:r>
      <w:r>
        <w:t xml:space="preserve"> team via the RFI</w:t>
      </w:r>
      <w:r w:rsidR="007834AE">
        <w:t xml:space="preserve"> </w:t>
      </w:r>
      <w:r w:rsidR="00927D92">
        <w:t xml:space="preserve">email, as described </w:t>
      </w:r>
      <w:r w:rsidR="00881693">
        <w:t>above.</w:t>
      </w:r>
    </w:p>
    <w:p w14:paraId="38AC61AB" w14:textId="32B9D5CD" w:rsidR="00DE060A" w:rsidRDefault="00DE060A" w:rsidP="005368F1">
      <w:pPr>
        <w:pStyle w:val="ListParagraph"/>
        <w:numPr>
          <w:ilvl w:val="0"/>
          <w:numId w:val="14"/>
        </w:numPr>
      </w:pPr>
      <w:r>
        <w:t xml:space="preserve">The customer must be provided the applicable certifications, audit reports and pre-approved questionnaires prior to submitting the Questionnaire request to the </w:t>
      </w:r>
      <w:r w:rsidR="00571780">
        <w:t xml:space="preserve">GRCQ </w:t>
      </w:r>
      <w:r>
        <w:t>team.</w:t>
      </w:r>
    </w:p>
    <w:p w14:paraId="123F2081" w14:textId="43617C81" w:rsidR="0098398F" w:rsidRDefault="0098398F" w:rsidP="00571780">
      <w:pPr>
        <w:pStyle w:val="ListParagraph"/>
        <w:numPr>
          <w:ilvl w:val="0"/>
          <w:numId w:val="14"/>
        </w:numPr>
      </w:pPr>
      <w:r>
        <w:t xml:space="preserve">It is the responsibility of the requester to populate the questionnaire to the best of their ability prior to requesting assistance from the </w:t>
      </w:r>
      <w:r w:rsidR="00571780">
        <w:t>GRCQ</w:t>
      </w:r>
      <w:r>
        <w:t xml:space="preserve"> team</w:t>
      </w:r>
      <w:r w:rsidR="000E6A30">
        <w:t xml:space="preserve">. </w:t>
      </w:r>
      <w:r>
        <w:t xml:space="preserve">This involves reviewing applicable </w:t>
      </w:r>
      <w:r w:rsidR="00EA671A">
        <w:t>certifications, Consensus</w:t>
      </w:r>
      <w:r w:rsidR="00571780" w:rsidRPr="00571780">
        <w:t xml:space="preserve"> Assessments Initiative Questionnaire </w:t>
      </w:r>
      <w:r w:rsidR="00571780">
        <w:t>(</w:t>
      </w:r>
      <w:r>
        <w:t>CAIQ</w:t>
      </w:r>
      <w:r w:rsidR="00571780">
        <w:t>)</w:t>
      </w:r>
      <w:r>
        <w:t xml:space="preserve"> and other knowledge tools to populate answers</w:t>
      </w:r>
      <w:r w:rsidR="000E6A30">
        <w:t xml:space="preserve">. </w:t>
      </w:r>
    </w:p>
    <w:p w14:paraId="1196B85F" w14:textId="61356794" w:rsidR="00C61879" w:rsidRDefault="00C61879" w:rsidP="005368F1">
      <w:pPr>
        <w:pStyle w:val="ListParagraph"/>
        <w:numPr>
          <w:ilvl w:val="0"/>
          <w:numId w:val="14"/>
        </w:numPr>
      </w:pPr>
      <w:r>
        <w:t xml:space="preserve">Once the </w:t>
      </w:r>
      <w:r w:rsidR="00571780">
        <w:t>GRCQ</w:t>
      </w:r>
      <w:r>
        <w:t xml:space="preserve"> team is engaged to assist with a questionnaire, the completed questionnaire will be submitted back to the requester</w:t>
      </w:r>
      <w:r w:rsidR="000E6A30">
        <w:t xml:space="preserve">. </w:t>
      </w:r>
      <w:r>
        <w:t>It is the responsibility of the requester to submit back to the end customer.</w:t>
      </w:r>
    </w:p>
    <w:p w14:paraId="7BFEB82E" w14:textId="330E2C31" w:rsidR="00DE060A" w:rsidRDefault="00DE060A" w:rsidP="005368F1">
      <w:pPr>
        <w:pStyle w:val="ListParagraph"/>
        <w:numPr>
          <w:ilvl w:val="0"/>
          <w:numId w:val="14"/>
        </w:numPr>
      </w:pPr>
      <w:r>
        <w:t>Prior to submitting the fully responded questionnaire, it is the responsibility of the internal requester to ensure Legal approval</w:t>
      </w:r>
      <w:r w:rsidR="00825409">
        <w:t>, if required,</w:t>
      </w:r>
      <w:r>
        <w:t xml:space="preserve"> prior to sending responses to the customer.</w:t>
      </w:r>
    </w:p>
    <w:p w14:paraId="0FC6A3AA" w14:textId="2B1F99D1" w:rsidR="001512EA" w:rsidRDefault="006405CF" w:rsidP="005368F1">
      <w:pPr>
        <w:pStyle w:val="ListParagraph"/>
        <w:numPr>
          <w:ilvl w:val="0"/>
          <w:numId w:val="14"/>
        </w:numPr>
      </w:pPr>
      <w:r>
        <w:t xml:space="preserve">Questionnaires vary in depth and complexity, therefore, </w:t>
      </w:r>
      <w:r w:rsidR="00C61879">
        <w:t>the amount of time to complete varies</w:t>
      </w:r>
      <w:r w:rsidR="000E6A30">
        <w:t xml:space="preserve">. </w:t>
      </w:r>
      <w:r w:rsidR="001512EA">
        <w:t>Completion time of the questionnaire will be negotiated with the requester at the time of submission.</w:t>
      </w:r>
    </w:p>
    <w:p w14:paraId="3C532A09" w14:textId="55A51C3B" w:rsidR="00C61879" w:rsidRDefault="00C61879" w:rsidP="005368F1">
      <w:pPr>
        <w:pStyle w:val="ListParagraph"/>
        <w:numPr>
          <w:ilvl w:val="0"/>
          <w:numId w:val="14"/>
        </w:numPr>
      </w:pPr>
      <w:r>
        <w:t xml:space="preserve">The scope of responses that the </w:t>
      </w:r>
      <w:r w:rsidR="00571780">
        <w:t>GRCQ</w:t>
      </w:r>
      <w:r>
        <w:t xml:space="preserve"> team can respond to are limited to questions around the </w:t>
      </w:r>
      <w:r w:rsidR="00927D92">
        <w:t xml:space="preserve">GCTS </w:t>
      </w:r>
      <w:r>
        <w:t>Operations organization</w:t>
      </w:r>
      <w:r w:rsidR="000E6A30">
        <w:t xml:space="preserve">. </w:t>
      </w:r>
      <w:r>
        <w:t xml:space="preserve">The requester is responsible for all other non-Operations related questions (ex. </w:t>
      </w:r>
      <w:r w:rsidR="00BA16C9">
        <w:t>Human Resources (</w:t>
      </w:r>
      <w:r>
        <w:t>HR</w:t>
      </w:r>
      <w:r w:rsidR="00BA16C9">
        <w:t>)</w:t>
      </w:r>
      <w:r>
        <w:t>, Sourcing,</w:t>
      </w:r>
      <w:r w:rsidR="00043F58">
        <w:t xml:space="preserve"> </w:t>
      </w:r>
      <w:r w:rsidR="00927D92">
        <w:t>etc.).</w:t>
      </w:r>
    </w:p>
    <w:p w14:paraId="20FE039E" w14:textId="77777777" w:rsidR="00400788" w:rsidRDefault="00400788" w:rsidP="00400788">
      <w:pPr>
        <w:pStyle w:val="Body"/>
      </w:pPr>
    </w:p>
    <w:p w14:paraId="126F32E6" w14:textId="77777777" w:rsidR="00353E96" w:rsidRDefault="00353E96" w:rsidP="00353E96">
      <w:pPr>
        <w:pStyle w:val="Heading2"/>
      </w:pPr>
      <w:bookmarkStart w:id="16" w:name="_Toc500426929"/>
      <w:r>
        <w:t>Customer Audit</w:t>
      </w:r>
      <w:bookmarkEnd w:id="16"/>
    </w:p>
    <w:p w14:paraId="4F00594D" w14:textId="77777777" w:rsidR="00353E96" w:rsidRDefault="00353E96" w:rsidP="00353E96">
      <w:r>
        <w:t>Prior to agreeing to conduct a customer audit, policy dictates the following criteria must be met:</w:t>
      </w:r>
    </w:p>
    <w:p w14:paraId="52A07219" w14:textId="264F35BF" w:rsidR="000864BA" w:rsidRDefault="000864BA" w:rsidP="000864BA">
      <w:pPr>
        <w:pStyle w:val="ListParagraph"/>
        <w:numPr>
          <w:ilvl w:val="0"/>
          <w:numId w:val="17"/>
        </w:numPr>
      </w:pPr>
      <w:r>
        <w:t xml:space="preserve">The scope of audit facilitation that the </w:t>
      </w:r>
      <w:r w:rsidR="00BA16C9">
        <w:t>GRCQ</w:t>
      </w:r>
      <w:r>
        <w:t xml:space="preserve"> team can provide is limited to the business functions pertaining to </w:t>
      </w:r>
      <w:r w:rsidR="00BA16C9">
        <w:t>Cloud</w:t>
      </w:r>
      <w:r>
        <w:t xml:space="preserve"> Operations organization</w:t>
      </w:r>
      <w:r w:rsidR="000E6A30">
        <w:t xml:space="preserve">. </w:t>
      </w:r>
      <w:r>
        <w:t>The requester is responsible for all other non-Operations related questions (ex. HR, Sourcing, BCEM etc.).</w:t>
      </w:r>
    </w:p>
    <w:p w14:paraId="79A06F7A" w14:textId="3A38EB6F" w:rsidR="00170444" w:rsidRDefault="00170444" w:rsidP="00170444">
      <w:pPr>
        <w:pStyle w:val="ListParagraph"/>
        <w:numPr>
          <w:ilvl w:val="0"/>
          <w:numId w:val="17"/>
        </w:numPr>
      </w:pPr>
      <w:r>
        <w:t xml:space="preserve">Sales and </w:t>
      </w:r>
      <w:r w:rsidR="004E51B3">
        <w:rPr>
          <w:color w:val="222222"/>
          <w:lang w:val="en"/>
        </w:rPr>
        <w:t>request for proposal</w:t>
      </w:r>
      <w:r w:rsidR="004E51B3">
        <w:t xml:space="preserve"> (</w:t>
      </w:r>
      <w:r>
        <w:t>RFP</w:t>
      </w:r>
      <w:r w:rsidR="004E51B3">
        <w:t>)</w:t>
      </w:r>
      <w:r>
        <w:t xml:space="preserve"> related audit requests shall be directed to the Proposal team </w:t>
      </w:r>
      <w:r w:rsidR="00825409">
        <w:t xml:space="preserve">for </w:t>
      </w:r>
      <w:r>
        <w:t>vetted responses</w:t>
      </w:r>
      <w:r w:rsidR="000E6A30">
        <w:t xml:space="preserve">. </w:t>
      </w:r>
      <w:r>
        <w:t xml:space="preserve">In the event a supplier qualification is required in a pre-contract scenario, the requester may request approval to facilitate the audit from the </w:t>
      </w:r>
      <w:r w:rsidR="00BA16C9">
        <w:t>Cloud</w:t>
      </w:r>
      <w:r>
        <w:t xml:space="preserve"> Operations Vice President</w:t>
      </w:r>
      <w:r w:rsidR="00BA16C9">
        <w:t xml:space="preserve"> (VP)</w:t>
      </w:r>
      <w:r>
        <w:t>.</w:t>
      </w:r>
    </w:p>
    <w:p w14:paraId="4283CBEC" w14:textId="77777777" w:rsidR="00353E96" w:rsidRDefault="00353E96" w:rsidP="005368F1">
      <w:pPr>
        <w:pStyle w:val="ListParagraph"/>
        <w:numPr>
          <w:ilvl w:val="0"/>
          <w:numId w:val="17"/>
        </w:numPr>
      </w:pPr>
      <w:r>
        <w:t>The GRCQ team is the primary funnel into the Operations organization with regards to all types of RFIs.</w:t>
      </w:r>
    </w:p>
    <w:p w14:paraId="5B7C0471" w14:textId="34ACDFA9" w:rsidR="00AB6D10" w:rsidRDefault="00353E96" w:rsidP="0064775F">
      <w:pPr>
        <w:pStyle w:val="ListParagraph"/>
        <w:numPr>
          <w:ilvl w:val="0"/>
          <w:numId w:val="17"/>
        </w:numPr>
      </w:pPr>
      <w:r>
        <w:t>The internal requestor of the customer audit must validate the audit rights the customer has in the contract</w:t>
      </w:r>
      <w:r w:rsidR="000E6A30">
        <w:t xml:space="preserve">. </w:t>
      </w:r>
      <w:r>
        <w:t xml:space="preserve">At a minimum, </w:t>
      </w:r>
      <w:r w:rsidR="00A86D7F">
        <w:t>IBM</w:t>
      </w:r>
      <w:r w:rsidR="00825409">
        <w:t xml:space="preserve"> </w:t>
      </w:r>
      <w:r>
        <w:t>must deliver on any contractual obligations</w:t>
      </w:r>
      <w:r w:rsidR="000E6A30">
        <w:t xml:space="preserve">. </w:t>
      </w:r>
      <w:r>
        <w:t>Lack of a right to audit clause in the contract requires approval from the VP of Operations and Legal before agreeing to the audit.</w:t>
      </w:r>
      <w:r w:rsidR="00825409">
        <w:t xml:space="preserve">  In some cases, regulatory conditions may exist to give customers the right to audit regardless of their contractual right (ex. GDPR).  In such cases, the requestor must identify the regulatory right to audit as part of the initial request.</w:t>
      </w:r>
    </w:p>
    <w:p w14:paraId="1BA751DD" w14:textId="35D669A3" w:rsidR="006A1196" w:rsidRDefault="006A1196" w:rsidP="005368F1">
      <w:pPr>
        <w:pStyle w:val="ListParagraph"/>
        <w:numPr>
          <w:ilvl w:val="0"/>
          <w:numId w:val="17"/>
        </w:numPr>
      </w:pPr>
      <w:r>
        <w:t xml:space="preserve">The </w:t>
      </w:r>
      <w:r w:rsidR="00BA16C9">
        <w:t>GRCQ</w:t>
      </w:r>
      <w:r>
        <w:t xml:space="preserve"> team remains as an internal resource and all communications with the customer are the responsibility of the internal requester.</w:t>
      </w:r>
    </w:p>
    <w:p w14:paraId="209FE644" w14:textId="1B0F3B29" w:rsidR="00353E96" w:rsidRDefault="00353E96" w:rsidP="005368F1">
      <w:pPr>
        <w:pStyle w:val="ListParagraph"/>
        <w:numPr>
          <w:ilvl w:val="0"/>
          <w:numId w:val="17"/>
        </w:numPr>
      </w:pPr>
      <w:r>
        <w:t xml:space="preserve">The requestor </w:t>
      </w:r>
      <w:r w:rsidR="0064775F">
        <w:t xml:space="preserve">shall provide </w:t>
      </w:r>
      <w:r>
        <w:t xml:space="preserve">the customer </w:t>
      </w:r>
      <w:r w:rsidR="0064775F">
        <w:t xml:space="preserve">with </w:t>
      </w:r>
      <w:r>
        <w:t xml:space="preserve">all applicable certification and compliance reports in </w:t>
      </w:r>
      <w:r w:rsidR="0064775F">
        <w:t xml:space="preserve">accordance with the customer’s </w:t>
      </w:r>
      <w:r w:rsidR="00BA16C9">
        <w:t>Non-Disclosure Agreement (</w:t>
      </w:r>
      <w:r w:rsidR="0064775F">
        <w:t>NDA</w:t>
      </w:r>
      <w:r w:rsidR="00BA16C9">
        <w:t>)</w:t>
      </w:r>
      <w:r w:rsidR="0064775F">
        <w:t>.</w:t>
      </w:r>
    </w:p>
    <w:p w14:paraId="31517314" w14:textId="0DF2492B" w:rsidR="00353E96" w:rsidRDefault="00353E96" w:rsidP="005368F1">
      <w:pPr>
        <w:pStyle w:val="ListParagraph"/>
        <w:numPr>
          <w:ilvl w:val="0"/>
          <w:numId w:val="17"/>
        </w:numPr>
      </w:pPr>
      <w:r>
        <w:lastRenderedPageBreak/>
        <w:t>A minimum of 30 days notification of a customer audit is required before the proposed start date</w:t>
      </w:r>
      <w:r w:rsidR="000E6A30">
        <w:t xml:space="preserve">. </w:t>
      </w:r>
      <w:r>
        <w:t xml:space="preserve">Ultimately, </w:t>
      </w:r>
      <w:r w:rsidR="00A86D7F">
        <w:t>IBM</w:t>
      </w:r>
      <w:r w:rsidR="0093488E">
        <w:t xml:space="preserve"> </w:t>
      </w:r>
      <w:r>
        <w:t>and the customer must agree mutually on an audit date, which is based on resource availability within Verizon</w:t>
      </w:r>
      <w:r w:rsidR="000E6A30">
        <w:t xml:space="preserve">. </w:t>
      </w:r>
      <w:r w:rsidR="006A1196">
        <w:t xml:space="preserve">In some </w:t>
      </w:r>
      <w:r w:rsidR="00EA671A">
        <w:t>cases,</w:t>
      </w:r>
      <w:r w:rsidR="006A1196">
        <w:t xml:space="preserve"> the contract with the customer may state different terms for notification of an audit</w:t>
      </w:r>
      <w:r w:rsidR="000E6A30">
        <w:t xml:space="preserve">. </w:t>
      </w:r>
      <w:r w:rsidR="006A1196">
        <w:t>In those scenarios, the contract takes precedence over this policy.</w:t>
      </w:r>
    </w:p>
    <w:p w14:paraId="1CB89ED5" w14:textId="7D9F6921" w:rsidR="00353E96" w:rsidRDefault="00353E96" w:rsidP="005368F1">
      <w:pPr>
        <w:pStyle w:val="ListParagraph"/>
        <w:numPr>
          <w:ilvl w:val="0"/>
          <w:numId w:val="17"/>
        </w:numPr>
      </w:pPr>
      <w:r>
        <w:t xml:space="preserve">Prior to conducting an audit, a scoping </w:t>
      </w:r>
      <w:r w:rsidR="00F1074C">
        <w:t xml:space="preserve">session </w:t>
      </w:r>
      <w:r>
        <w:t xml:space="preserve">must be held, at a minimum of 2 weeks </w:t>
      </w:r>
      <w:r w:rsidR="0064775F">
        <w:t xml:space="preserve">prior to the start of the audit and must include the </w:t>
      </w:r>
      <w:r w:rsidR="00BA16C9">
        <w:t>GRCQ</w:t>
      </w:r>
      <w:r w:rsidR="0064775F">
        <w:t xml:space="preserve"> team, account team, the customer and their auditor (if a 3</w:t>
      </w:r>
      <w:r w:rsidR="0064775F" w:rsidRPr="0064775F">
        <w:rPr>
          <w:vertAlign w:val="superscript"/>
        </w:rPr>
        <w:t>rd</w:t>
      </w:r>
      <w:r w:rsidR="0064775F">
        <w:t xml:space="preserve"> party auditor is involved).</w:t>
      </w:r>
    </w:p>
    <w:p w14:paraId="71B21FAD" w14:textId="7E317449" w:rsidR="00353E96" w:rsidRDefault="00353E96" w:rsidP="005368F1">
      <w:pPr>
        <w:pStyle w:val="ListParagraph"/>
        <w:numPr>
          <w:ilvl w:val="0"/>
          <w:numId w:val="17"/>
        </w:numPr>
      </w:pPr>
      <w:r>
        <w:t xml:space="preserve">The requestor must validate who will conduct and participate in the audit: </w:t>
      </w:r>
      <w:r w:rsidRPr="0002732F">
        <w:t>3</w:t>
      </w:r>
      <w:r w:rsidRPr="00AB6D10">
        <w:t>rd</w:t>
      </w:r>
      <w:r w:rsidRPr="0002732F">
        <w:t xml:space="preserve"> party</w:t>
      </w:r>
      <w:r>
        <w:t xml:space="preserve"> auditor</w:t>
      </w:r>
      <w:r w:rsidRPr="0002732F">
        <w:t>, customer, subsidiary, customer of a customer</w:t>
      </w:r>
      <w:r w:rsidR="000E6A30">
        <w:t xml:space="preserve">. </w:t>
      </w:r>
      <w:r>
        <w:t xml:space="preserve">In all cases, Verizon’s customer MUST be present </w:t>
      </w:r>
      <w:r w:rsidR="0064775F">
        <w:t>for</w:t>
      </w:r>
      <w:r>
        <w:t xml:space="preserve"> the duration of the audit</w:t>
      </w:r>
      <w:r w:rsidR="000E6A30">
        <w:t xml:space="preserve">. </w:t>
      </w:r>
      <w:r>
        <w:t xml:space="preserve">Unless specified in the customer contract or through executive leadership, </w:t>
      </w:r>
      <w:r w:rsidR="00A86D7F">
        <w:t>IBM</w:t>
      </w:r>
      <w:r w:rsidR="0093488E">
        <w:t xml:space="preserve"> </w:t>
      </w:r>
      <w:r>
        <w:t xml:space="preserve">does not agree to </w:t>
      </w:r>
      <w:r w:rsidR="0064775F">
        <w:t xml:space="preserve">facilitate </w:t>
      </w:r>
      <w:r>
        <w:t>an audit conducted by a customer of a customer.</w:t>
      </w:r>
    </w:p>
    <w:p w14:paraId="68907911" w14:textId="30A25CE8" w:rsidR="0064775F" w:rsidRPr="0002732F" w:rsidRDefault="0064775F" w:rsidP="005368F1">
      <w:pPr>
        <w:pStyle w:val="ListParagraph"/>
        <w:numPr>
          <w:ilvl w:val="0"/>
          <w:numId w:val="17"/>
        </w:numPr>
      </w:pPr>
      <w:r>
        <w:t>The requester is responsible</w:t>
      </w:r>
      <w:r w:rsidR="00B457B1">
        <w:t xml:space="preserve"> for</w:t>
      </w:r>
      <w:r>
        <w:t xml:space="preserve"> ensuring all participants</w:t>
      </w:r>
      <w:r w:rsidR="00B457B1">
        <w:t>, including related affiliates</w:t>
      </w:r>
      <w:r>
        <w:t xml:space="preserve"> in the audit</w:t>
      </w:r>
      <w:r w:rsidR="00B457B1">
        <w:t>,</w:t>
      </w:r>
      <w:r>
        <w:t xml:space="preserve"> are covered by applicable NDA’s.</w:t>
      </w:r>
    </w:p>
    <w:p w14:paraId="597628EE" w14:textId="2B999304" w:rsidR="00353E96" w:rsidRPr="0002732F" w:rsidRDefault="00353E96" w:rsidP="005368F1">
      <w:pPr>
        <w:pStyle w:val="ListParagraph"/>
        <w:numPr>
          <w:ilvl w:val="0"/>
          <w:numId w:val="17"/>
        </w:numPr>
      </w:pPr>
      <w:r w:rsidRPr="0002732F">
        <w:t>Policies and Procedures are only av</w:t>
      </w:r>
      <w:r w:rsidR="006A1196">
        <w:t>ailable for review on-site or via</w:t>
      </w:r>
      <w:r w:rsidRPr="0002732F">
        <w:t xml:space="preserve"> WebEx</w:t>
      </w:r>
      <w:r w:rsidR="006A1196">
        <w:t xml:space="preserve"> (or similar tool)</w:t>
      </w:r>
      <w:r w:rsidRPr="0002732F">
        <w:t>, with agreement that screen shots will not be taken by customer (auditor).</w:t>
      </w:r>
    </w:p>
    <w:p w14:paraId="250D20AF" w14:textId="2AD96147" w:rsidR="00353E96" w:rsidRDefault="00353E96" w:rsidP="005368F1">
      <w:pPr>
        <w:pStyle w:val="ListParagraph"/>
        <w:numPr>
          <w:ilvl w:val="0"/>
          <w:numId w:val="17"/>
        </w:numPr>
      </w:pPr>
      <w:r w:rsidRPr="0002732F">
        <w:t xml:space="preserve">Existing reports and certifications </w:t>
      </w:r>
      <w:r w:rsidR="009038AF">
        <w:t xml:space="preserve">shall be provided to the customer by the internal requester and </w:t>
      </w:r>
      <w:r w:rsidRPr="0002732F">
        <w:t>are expected to be valid evidence as needed</w:t>
      </w:r>
      <w:r w:rsidR="000E6A30">
        <w:t xml:space="preserve">. </w:t>
      </w:r>
      <w:r>
        <w:t xml:space="preserve">For example, if a customer requests an audit to support their ISO27001 certification, </w:t>
      </w:r>
      <w:r w:rsidR="00A86D7F">
        <w:t>IBM</w:t>
      </w:r>
      <w:r w:rsidR="0093488E">
        <w:t xml:space="preserve"> </w:t>
      </w:r>
      <w:r>
        <w:t xml:space="preserve">expects the </w:t>
      </w:r>
      <w:r w:rsidR="00A86D7F">
        <w:t>IBM</w:t>
      </w:r>
      <w:r w:rsidR="0093488E">
        <w:t xml:space="preserve"> </w:t>
      </w:r>
      <w:r>
        <w:t xml:space="preserve">ISO27001 </w:t>
      </w:r>
      <w:r w:rsidR="007A3C3A">
        <w:t xml:space="preserve">certificate </w:t>
      </w:r>
      <w:r>
        <w:t>to suffice as evidence for their own certification endeavors</w:t>
      </w:r>
      <w:r w:rsidR="000E6A30">
        <w:t xml:space="preserve">. </w:t>
      </w:r>
      <w:r>
        <w:t xml:space="preserve">The same applies to other certifications that </w:t>
      </w:r>
      <w:r w:rsidR="00A86D7F">
        <w:t>IBM</w:t>
      </w:r>
      <w:r w:rsidR="0093488E">
        <w:t xml:space="preserve"> </w:t>
      </w:r>
      <w:r>
        <w:t>holds and maintains.</w:t>
      </w:r>
    </w:p>
    <w:p w14:paraId="426A69F2" w14:textId="427E9835" w:rsidR="009038AF" w:rsidRDefault="009038AF" w:rsidP="005368F1">
      <w:pPr>
        <w:pStyle w:val="ListParagraph"/>
        <w:numPr>
          <w:ilvl w:val="0"/>
          <w:numId w:val="17"/>
        </w:numPr>
      </w:pPr>
      <w:r>
        <w:t>Prior to commencement of an audit, the customer shall review all applicable compliance reports and other publicly available knowledge sources regarding Cloud control (ex. CAIQ).</w:t>
      </w:r>
    </w:p>
    <w:p w14:paraId="3EE75509" w14:textId="7994FA47" w:rsidR="007A3C3A" w:rsidRPr="0002732F" w:rsidRDefault="007A3C3A" w:rsidP="005368F1">
      <w:pPr>
        <w:pStyle w:val="ListParagraph"/>
        <w:numPr>
          <w:ilvl w:val="0"/>
          <w:numId w:val="17"/>
        </w:numPr>
      </w:pPr>
      <w:r>
        <w:t>The redacted customer facing version of the ISO27001 Statement of Applicability (SOA) is available for distribution only if specifically requested by the customer and must follow all applicable rules for NDA.</w:t>
      </w:r>
    </w:p>
    <w:p w14:paraId="03AB9479" w14:textId="77777777" w:rsidR="00353E96" w:rsidRDefault="00353E96" w:rsidP="005368F1">
      <w:pPr>
        <w:pStyle w:val="ListParagraph"/>
        <w:numPr>
          <w:ilvl w:val="0"/>
          <w:numId w:val="17"/>
        </w:numPr>
      </w:pPr>
      <w:r w:rsidRPr="0002732F">
        <w:t xml:space="preserve">Non-customer records </w:t>
      </w:r>
      <w:r>
        <w:t xml:space="preserve">and records for shared environments will not be shared. </w:t>
      </w:r>
    </w:p>
    <w:p w14:paraId="2A3F00B9" w14:textId="77777777" w:rsidR="00C61879" w:rsidRDefault="00C61879" w:rsidP="005909CA">
      <w:pPr>
        <w:pStyle w:val="Body"/>
      </w:pPr>
    </w:p>
    <w:p w14:paraId="0196D843" w14:textId="77777777" w:rsidR="00353E96" w:rsidRPr="00052749" w:rsidRDefault="00353E96" w:rsidP="00353E96">
      <w:pPr>
        <w:pStyle w:val="Heading2"/>
      </w:pPr>
      <w:bookmarkStart w:id="17" w:name="_Toc500426930"/>
      <w:r>
        <w:t>Program Audit</w:t>
      </w:r>
      <w:bookmarkEnd w:id="17"/>
    </w:p>
    <w:p w14:paraId="12F328EE" w14:textId="4C65A12F" w:rsidR="00353E96" w:rsidRDefault="00353E96" w:rsidP="005368F1">
      <w:pPr>
        <w:pStyle w:val="ListParagraph"/>
        <w:numPr>
          <w:ilvl w:val="0"/>
          <w:numId w:val="15"/>
        </w:numPr>
      </w:pPr>
      <w:r w:rsidRPr="007614B9">
        <w:t>Program Audits are owned and managed by the Security and Compliance team</w:t>
      </w:r>
      <w:r>
        <w:t xml:space="preserve"> in most cases</w:t>
      </w:r>
      <w:r w:rsidR="000E6A30">
        <w:t xml:space="preserve">. </w:t>
      </w:r>
      <w:r w:rsidRPr="007614B9">
        <w:t>These include programs such as (but not limited to) SSAE</w:t>
      </w:r>
      <w:r w:rsidR="007A3C3A">
        <w:t>16, ISO27001, FedRAMP, PCI.</w:t>
      </w:r>
      <w:r>
        <w:t xml:space="preserve"> There are other Program Level audits that are handled by other teams, such as </w:t>
      </w:r>
      <w:r w:rsidR="007A3C3A">
        <w:t>HIPAA.</w:t>
      </w:r>
    </w:p>
    <w:p w14:paraId="1575FAD9" w14:textId="06940F13" w:rsidR="00353E96" w:rsidRDefault="00353E96" w:rsidP="005368F1">
      <w:pPr>
        <w:pStyle w:val="ListParagraph"/>
        <w:numPr>
          <w:ilvl w:val="0"/>
          <w:numId w:val="15"/>
        </w:numPr>
      </w:pPr>
      <w:r>
        <w:t>The GRCQ team fulfills a support role for Program Level audits and is the first point of contact for Operations by the Program Audit Owner</w:t>
      </w:r>
      <w:r w:rsidR="000E6A30">
        <w:t xml:space="preserve">. </w:t>
      </w:r>
      <w:r>
        <w:t xml:space="preserve">The GRCQ team will assist in collection of resources and evidence </w:t>
      </w:r>
      <w:r w:rsidR="007A3C3A">
        <w:t xml:space="preserve">related to </w:t>
      </w:r>
      <w:r>
        <w:t>the audit as well as issue tracking and audit management during the execution phase of the audit.</w:t>
      </w:r>
    </w:p>
    <w:p w14:paraId="5952200A" w14:textId="15D0805D" w:rsidR="00353E96" w:rsidRDefault="00353E96" w:rsidP="007A3C3A">
      <w:pPr>
        <w:pStyle w:val="ListParagraph"/>
        <w:numPr>
          <w:ilvl w:val="0"/>
          <w:numId w:val="15"/>
        </w:numPr>
      </w:pPr>
      <w:r>
        <w:t xml:space="preserve">Program Level audits </w:t>
      </w:r>
      <w:r w:rsidR="007A3C3A">
        <w:t>require deeper records review by 3</w:t>
      </w:r>
      <w:r w:rsidR="007A3C3A" w:rsidRPr="007A3C3A">
        <w:rPr>
          <w:vertAlign w:val="superscript"/>
        </w:rPr>
        <w:t>rd</w:t>
      </w:r>
      <w:r w:rsidR="007A3C3A">
        <w:t xml:space="preserve"> party auditors and assessors.</w:t>
      </w:r>
      <w:r w:rsidR="0093488E">
        <w:t xml:space="preserve"> These auditors are considered privileged auditors and are covered by confidentiality agreements to view detailed records, files and evidence that </w:t>
      </w:r>
      <w:proofErr w:type="gramStart"/>
      <w:r w:rsidR="0093488E">
        <w:t>contains</w:t>
      </w:r>
      <w:proofErr w:type="gramEnd"/>
      <w:r w:rsidR="0093488E">
        <w:t xml:space="preserve"> information about the underlying shared infrastructure within the bounds and scope of the audit.  In the case of program audits, which are in place to support </w:t>
      </w:r>
      <w:r w:rsidR="0093488E">
        <w:lastRenderedPageBreak/>
        <w:t>our own 3</w:t>
      </w:r>
      <w:r w:rsidR="0093488E" w:rsidRPr="00A74D01">
        <w:rPr>
          <w:vertAlign w:val="superscript"/>
        </w:rPr>
        <w:t>rd</w:t>
      </w:r>
      <w:r w:rsidR="0093488E">
        <w:t xml:space="preserve"> party compliance initiatives, review and analysis of these artifacts are required for successful certification.</w:t>
      </w:r>
      <w:r w:rsidR="007A3C3A" w:rsidRPr="007614B9">
        <w:t xml:space="preserve"> </w:t>
      </w:r>
    </w:p>
    <w:p w14:paraId="5AC3F408" w14:textId="77777777" w:rsidR="00507784" w:rsidRPr="007614B9" w:rsidRDefault="00507784" w:rsidP="00507784">
      <w:pPr>
        <w:pStyle w:val="Body"/>
      </w:pPr>
    </w:p>
    <w:p w14:paraId="01715C69" w14:textId="77777777" w:rsidR="00B1369E" w:rsidRPr="00BE3890" w:rsidRDefault="00B1369E" w:rsidP="00BE3890">
      <w:pPr>
        <w:pStyle w:val="Heading2"/>
      </w:pPr>
      <w:bookmarkStart w:id="18" w:name="_Toc383005745"/>
      <w:bookmarkStart w:id="19" w:name="_Toc435792005"/>
      <w:bookmarkStart w:id="20" w:name="_Toc500426931"/>
      <w:r w:rsidRPr="00BE3890">
        <w:t>Definition</w:t>
      </w:r>
      <w:bookmarkEnd w:id="18"/>
      <w:r w:rsidRPr="00BE3890">
        <w:t>s</w:t>
      </w:r>
      <w:bookmarkEnd w:id="19"/>
      <w:bookmarkEnd w:id="20"/>
    </w:p>
    <w:p w14:paraId="74F2EA87" w14:textId="7075989D" w:rsidR="00B1369E" w:rsidRPr="00B1369E" w:rsidRDefault="00B1369E" w:rsidP="005368F1">
      <w:pPr>
        <w:numPr>
          <w:ilvl w:val="0"/>
          <w:numId w:val="2"/>
        </w:numPr>
        <w:spacing w:after="60"/>
      </w:pPr>
      <w:r w:rsidRPr="00B1369E">
        <w:rPr>
          <w:b/>
        </w:rPr>
        <w:t>Internal Requestor</w:t>
      </w:r>
      <w:r w:rsidR="00DC75FC">
        <w:rPr>
          <w:b/>
        </w:rPr>
        <w:t>:</w:t>
      </w:r>
      <w:r w:rsidRPr="00B1369E">
        <w:t xml:space="preserve"> </w:t>
      </w:r>
      <w:r w:rsidR="00A86D7F">
        <w:t>IBM</w:t>
      </w:r>
      <w:r w:rsidR="0093488E">
        <w:t xml:space="preserve"> </w:t>
      </w:r>
      <w:r w:rsidRPr="00B1369E">
        <w:t>resources initiating an audit request on behalf of a customer. This is usually a:</w:t>
      </w:r>
    </w:p>
    <w:p w14:paraId="261C3AB3" w14:textId="77777777" w:rsidR="00B1369E" w:rsidRPr="00B1369E" w:rsidRDefault="00B1369E" w:rsidP="005368F1">
      <w:pPr>
        <w:numPr>
          <w:ilvl w:val="1"/>
          <w:numId w:val="2"/>
        </w:numPr>
        <w:spacing w:after="60"/>
        <w:ind w:left="1080"/>
        <w:rPr>
          <w:color w:val="000000"/>
          <w14:textFill>
            <w14:solidFill>
              <w14:srgbClr w14:val="000000">
                <w14:lumMod w14:val="50000"/>
                <w14:lumMod w14:val="50000"/>
                <w14:lumMod w14:val="50000"/>
              </w14:srgbClr>
            </w14:solidFill>
          </w14:textFill>
        </w:rPr>
      </w:pPr>
      <w:r w:rsidRPr="00B1369E">
        <w:rPr>
          <w:color w:val="000000"/>
          <w14:textFill>
            <w14:solidFill>
              <w14:srgbClr w14:val="000000">
                <w14:lumMod w14:val="50000"/>
                <w14:lumMod w14:val="50000"/>
                <w14:lumMod w14:val="50000"/>
              </w14:srgbClr>
            </w14:solidFill>
          </w14:textFill>
        </w:rPr>
        <w:t>Service Manager</w:t>
      </w:r>
    </w:p>
    <w:p w14:paraId="2404BB92" w14:textId="77777777" w:rsidR="00B1369E" w:rsidRPr="00B1369E" w:rsidRDefault="00B1369E" w:rsidP="005368F1">
      <w:pPr>
        <w:numPr>
          <w:ilvl w:val="1"/>
          <w:numId w:val="2"/>
        </w:numPr>
        <w:spacing w:after="60"/>
        <w:ind w:left="1080"/>
        <w:rPr>
          <w:color w:val="000000"/>
          <w14:textFill>
            <w14:solidFill>
              <w14:srgbClr w14:val="000000">
                <w14:lumMod w14:val="50000"/>
                <w14:lumMod w14:val="50000"/>
                <w14:lumMod w14:val="50000"/>
              </w14:srgbClr>
            </w14:solidFill>
          </w14:textFill>
        </w:rPr>
      </w:pPr>
      <w:r w:rsidRPr="00B1369E">
        <w:rPr>
          <w:color w:val="000000"/>
          <w14:textFill>
            <w14:solidFill>
              <w14:srgbClr w14:val="000000">
                <w14:lumMod w14:val="50000"/>
                <w14:lumMod w14:val="50000"/>
                <w14:lumMod w14:val="50000"/>
              </w14:srgbClr>
            </w14:solidFill>
          </w14:textFill>
        </w:rPr>
        <w:t>Account Representative</w:t>
      </w:r>
    </w:p>
    <w:p w14:paraId="649CA202" w14:textId="650BE5B5" w:rsidR="00B1369E" w:rsidRPr="00B1369E" w:rsidRDefault="00B1369E" w:rsidP="005368F1">
      <w:pPr>
        <w:numPr>
          <w:ilvl w:val="0"/>
          <w:numId w:val="2"/>
        </w:numPr>
        <w:spacing w:after="60"/>
      </w:pPr>
      <w:r w:rsidRPr="00B1369E">
        <w:rPr>
          <w:b/>
        </w:rPr>
        <w:t>Pre-contract Audit</w:t>
      </w:r>
      <w:r w:rsidR="00DC75FC">
        <w:rPr>
          <w:b/>
        </w:rPr>
        <w:t>:</w:t>
      </w:r>
      <w:r w:rsidRPr="00B1369E">
        <w:rPr>
          <w:b/>
        </w:rPr>
        <w:t xml:space="preserve"> </w:t>
      </w:r>
      <w:r w:rsidRPr="00B1369E">
        <w:t xml:space="preserve">A vendor risk assessment performed by prospective </w:t>
      </w:r>
      <w:r w:rsidR="00A86D7F">
        <w:t>IBM</w:t>
      </w:r>
      <w:r w:rsidR="0093488E">
        <w:t xml:space="preserve"> </w:t>
      </w:r>
      <w:r w:rsidRPr="00B1369E">
        <w:t xml:space="preserve">customers on the </w:t>
      </w:r>
      <w:r w:rsidR="00A86D7F">
        <w:t>IBM</w:t>
      </w:r>
      <w:r w:rsidR="0093488E">
        <w:t xml:space="preserve"> </w:t>
      </w:r>
      <w:r w:rsidRPr="00B1369E">
        <w:t>Quality Systems and Security Controls.</w:t>
      </w:r>
    </w:p>
    <w:p w14:paraId="68001BFD" w14:textId="628AE96E" w:rsidR="00B1369E" w:rsidRDefault="00B1369E" w:rsidP="005368F1">
      <w:pPr>
        <w:numPr>
          <w:ilvl w:val="0"/>
          <w:numId w:val="2"/>
        </w:numPr>
        <w:spacing w:after="60"/>
      </w:pPr>
      <w:r w:rsidRPr="00B1369E">
        <w:rPr>
          <w:b/>
        </w:rPr>
        <w:t>Production Audit</w:t>
      </w:r>
      <w:r w:rsidR="00DC75FC">
        <w:rPr>
          <w:b/>
        </w:rPr>
        <w:t>:</w:t>
      </w:r>
      <w:r w:rsidRPr="00B1369E">
        <w:rPr>
          <w:b/>
        </w:rPr>
        <w:t xml:space="preserve"> </w:t>
      </w:r>
      <w:r w:rsidRPr="00B1369E">
        <w:t xml:space="preserve">A vendor risk assessment performed by existing and contracted </w:t>
      </w:r>
      <w:r w:rsidR="00A86D7F">
        <w:t>IBM</w:t>
      </w:r>
      <w:r w:rsidR="0093488E">
        <w:t xml:space="preserve"> </w:t>
      </w:r>
      <w:r w:rsidRPr="00B1369E">
        <w:t xml:space="preserve">customers on the </w:t>
      </w:r>
      <w:r w:rsidR="00A86D7F">
        <w:t>IBM</w:t>
      </w:r>
      <w:r w:rsidR="0093488E">
        <w:t xml:space="preserve"> </w:t>
      </w:r>
      <w:r w:rsidRPr="00B1369E">
        <w:t>Quality Systems and Security Controls according to the terms and frequency stipulated in their contract.</w:t>
      </w:r>
    </w:p>
    <w:p w14:paraId="17C9ECE2" w14:textId="0DA1EFD7" w:rsidR="006A1196" w:rsidRDefault="006A1196" w:rsidP="005368F1">
      <w:pPr>
        <w:numPr>
          <w:ilvl w:val="0"/>
          <w:numId w:val="2"/>
        </w:numPr>
        <w:spacing w:after="60"/>
      </w:pPr>
      <w:r>
        <w:rPr>
          <w:b/>
        </w:rPr>
        <w:t>GRC</w:t>
      </w:r>
      <w:r w:rsidR="00D34C69">
        <w:rPr>
          <w:b/>
        </w:rPr>
        <w:t>Q</w:t>
      </w:r>
      <w:r>
        <w:rPr>
          <w:b/>
        </w:rPr>
        <w:t xml:space="preserve"> –</w:t>
      </w:r>
      <w:r>
        <w:t xml:space="preserve"> Governance</w:t>
      </w:r>
      <w:r w:rsidR="00D34C69">
        <w:t>,</w:t>
      </w:r>
      <w:r>
        <w:t xml:space="preserve"> Risk</w:t>
      </w:r>
      <w:r w:rsidR="00D34C69">
        <w:t>,</w:t>
      </w:r>
      <w:r>
        <w:t xml:space="preserve"> Compliance</w:t>
      </w:r>
      <w:r w:rsidR="00D34C69">
        <w:t>, and Quality</w:t>
      </w:r>
    </w:p>
    <w:p w14:paraId="6C33AA2B" w14:textId="0C89C06A" w:rsidR="006A1196" w:rsidRPr="00B1369E" w:rsidRDefault="006A1196" w:rsidP="005368F1">
      <w:pPr>
        <w:numPr>
          <w:ilvl w:val="0"/>
          <w:numId w:val="2"/>
        </w:numPr>
        <w:spacing w:after="60"/>
      </w:pPr>
      <w:r>
        <w:rPr>
          <w:b/>
        </w:rPr>
        <w:t>Qualified response –</w:t>
      </w:r>
      <w:r>
        <w:t xml:space="preserve"> Responses prepared for a request for information that have been provided by the SME and fully vetted through the appropriate approval channels, such as Legal.</w:t>
      </w:r>
    </w:p>
    <w:p w14:paraId="24ACC17E" w14:textId="77777777" w:rsidR="00B1369E" w:rsidRPr="00BE3890" w:rsidRDefault="00B1369E" w:rsidP="00BE3890">
      <w:pPr>
        <w:pStyle w:val="Heading1"/>
      </w:pPr>
      <w:bookmarkStart w:id="21" w:name="_Ref358201617"/>
      <w:bookmarkStart w:id="22" w:name="_Toc383005749"/>
      <w:bookmarkStart w:id="23" w:name="_Toc435792009"/>
      <w:bookmarkStart w:id="24" w:name="_Toc500426932"/>
      <w:r w:rsidRPr="00BE3890">
        <w:lastRenderedPageBreak/>
        <w:t>Audit Evidence Policy</w:t>
      </w:r>
      <w:bookmarkEnd w:id="21"/>
      <w:bookmarkEnd w:id="22"/>
      <w:bookmarkEnd w:id="23"/>
      <w:bookmarkEnd w:id="24"/>
    </w:p>
    <w:p w14:paraId="1287C73B" w14:textId="77777777" w:rsidR="00B1369E" w:rsidRPr="00BE3890" w:rsidRDefault="00B1369E" w:rsidP="00BE3890">
      <w:pPr>
        <w:pStyle w:val="Heading2"/>
      </w:pPr>
      <w:bookmarkStart w:id="25" w:name="_Toc383005750"/>
      <w:bookmarkStart w:id="26" w:name="_Toc435792010"/>
      <w:bookmarkStart w:id="27" w:name="_Toc500426933"/>
      <w:r w:rsidRPr="00BE3890">
        <w:t>Purpose</w:t>
      </w:r>
      <w:bookmarkEnd w:id="25"/>
      <w:bookmarkEnd w:id="26"/>
      <w:bookmarkEnd w:id="27"/>
    </w:p>
    <w:p w14:paraId="7DF2EEB5" w14:textId="062A0D76" w:rsidR="00B1369E" w:rsidRPr="00B1369E" w:rsidRDefault="00B1369E" w:rsidP="00B1369E">
      <w:r w:rsidRPr="00B1369E">
        <w:t xml:space="preserve">The purpose of the Audit Evidence Policy is to define the </w:t>
      </w:r>
      <w:r w:rsidR="00A86D7F">
        <w:t>IBM</w:t>
      </w:r>
      <w:r w:rsidR="0093488E">
        <w:t xml:space="preserve"> </w:t>
      </w:r>
      <w:r w:rsidRPr="00B1369E">
        <w:t>evidence distribution guidelines.</w:t>
      </w:r>
    </w:p>
    <w:p w14:paraId="6BBC9282" w14:textId="77777777" w:rsidR="00B1369E" w:rsidRPr="00B1369E" w:rsidRDefault="00B1369E" w:rsidP="00B1369E"/>
    <w:p w14:paraId="3C4D6FB3" w14:textId="77777777" w:rsidR="00B1369E" w:rsidRPr="00BE3890" w:rsidRDefault="00B1369E" w:rsidP="00BE3890">
      <w:pPr>
        <w:pStyle w:val="Heading2"/>
      </w:pPr>
      <w:bookmarkStart w:id="28" w:name="_Toc383005751"/>
      <w:bookmarkStart w:id="29" w:name="_Toc435792011"/>
      <w:bookmarkStart w:id="30" w:name="_Toc500426934"/>
      <w:r w:rsidRPr="00BE3890">
        <w:t xml:space="preserve">Scope of the </w:t>
      </w:r>
      <w:bookmarkEnd w:id="28"/>
      <w:r w:rsidRPr="00BE3890">
        <w:t>Audit Evidence Policy</w:t>
      </w:r>
      <w:bookmarkEnd w:id="29"/>
      <w:bookmarkEnd w:id="30"/>
    </w:p>
    <w:p w14:paraId="01C30437" w14:textId="77777777" w:rsidR="00B1369E" w:rsidRPr="00B1369E" w:rsidRDefault="00B1369E" w:rsidP="00B1369E">
      <w:r w:rsidRPr="00B1369E">
        <w:t>The scope of this policy defines the auditability of policies, procedures, and records in the following areas:</w:t>
      </w:r>
    </w:p>
    <w:p w14:paraId="318571D2" w14:textId="77777777" w:rsidR="00B1369E" w:rsidRPr="00B1369E" w:rsidRDefault="00B1369E" w:rsidP="005368F1">
      <w:pPr>
        <w:numPr>
          <w:ilvl w:val="0"/>
          <w:numId w:val="2"/>
        </w:numPr>
        <w:spacing w:after="60"/>
      </w:pPr>
      <w:r w:rsidRPr="00B1369E">
        <w:t>Physical security</w:t>
      </w:r>
    </w:p>
    <w:p w14:paraId="676C55D6" w14:textId="77777777" w:rsidR="00B1369E" w:rsidRPr="00B1369E" w:rsidRDefault="00B1369E" w:rsidP="005368F1">
      <w:pPr>
        <w:numPr>
          <w:ilvl w:val="0"/>
          <w:numId w:val="2"/>
        </w:numPr>
        <w:spacing w:after="60"/>
      </w:pPr>
      <w:r w:rsidRPr="00B1369E">
        <w:t>Environmental security</w:t>
      </w:r>
    </w:p>
    <w:p w14:paraId="4225EDB3" w14:textId="77777777" w:rsidR="00B1369E" w:rsidRPr="00B1369E" w:rsidRDefault="00B1369E" w:rsidP="005368F1">
      <w:pPr>
        <w:numPr>
          <w:ilvl w:val="0"/>
          <w:numId w:val="2"/>
        </w:numPr>
        <w:spacing w:after="60"/>
      </w:pPr>
      <w:r w:rsidRPr="00B1369E">
        <w:t>Logical access control</w:t>
      </w:r>
    </w:p>
    <w:p w14:paraId="441CC8A4" w14:textId="77777777" w:rsidR="00B1369E" w:rsidRPr="00B1369E" w:rsidRDefault="00B1369E" w:rsidP="005368F1">
      <w:pPr>
        <w:numPr>
          <w:ilvl w:val="0"/>
          <w:numId w:val="2"/>
        </w:numPr>
        <w:spacing w:after="60"/>
      </w:pPr>
      <w:r w:rsidRPr="00B1369E">
        <w:t>System software maintenance</w:t>
      </w:r>
    </w:p>
    <w:p w14:paraId="1F4A028A" w14:textId="77777777" w:rsidR="00B1369E" w:rsidRPr="00B1369E" w:rsidRDefault="00B1369E" w:rsidP="005368F1">
      <w:pPr>
        <w:numPr>
          <w:ilvl w:val="0"/>
          <w:numId w:val="2"/>
        </w:numPr>
        <w:spacing w:after="60"/>
      </w:pPr>
      <w:r w:rsidRPr="00B1369E">
        <w:t>Change Management</w:t>
      </w:r>
    </w:p>
    <w:p w14:paraId="75501C21" w14:textId="77777777" w:rsidR="00B1369E" w:rsidRPr="00B1369E" w:rsidRDefault="00B1369E" w:rsidP="005368F1">
      <w:pPr>
        <w:numPr>
          <w:ilvl w:val="0"/>
          <w:numId w:val="2"/>
        </w:numPr>
        <w:spacing w:after="60"/>
      </w:pPr>
      <w:r w:rsidRPr="00B1369E">
        <w:t>Infrastructure systems monitoring and support</w:t>
      </w:r>
    </w:p>
    <w:p w14:paraId="1D542071" w14:textId="77777777" w:rsidR="00B1369E" w:rsidRPr="00B1369E" w:rsidRDefault="00B1369E" w:rsidP="005368F1">
      <w:pPr>
        <w:numPr>
          <w:ilvl w:val="0"/>
          <w:numId w:val="2"/>
        </w:numPr>
        <w:spacing w:after="60"/>
      </w:pPr>
      <w:r w:rsidRPr="00B1369E">
        <w:t>Computer operations production support</w:t>
      </w:r>
    </w:p>
    <w:p w14:paraId="3F6D4BAB" w14:textId="77777777" w:rsidR="00B1369E" w:rsidRPr="00B1369E" w:rsidRDefault="00B1369E" w:rsidP="005368F1">
      <w:pPr>
        <w:numPr>
          <w:ilvl w:val="0"/>
          <w:numId w:val="2"/>
        </w:numPr>
        <w:spacing w:after="60"/>
      </w:pPr>
      <w:r w:rsidRPr="00B1369E">
        <w:t>Data backup</w:t>
      </w:r>
    </w:p>
    <w:p w14:paraId="5EFCB6EF" w14:textId="77777777" w:rsidR="00B1369E" w:rsidRPr="00B1369E" w:rsidRDefault="00B1369E" w:rsidP="005368F1">
      <w:pPr>
        <w:numPr>
          <w:ilvl w:val="0"/>
          <w:numId w:val="2"/>
        </w:numPr>
        <w:spacing w:after="60"/>
      </w:pPr>
      <w:r w:rsidRPr="00B1369E">
        <w:t>Internal audits</w:t>
      </w:r>
    </w:p>
    <w:p w14:paraId="2002EA88" w14:textId="77777777" w:rsidR="00B1369E" w:rsidRPr="00B1369E" w:rsidRDefault="00B1369E" w:rsidP="005368F1">
      <w:pPr>
        <w:numPr>
          <w:ilvl w:val="0"/>
          <w:numId w:val="2"/>
        </w:numPr>
        <w:spacing w:after="60"/>
      </w:pPr>
      <w:r w:rsidRPr="00B1369E">
        <w:t>Business Continuity (BC) and Disaster Recovery (DR)</w:t>
      </w:r>
    </w:p>
    <w:p w14:paraId="435292EE" w14:textId="77777777" w:rsidR="00B1369E" w:rsidRPr="00B1369E" w:rsidRDefault="00B1369E" w:rsidP="00B1369E">
      <w:pPr>
        <w:rPr>
          <w:lang w:bidi="ar-SA"/>
        </w:rPr>
      </w:pPr>
    </w:p>
    <w:p w14:paraId="146DDC06" w14:textId="77777777" w:rsidR="00B1369E" w:rsidRPr="00BE3890" w:rsidRDefault="00B1369E" w:rsidP="00BE3890">
      <w:pPr>
        <w:pStyle w:val="Heading1"/>
      </w:pPr>
      <w:bookmarkStart w:id="31" w:name="_Ref358201622"/>
      <w:bookmarkStart w:id="32" w:name="_Toc383005753"/>
      <w:bookmarkStart w:id="33" w:name="_Toc435792013"/>
      <w:bookmarkStart w:id="34" w:name="_Toc500426935"/>
      <w:r w:rsidRPr="00BE3890">
        <w:lastRenderedPageBreak/>
        <w:t>Third-Party Compliance Reports</w:t>
      </w:r>
      <w:bookmarkEnd w:id="31"/>
      <w:bookmarkEnd w:id="32"/>
      <w:bookmarkEnd w:id="33"/>
      <w:bookmarkEnd w:id="34"/>
    </w:p>
    <w:p w14:paraId="559E964A" w14:textId="22EDA41B" w:rsidR="00B1369E" w:rsidRPr="00B1369E" w:rsidRDefault="00B1369E" w:rsidP="005909CA">
      <w:pPr>
        <w:pStyle w:val="Body"/>
      </w:pPr>
      <w:r w:rsidRPr="00B1369E">
        <w:t xml:space="preserve">External, third-party auditors and assessors audit </w:t>
      </w:r>
      <w:r w:rsidR="00A86D7F">
        <w:t>IBM</w:t>
      </w:r>
      <w:r w:rsidR="0093488E">
        <w:t xml:space="preserve"> </w:t>
      </w:r>
      <w:r w:rsidRPr="00B1369E">
        <w:t xml:space="preserve">on annually to maintain compliance with many industry-wide standards. The output of these audits and assessments provides detailed information about </w:t>
      </w:r>
      <w:r w:rsidR="00EA671A">
        <w:t>GCTS</w:t>
      </w:r>
      <w:r w:rsidR="00EA671A" w:rsidRPr="00B1369E">
        <w:t xml:space="preserve"> </w:t>
      </w:r>
      <w:r w:rsidRPr="00B1369E">
        <w:t>operations. In most cases, questions that customer auditors have can be addressed by reviewing these third-party reports.</w:t>
      </w:r>
    </w:p>
    <w:p w14:paraId="39605982" w14:textId="45F03BFB" w:rsidR="00B1369E" w:rsidRPr="00B1369E" w:rsidRDefault="005909CA" w:rsidP="005909CA">
      <w:pPr>
        <w:pStyle w:val="TableTitleLine"/>
      </w:pPr>
      <w:bookmarkStart w:id="35" w:name="_Toc383005733"/>
      <w:bookmarkStart w:id="36" w:name="_Ref435791340"/>
      <w:bookmarkStart w:id="37" w:name="_Toc500426949"/>
      <w:r w:rsidRPr="005B3E4D">
        <w:t xml:space="preserve">Table </w:t>
      </w:r>
      <w:r w:rsidR="00607325">
        <w:fldChar w:fldCharType="begin"/>
      </w:r>
      <w:r w:rsidR="00607325">
        <w:instrText xml:space="preserve"> STYLEREF 1 \s </w:instrText>
      </w:r>
      <w:r w:rsidR="00607325">
        <w:fldChar w:fldCharType="separate"/>
      </w:r>
      <w:r w:rsidR="001B4571">
        <w:rPr>
          <w:noProof/>
        </w:rPr>
        <w:t>4</w:t>
      </w:r>
      <w:r w:rsidR="00607325">
        <w:rPr>
          <w:noProof/>
        </w:rPr>
        <w:fldChar w:fldCharType="end"/>
      </w:r>
      <w:r w:rsidRPr="005B3E4D">
        <w:noBreakHyphen/>
      </w:r>
      <w:r w:rsidR="00607325">
        <w:fldChar w:fldCharType="begin"/>
      </w:r>
      <w:r w:rsidR="00607325">
        <w:instrText xml:space="preserve"> SEQ Table \* ARABIC \s 1 </w:instrText>
      </w:r>
      <w:r w:rsidR="00607325">
        <w:fldChar w:fldCharType="separate"/>
      </w:r>
      <w:r w:rsidR="001B4571">
        <w:rPr>
          <w:noProof/>
        </w:rPr>
        <w:t>1</w:t>
      </w:r>
      <w:r w:rsidR="00607325">
        <w:rPr>
          <w:noProof/>
        </w:rPr>
        <w:fldChar w:fldCharType="end"/>
      </w:r>
      <w:r w:rsidRPr="005B3E4D">
        <w:t xml:space="preserve">: </w:t>
      </w:r>
      <w:r w:rsidR="00A86D7F">
        <w:t>IBM</w:t>
      </w:r>
      <w:r w:rsidR="00E521C5">
        <w:t xml:space="preserve"> </w:t>
      </w:r>
      <w:r w:rsidR="00B1369E" w:rsidRPr="00B1369E">
        <w:t>Third-party Compliance Reports</w:t>
      </w:r>
      <w:bookmarkEnd w:id="35"/>
      <w:bookmarkEnd w:id="36"/>
      <w:bookmarkEnd w:id="37"/>
    </w:p>
    <w:tbl>
      <w:tblPr>
        <w:tblStyle w:val="TableGrid"/>
        <w:tblW w:w="10656" w:type="dxa"/>
        <w:tblInd w:w="144" w:type="dxa"/>
        <w:tblCellMar>
          <w:top w:w="29" w:type="dxa"/>
          <w:left w:w="115" w:type="dxa"/>
          <w:bottom w:w="29" w:type="dxa"/>
          <w:right w:w="115" w:type="dxa"/>
        </w:tblCellMar>
        <w:tblLook w:val="04A0" w:firstRow="1" w:lastRow="0" w:firstColumn="1" w:lastColumn="0" w:noHBand="0" w:noVBand="1"/>
      </w:tblPr>
      <w:tblGrid>
        <w:gridCol w:w="3868"/>
        <w:gridCol w:w="6788"/>
      </w:tblGrid>
      <w:tr w:rsidR="00B1369E" w:rsidRPr="00B1369E" w14:paraId="5700C8C5" w14:textId="77777777" w:rsidTr="00507784">
        <w:trPr>
          <w:cantSplit/>
          <w:trHeight w:val="20"/>
          <w:tblHeader/>
        </w:trPr>
        <w:tc>
          <w:tcPr>
            <w:tcW w:w="10314" w:type="dxa"/>
            <w:gridSpan w:val="2"/>
            <w:tcBorders>
              <w:bottom w:val="single" w:sz="4" w:space="0" w:color="auto"/>
            </w:tcBorders>
            <w:shd w:val="clear" w:color="auto" w:fill="D9D9D9" w:themeFill="background1" w:themeFillShade="D9"/>
          </w:tcPr>
          <w:p w14:paraId="4056A4E5" w14:textId="77777777" w:rsidR="00B1369E" w:rsidRPr="00B1369E" w:rsidRDefault="00B1369E" w:rsidP="00B1369E">
            <w:pPr>
              <w:spacing w:before="40" w:after="40"/>
              <w:rPr>
                <w:rFonts w:ascii="Arial Bold" w:eastAsia="Calibri" w:hAnsi="Arial Bold" w:cs="Times New Roman"/>
                <w:b/>
                <w:caps/>
                <w:sz w:val="18"/>
                <w:lang w:val="en-GB" w:bidi="ar-SA"/>
              </w:rPr>
            </w:pPr>
            <w:r w:rsidRPr="00B1369E">
              <w:rPr>
                <w:rFonts w:ascii="Arial Bold" w:eastAsia="Calibri" w:hAnsi="Arial Bold" w:cs="Times New Roman"/>
                <w:b/>
                <w:caps/>
                <w:sz w:val="18"/>
                <w:lang w:val="en-GB" w:bidi="ar-SA"/>
              </w:rPr>
              <w:t>Payment Card Industry</w:t>
            </w:r>
          </w:p>
        </w:tc>
      </w:tr>
      <w:tr w:rsidR="00B1369E" w:rsidRPr="00B1369E" w14:paraId="1EC7F11E" w14:textId="77777777" w:rsidTr="00507784">
        <w:trPr>
          <w:cantSplit/>
          <w:trHeight w:val="20"/>
          <w:tblHeader/>
        </w:trPr>
        <w:tc>
          <w:tcPr>
            <w:tcW w:w="3744" w:type="dxa"/>
            <w:tcBorders>
              <w:bottom w:val="double" w:sz="4" w:space="0" w:color="auto"/>
            </w:tcBorders>
            <w:shd w:val="clear" w:color="auto" w:fill="F2F2F2" w:themeFill="background1" w:themeFillShade="F2"/>
          </w:tcPr>
          <w:p w14:paraId="542316C4"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Attestation Report</w:t>
            </w:r>
          </w:p>
        </w:tc>
        <w:tc>
          <w:tcPr>
            <w:tcW w:w="6570" w:type="dxa"/>
            <w:tcBorders>
              <w:bottom w:val="double" w:sz="4" w:space="0" w:color="auto"/>
            </w:tcBorders>
            <w:shd w:val="clear" w:color="auto" w:fill="F2F2F2" w:themeFill="background1" w:themeFillShade="F2"/>
          </w:tcPr>
          <w:p w14:paraId="612D37F1"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Description</w:t>
            </w:r>
          </w:p>
        </w:tc>
      </w:tr>
      <w:tr w:rsidR="00B1369E" w:rsidRPr="00B1369E" w14:paraId="65CDC41B" w14:textId="77777777" w:rsidTr="00507784">
        <w:trPr>
          <w:cantSplit/>
          <w:trHeight w:val="20"/>
        </w:trPr>
        <w:tc>
          <w:tcPr>
            <w:tcW w:w="3744" w:type="dxa"/>
          </w:tcPr>
          <w:p w14:paraId="7779DA32" w14:textId="49204C18" w:rsidR="00B1369E" w:rsidRPr="00B1369E" w:rsidRDefault="00A86D7F"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Pr>
                <w:rFonts w:eastAsia="Calibri" w:cs="Times New Roman"/>
                <w:sz w:val="18"/>
                <w:szCs w:val="20"/>
                <w:lang w:bidi="ar-SA"/>
              </w:rPr>
              <w:t>IBM</w:t>
            </w:r>
            <w:r w:rsidR="0093488E">
              <w:rPr>
                <w:rFonts w:eastAsia="Calibri" w:cs="Times New Roman"/>
                <w:sz w:val="18"/>
                <w:szCs w:val="20"/>
                <w:lang w:bidi="ar-SA"/>
              </w:rPr>
              <w:t xml:space="preserve"> </w:t>
            </w:r>
            <w:r w:rsidR="00B1369E" w:rsidRPr="00B1369E">
              <w:rPr>
                <w:rFonts w:eastAsia="Calibri" w:cs="Times New Roman"/>
                <w:sz w:val="18"/>
                <w:szCs w:val="20"/>
                <w:lang w:bidi="ar-SA"/>
              </w:rPr>
              <w:t>Payment Card Industry Data Security Standard Attestation on Compliance (PCI DSS AOC)</w:t>
            </w:r>
          </w:p>
        </w:tc>
        <w:tc>
          <w:tcPr>
            <w:tcW w:w="6570" w:type="dxa"/>
          </w:tcPr>
          <w:p w14:paraId="18B4A940" w14:textId="11BD5D1A"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 xml:space="preserve">Attestation from an independent PCI assessor confirming </w:t>
            </w:r>
            <w:r w:rsidR="00EA671A">
              <w:rPr>
                <w:rFonts w:eastAsia="Calibri" w:cs="Times New Roman"/>
                <w:sz w:val="18"/>
                <w:szCs w:val="20"/>
                <w:lang w:bidi="ar-SA"/>
              </w:rPr>
              <w:t>IBM</w:t>
            </w:r>
            <w:r w:rsidR="00EA671A" w:rsidRPr="00B1369E">
              <w:rPr>
                <w:rFonts w:eastAsia="Calibri" w:cs="Times New Roman"/>
                <w:sz w:val="18"/>
                <w:szCs w:val="20"/>
                <w:lang w:bidi="ar-SA"/>
              </w:rPr>
              <w:t xml:space="preserve"> </w:t>
            </w:r>
            <w:r w:rsidRPr="00B1369E">
              <w:rPr>
                <w:rFonts w:eastAsia="Calibri" w:cs="Times New Roman"/>
                <w:sz w:val="18"/>
                <w:szCs w:val="20"/>
                <w:lang w:bidi="ar-SA"/>
              </w:rPr>
              <w:t>compliance to the PCI DSS</w:t>
            </w:r>
          </w:p>
        </w:tc>
      </w:tr>
      <w:tr w:rsidR="00B1369E" w:rsidRPr="00B1369E" w14:paraId="13DE3163" w14:textId="77777777" w:rsidTr="00507784">
        <w:trPr>
          <w:cantSplit/>
          <w:trHeight w:val="20"/>
        </w:trPr>
        <w:tc>
          <w:tcPr>
            <w:tcW w:w="3744" w:type="dxa"/>
            <w:tcBorders>
              <w:bottom w:val="single" w:sz="4" w:space="0" w:color="auto"/>
            </w:tcBorders>
          </w:tcPr>
          <w:p w14:paraId="21E92111" w14:textId="00D677E1" w:rsidR="00B1369E" w:rsidRPr="00B1369E" w:rsidRDefault="00507784" w:rsidP="00D34C69">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Pr>
                <w:rFonts w:eastAsia="Calibri" w:cs="Times New Roman"/>
                <w:sz w:val="18"/>
                <w:szCs w:val="20"/>
                <w:lang w:bidi="ar-SA"/>
              </w:rPr>
              <w:t>PCI DSS v3.</w:t>
            </w:r>
            <w:r w:rsidR="00B533E9">
              <w:rPr>
                <w:rFonts w:eastAsia="Calibri" w:cs="Times New Roman"/>
                <w:sz w:val="18"/>
                <w:szCs w:val="20"/>
                <w:lang w:bidi="ar-SA"/>
              </w:rPr>
              <w:t>2</w:t>
            </w:r>
          </w:p>
        </w:tc>
        <w:tc>
          <w:tcPr>
            <w:tcW w:w="6570" w:type="dxa"/>
            <w:tcBorders>
              <w:bottom w:val="single" w:sz="4" w:space="0" w:color="auto"/>
            </w:tcBorders>
          </w:tcPr>
          <w:p w14:paraId="07A65A2D" w14:textId="771405F0"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 xml:space="preserve">The PCI standard under which </w:t>
            </w:r>
            <w:r w:rsidR="00A86D7F">
              <w:rPr>
                <w:rFonts w:eastAsia="Calibri" w:cs="Times New Roman"/>
                <w:sz w:val="18"/>
                <w:szCs w:val="20"/>
                <w:lang w:bidi="ar-SA"/>
              </w:rPr>
              <w:t>IBM</w:t>
            </w:r>
            <w:r w:rsidR="0093488E">
              <w:rPr>
                <w:rFonts w:eastAsia="Calibri" w:cs="Times New Roman"/>
                <w:sz w:val="18"/>
                <w:szCs w:val="20"/>
                <w:lang w:bidi="ar-SA"/>
              </w:rPr>
              <w:t xml:space="preserve"> </w:t>
            </w:r>
            <w:r w:rsidRPr="00B1369E">
              <w:rPr>
                <w:rFonts w:eastAsia="Calibri" w:cs="Times New Roman"/>
                <w:sz w:val="18"/>
                <w:szCs w:val="20"/>
                <w:lang w:bidi="ar-SA"/>
              </w:rPr>
              <w:t xml:space="preserve">has exhibited compliance. The PCI DSS AOC (above) evidences compliance with this standard. </w:t>
            </w:r>
          </w:p>
        </w:tc>
      </w:tr>
      <w:tr w:rsidR="00B1369E" w:rsidRPr="00B1369E" w14:paraId="40E752C1" w14:textId="77777777" w:rsidTr="00507784">
        <w:trPr>
          <w:cantSplit/>
          <w:trHeight w:val="20"/>
        </w:trPr>
        <w:tc>
          <w:tcPr>
            <w:tcW w:w="10314" w:type="dxa"/>
            <w:gridSpan w:val="2"/>
            <w:shd w:val="clear" w:color="auto" w:fill="D9D9D9" w:themeFill="background1" w:themeFillShade="D9"/>
          </w:tcPr>
          <w:p w14:paraId="4E196FEA" w14:textId="77777777" w:rsidR="00B1369E" w:rsidRPr="00B1369E" w:rsidRDefault="00B1369E" w:rsidP="00B1369E">
            <w:pPr>
              <w:spacing w:before="40" w:after="40"/>
              <w:rPr>
                <w:rFonts w:ascii="Arial Bold" w:eastAsia="Calibri" w:hAnsi="Arial Bold" w:cs="Times New Roman"/>
                <w:b/>
                <w:caps/>
                <w:sz w:val="18"/>
                <w:lang w:val="en-GB" w:bidi="ar-SA"/>
              </w:rPr>
            </w:pPr>
            <w:r w:rsidRPr="00B1369E">
              <w:rPr>
                <w:rFonts w:ascii="Arial Bold" w:eastAsia="Calibri" w:hAnsi="Arial Bold" w:cs="Times New Roman"/>
                <w:b/>
                <w:caps/>
                <w:sz w:val="18"/>
                <w:lang w:val="en-GB" w:bidi="ar-SA"/>
              </w:rPr>
              <w:t>SSAE 16/SOC 1 Reports</w:t>
            </w:r>
          </w:p>
        </w:tc>
      </w:tr>
      <w:tr w:rsidR="00B1369E" w:rsidRPr="00B1369E" w14:paraId="0109616A" w14:textId="77777777" w:rsidTr="00507784">
        <w:trPr>
          <w:cantSplit/>
          <w:trHeight w:val="20"/>
        </w:trPr>
        <w:tc>
          <w:tcPr>
            <w:tcW w:w="3744" w:type="dxa"/>
            <w:tcBorders>
              <w:bottom w:val="double" w:sz="4" w:space="0" w:color="auto"/>
            </w:tcBorders>
            <w:shd w:val="clear" w:color="auto" w:fill="F2F2F2" w:themeFill="background1" w:themeFillShade="F2"/>
          </w:tcPr>
          <w:p w14:paraId="055E7B6D"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Audit Report</w:t>
            </w:r>
          </w:p>
        </w:tc>
        <w:tc>
          <w:tcPr>
            <w:tcW w:w="6570" w:type="dxa"/>
            <w:tcBorders>
              <w:bottom w:val="double" w:sz="4" w:space="0" w:color="auto"/>
            </w:tcBorders>
            <w:shd w:val="clear" w:color="auto" w:fill="F2F2F2" w:themeFill="background1" w:themeFillShade="F2"/>
          </w:tcPr>
          <w:p w14:paraId="14B1B8C0"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Description</w:t>
            </w:r>
          </w:p>
        </w:tc>
      </w:tr>
      <w:tr w:rsidR="00B1369E" w:rsidRPr="00B1369E" w14:paraId="1602D8FF" w14:textId="77777777" w:rsidTr="00507784">
        <w:trPr>
          <w:cantSplit/>
          <w:trHeight w:val="20"/>
        </w:trPr>
        <w:tc>
          <w:tcPr>
            <w:tcW w:w="3744" w:type="dxa"/>
            <w:tcBorders>
              <w:top w:val="double" w:sz="4" w:space="0" w:color="auto"/>
            </w:tcBorders>
          </w:tcPr>
          <w:p w14:paraId="5FEAD3CE" w14:textId="258C5663" w:rsidR="00B1369E" w:rsidRPr="00B1369E" w:rsidRDefault="00A62D0F" w:rsidP="00A62D0F">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Pr>
                <w:rFonts w:eastAsia="Calibri" w:cs="Times New Roman"/>
                <w:sz w:val="18"/>
                <w:szCs w:val="20"/>
                <w:lang w:bidi="ar-SA"/>
              </w:rPr>
              <w:t>SOC 1 Report</w:t>
            </w:r>
          </w:p>
        </w:tc>
        <w:tc>
          <w:tcPr>
            <w:tcW w:w="6570" w:type="dxa"/>
            <w:tcBorders>
              <w:top w:val="double" w:sz="4" w:space="0" w:color="auto"/>
            </w:tcBorders>
          </w:tcPr>
          <w:p w14:paraId="4ECC7DCC" w14:textId="77777777"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Independent Service Auditor’s Report on Controls Placed in Operation and Tests on Operating Effectiveness for in scope colocation sites.</w:t>
            </w:r>
          </w:p>
        </w:tc>
      </w:tr>
      <w:tr w:rsidR="00B1369E" w:rsidRPr="00B1369E" w14:paraId="0819AAEC" w14:textId="77777777" w:rsidTr="00507784">
        <w:trPr>
          <w:cantSplit/>
          <w:trHeight w:val="20"/>
        </w:trPr>
        <w:tc>
          <w:tcPr>
            <w:tcW w:w="10314" w:type="dxa"/>
            <w:gridSpan w:val="2"/>
            <w:shd w:val="clear" w:color="auto" w:fill="D9D9D9" w:themeFill="background1" w:themeFillShade="D9"/>
          </w:tcPr>
          <w:p w14:paraId="021F5C04" w14:textId="77777777" w:rsidR="00B1369E" w:rsidRPr="00B1369E" w:rsidRDefault="00B1369E" w:rsidP="00B1369E">
            <w:pPr>
              <w:spacing w:before="40" w:after="40"/>
              <w:rPr>
                <w:rFonts w:ascii="Arial Bold" w:eastAsia="Calibri" w:hAnsi="Arial Bold" w:cs="Times New Roman"/>
                <w:b/>
                <w:caps/>
                <w:sz w:val="18"/>
                <w:lang w:val="en-GB" w:bidi="ar-SA"/>
              </w:rPr>
            </w:pPr>
            <w:r w:rsidRPr="00B1369E">
              <w:rPr>
                <w:rFonts w:ascii="Arial Bold" w:eastAsia="Calibri" w:hAnsi="Arial Bold" w:cs="Times New Roman"/>
                <w:b/>
                <w:caps/>
                <w:sz w:val="18"/>
                <w:lang w:val="en-GB" w:bidi="ar-SA"/>
              </w:rPr>
              <w:t>AT 101 (Attestation Engagements Standard) with Trust Services Criteria</w:t>
            </w:r>
          </w:p>
        </w:tc>
      </w:tr>
      <w:tr w:rsidR="00B1369E" w:rsidRPr="00B1369E" w14:paraId="46054E9E" w14:textId="77777777" w:rsidTr="00507784">
        <w:trPr>
          <w:cantSplit/>
          <w:trHeight w:val="20"/>
        </w:trPr>
        <w:tc>
          <w:tcPr>
            <w:tcW w:w="3744" w:type="dxa"/>
            <w:tcBorders>
              <w:bottom w:val="double" w:sz="4" w:space="0" w:color="auto"/>
            </w:tcBorders>
            <w:shd w:val="clear" w:color="auto" w:fill="F2F2F2" w:themeFill="background1" w:themeFillShade="F2"/>
          </w:tcPr>
          <w:p w14:paraId="5BBECC51"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Audit Report</w:t>
            </w:r>
          </w:p>
        </w:tc>
        <w:tc>
          <w:tcPr>
            <w:tcW w:w="6570" w:type="dxa"/>
            <w:tcBorders>
              <w:bottom w:val="double" w:sz="4" w:space="0" w:color="auto"/>
            </w:tcBorders>
            <w:shd w:val="clear" w:color="auto" w:fill="F2F2F2" w:themeFill="background1" w:themeFillShade="F2"/>
          </w:tcPr>
          <w:p w14:paraId="41B1332E"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Description</w:t>
            </w:r>
          </w:p>
        </w:tc>
      </w:tr>
      <w:tr w:rsidR="00B1369E" w:rsidRPr="00B1369E" w14:paraId="50E6A7E3" w14:textId="77777777" w:rsidTr="00507784">
        <w:trPr>
          <w:cantSplit/>
          <w:trHeight w:val="20"/>
        </w:trPr>
        <w:tc>
          <w:tcPr>
            <w:tcW w:w="3744" w:type="dxa"/>
            <w:tcBorders>
              <w:top w:val="double" w:sz="4" w:space="0" w:color="auto"/>
            </w:tcBorders>
          </w:tcPr>
          <w:p w14:paraId="54A5D43F" w14:textId="13DAE33E" w:rsidR="00B1369E" w:rsidRPr="00B1369E" w:rsidRDefault="00B1369E" w:rsidP="00A62D0F">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 xml:space="preserve">SOC 2 Report </w:t>
            </w:r>
          </w:p>
        </w:tc>
        <w:tc>
          <w:tcPr>
            <w:tcW w:w="6570" w:type="dxa"/>
            <w:tcBorders>
              <w:top w:val="double" w:sz="4" w:space="0" w:color="auto"/>
            </w:tcBorders>
          </w:tcPr>
          <w:p w14:paraId="78CC4E59" w14:textId="77777777"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Independent Service Auditor’s Report on Controls Placed in Operation and Tests on Operating Effectiveness for in scope colocation sites.</w:t>
            </w:r>
          </w:p>
        </w:tc>
      </w:tr>
      <w:tr w:rsidR="00B1369E" w:rsidRPr="00B1369E" w14:paraId="3598EF02" w14:textId="77777777" w:rsidTr="00507784">
        <w:trPr>
          <w:cantSplit/>
          <w:trHeight w:val="20"/>
        </w:trPr>
        <w:tc>
          <w:tcPr>
            <w:tcW w:w="10314" w:type="dxa"/>
            <w:gridSpan w:val="2"/>
            <w:shd w:val="clear" w:color="auto" w:fill="D9D9D9" w:themeFill="background1" w:themeFillShade="D9"/>
          </w:tcPr>
          <w:p w14:paraId="120A70E0" w14:textId="77777777" w:rsidR="00B1369E" w:rsidRPr="00B1369E" w:rsidRDefault="00B1369E" w:rsidP="00B1369E">
            <w:pPr>
              <w:spacing w:before="40" w:after="40"/>
              <w:rPr>
                <w:rFonts w:ascii="Arial Bold" w:eastAsia="Calibri" w:hAnsi="Arial Bold" w:cs="Times New Roman"/>
                <w:b/>
                <w:caps/>
                <w:sz w:val="18"/>
                <w:lang w:val="en-GB" w:bidi="ar-SA"/>
              </w:rPr>
            </w:pPr>
            <w:r w:rsidRPr="00B1369E">
              <w:rPr>
                <w:rFonts w:ascii="Arial Bold" w:eastAsia="Calibri" w:hAnsi="Arial Bold" w:cs="Times New Roman"/>
                <w:b/>
                <w:caps/>
                <w:sz w:val="18"/>
                <w:lang w:val="en-GB" w:bidi="ar-SA"/>
              </w:rPr>
              <w:t>ISO/ISE 27001:2005 Certification</w:t>
            </w:r>
          </w:p>
        </w:tc>
      </w:tr>
      <w:tr w:rsidR="00B1369E" w:rsidRPr="00B1369E" w14:paraId="67E1E40A" w14:textId="77777777" w:rsidTr="00507784">
        <w:trPr>
          <w:cantSplit/>
          <w:trHeight w:val="20"/>
        </w:trPr>
        <w:tc>
          <w:tcPr>
            <w:tcW w:w="3744" w:type="dxa"/>
            <w:tcBorders>
              <w:bottom w:val="double" w:sz="4" w:space="0" w:color="auto"/>
            </w:tcBorders>
            <w:shd w:val="clear" w:color="auto" w:fill="F2F2F2" w:themeFill="background1" w:themeFillShade="F2"/>
          </w:tcPr>
          <w:p w14:paraId="4715EAF4"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Certificate</w:t>
            </w:r>
          </w:p>
        </w:tc>
        <w:tc>
          <w:tcPr>
            <w:tcW w:w="6570" w:type="dxa"/>
            <w:tcBorders>
              <w:bottom w:val="double" w:sz="4" w:space="0" w:color="auto"/>
            </w:tcBorders>
            <w:shd w:val="clear" w:color="auto" w:fill="F2F2F2" w:themeFill="background1" w:themeFillShade="F2"/>
          </w:tcPr>
          <w:p w14:paraId="2EE37A91" w14:textId="77777777" w:rsidR="00B1369E" w:rsidRPr="00B1369E" w:rsidRDefault="00B1369E" w:rsidP="00B1369E">
            <w:pPr>
              <w:spacing w:before="40" w:after="40"/>
              <w:rPr>
                <w:rFonts w:eastAsia="Calibri" w:cs="Times New Roman"/>
                <w:b/>
                <w:sz w:val="18"/>
                <w:szCs w:val="20"/>
                <w:lang w:bidi="ar-SA"/>
              </w:rPr>
            </w:pPr>
            <w:r w:rsidRPr="00B1369E">
              <w:rPr>
                <w:rFonts w:eastAsia="Calibri" w:cs="Times New Roman"/>
                <w:b/>
                <w:sz w:val="18"/>
                <w:szCs w:val="20"/>
                <w:lang w:bidi="ar-SA"/>
              </w:rPr>
              <w:t>Description</w:t>
            </w:r>
          </w:p>
        </w:tc>
      </w:tr>
      <w:tr w:rsidR="00B1369E" w:rsidRPr="00B1369E" w14:paraId="1BA3857D" w14:textId="77777777" w:rsidTr="00507784">
        <w:trPr>
          <w:cantSplit/>
          <w:trHeight w:val="20"/>
        </w:trPr>
        <w:tc>
          <w:tcPr>
            <w:tcW w:w="3744" w:type="dxa"/>
            <w:tcBorders>
              <w:top w:val="double" w:sz="4" w:space="0" w:color="auto"/>
              <w:bottom w:val="single" w:sz="4" w:space="0" w:color="auto"/>
            </w:tcBorders>
          </w:tcPr>
          <w:p w14:paraId="5FF64BE4" w14:textId="77777777"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ISO 27001 Certificate</w:t>
            </w:r>
          </w:p>
        </w:tc>
        <w:tc>
          <w:tcPr>
            <w:tcW w:w="6570" w:type="dxa"/>
            <w:tcBorders>
              <w:top w:val="double" w:sz="4" w:space="0" w:color="auto"/>
              <w:bottom w:val="single" w:sz="4" w:space="0" w:color="auto"/>
            </w:tcBorders>
          </w:tcPr>
          <w:p w14:paraId="06CA5820" w14:textId="4AAACF5E" w:rsidR="00B1369E" w:rsidRPr="00B1369E" w:rsidRDefault="00B1369E"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sidRPr="00B1369E">
              <w:rPr>
                <w:rFonts w:eastAsia="Calibri" w:cs="Times New Roman"/>
                <w:sz w:val="18"/>
                <w:szCs w:val="20"/>
                <w:lang w:bidi="ar-SA"/>
              </w:rPr>
              <w:t xml:space="preserve">Certification provided by an accredited certification body that </w:t>
            </w:r>
            <w:r w:rsidR="00A86D7F">
              <w:rPr>
                <w:rFonts w:eastAsia="Calibri" w:cs="Times New Roman"/>
                <w:sz w:val="18"/>
                <w:szCs w:val="20"/>
                <w:lang w:bidi="ar-SA"/>
              </w:rPr>
              <w:t>IBM</w:t>
            </w:r>
            <w:r w:rsidR="00EA671A">
              <w:rPr>
                <w:rFonts w:eastAsia="Calibri" w:cs="Times New Roman"/>
                <w:sz w:val="18"/>
                <w:szCs w:val="20"/>
                <w:lang w:bidi="ar-SA"/>
              </w:rPr>
              <w:t xml:space="preserve"> </w:t>
            </w:r>
            <w:r w:rsidRPr="00B1369E">
              <w:rPr>
                <w:rFonts w:eastAsia="Calibri" w:cs="Times New Roman"/>
                <w:sz w:val="18"/>
                <w:szCs w:val="20"/>
                <w:lang w:bidi="ar-SA"/>
              </w:rPr>
              <w:t>has demonstrated compliance with this standard.</w:t>
            </w:r>
          </w:p>
        </w:tc>
      </w:tr>
      <w:tr w:rsidR="00A62D0F" w:rsidRPr="00B1369E" w14:paraId="155E8AE9" w14:textId="77777777" w:rsidTr="00507784">
        <w:trPr>
          <w:cantSplit/>
          <w:trHeight w:val="20"/>
        </w:trPr>
        <w:tc>
          <w:tcPr>
            <w:tcW w:w="3744" w:type="dxa"/>
            <w:tcBorders>
              <w:top w:val="single" w:sz="4" w:space="0" w:color="auto"/>
            </w:tcBorders>
          </w:tcPr>
          <w:p w14:paraId="1AFEA409" w14:textId="6703CB95" w:rsidR="00A62D0F" w:rsidRPr="00B1369E" w:rsidRDefault="00A62D0F" w:rsidP="00B1369E">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Pr>
                <w:rFonts w:eastAsia="Calibri" w:cs="Times New Roman"/>
                <w:sz w:val="18"/>
                <w:szCs w:val="20"/>
                <w:lang w:bidi="ar-SA"/>
              </w:rPr>
              <w:t>ISO27001 Customer Facing Statement of Applicability (SOA)</w:t>
            </w:r>
          </w:p>
        </w:tc>
        <w:tc>
          <w:tcPr>
            <w:tcW w:w="6570" w:type="dxa"/>
            <w:tcBorders>
              <w:top w:val="single" w:sz="4" w:space="0" w:color="auto"/>
            </w:tcBorders>
          </w:tcPr>
          <w:p w14:paraId="35E7B6DA" w14:textId="678E8CE9" w:rsidR="00A62D0F" w:rsidRPr="00B1369E" w:rsidRDefault="00A62D0F" w:rsidP="00A62D0F">
            <w:pPr>
              <w:numPr>
                <w:ilvl w:val="12"/>
                <w:numId w:val="0"/>
              </w:numPr>
              <w:overflowPunct w:val="0"/>
              <w:autoSpaceDE w:val="0"/>
              <w:autoSpaceDN w:val="0"/>
              <w:adjustRightInd w:val="0"/>
              <w:spacing w:before="40" w:after="40"/>
              <w:textAlignment w:val="baseline"/>
              <w:rPr>
                <w:rFonts w:eastAsia="Calibri" w:cs="Times New Roman"/>
                <w:sz w:val="18"/>
                <w:szCs w:val="20"/>
                <w:lang w:bidi="ar-SA"/>
              </w:rPr>
            </w:pPr>
            <w:r>
              <w:rPr>
                <w:rFonts w:eastAsia="Calibri" w:cs="Times New Roman"/>
                <w:sz w:val="18"/>
                <w:szCs w:val="20"/>
                <w:lang w:bidi="ar-SA"/>
              </w:rPr>
              <w:t>Matrix noting control applicability to in-scope services</w:t>
            </w:r>
            <w:r w:rsidR="000E6A30">
              <w:rPr>
                <w:rFonts w:eastAsia="Calibri" w:cs="Times New Roman"/>
                <w:sz w:val="18"/>
                <w:szCs w:val="20"/>
                <w:lang w:bidi="ar-SA"/>
              </w:rPr>
              <w:t xml:space="preserve">. </w:t>
            </w:r>
            <w:r>
              <w:rPr>
                <w:rFonts w:eastAsia="Calibri" w:cs="Times New Roman"/>
                <w:sz w:val="18"/>
                <w:szCs w:val="20"/>
                <w:lang w:bidi="ar-SA"/>
              </w:rPr>
              <w:t>This is a redacted, customer facing version of the SOA.</w:t>
            </w:r>
          </w:p>
        </w:tc>
      </w:tr>
    </w:tbl>
    <w:p w14:paraId="6B44D949" w14:textId="77777777" w:rsidR="00B1369E" w:rsidRPr="00B1369E" w:rsidRDefault="00B1369E" w:rsidP="00B1369E"/>
    <w:p w14:paraId="4B50AD4B" w14:textId="77777777" w:rsidR="00B1369E" w:rsidRPr="00BE3890" w:rsidRDefault="00B1369E" w:rsidP="00BE3890">
      <w:pPr>
        <w:pStyle w:val="Heading1"/>
      </w:pPr>
      <w:bookmarkStart w:id="38" w:name="_Ref358201627"/>
      <w:bookmarkStart w:id="39" w:name="_Toc383005754"/>
      <w:bookmarkStart w:id="40" w:name="_Toc435792014"/>
      <w:bookmarkStart w:id="41" w:name="_Toc500426936"/>
      <w:r w:rsidRPr="00BE3890">
        <w:lastRenderedPageBreak/>
        <w:t>Audit Evidence Distribution Policy</w:t>
      </w:r>
      <w:bookmarkEnd w:id="38"/>
      <w:bookmarkEnd w:id="39"/>
      <w:bookmarkEnd w:id="40"/>
      <w:bookmarkEnd w:id="41"/>
    </w:p>
    <w:p w14:paraId="7115061D" w14:textId="77777777" w:rsidR="00B1369E" w:rsidRPr="00BE3890" w:rsidRDefault="00B1369E" w:rsidP="00BE3890">
      <w:pPr>
        <w:pStyle w:val="Heading2"/>
      </w:pPr>
      <w:bookmarkStart w:id="42" w:name="_Toc383005755"/>
      <w:bookmarkStart w:id="43" w:name="_Toc435792015"/>
      <w:bookmarkStart w:id="44" w:name="_Toc500426937"/>
      <w:r w:rsidRPr="00BE3890">
        <w:t>Restrictions</w:t>
      </w:r>
      <w:bookmarkEnd w:id="42"/>
      <w:bookmarkEnd w:id="43"/>
      <w:bookmarkEnd w:id="44"/>
    </w:p>
    <w:p w14:paraId="4E9867A4" w14:textId="28A97840" w:rsidR="00B1369E" w:rsidRPr="00B1369E" w:rsidRDefault="0093488E" w:rsidP="00B1369E">
      <w:r>
        <w:t xml:space="preserve">IBM </w:t>
      </w:r>
      <w:r w:rsidR="00EA671A">
        <w:t xml:space="preserve">GTS SS </w:t>
      </w:r>
      <w:r>
        <w:t>is the governing policy for classification of data</w:t>
      </w:r>
      <w:r w:rsidR="00E521C5">
        <w:t xml:space="preserve">. </w:t>
      </w:r>
      <w:r w:rsidR="00B1369E" w:rsidRPr="00B1369E">
        <w:t xml:space="preserve">In addition to these corporate directives, </w:t>
      </w:r>
      <w:r w:rsidR="00A86D7F">
        <w:t>IBM</w:t>
      </w:r>
      <w:r w:rsidR="00B1369E" w:rsidRPr="00B1369E">
        <w:t>– in a subordinate policy – implements the following restrictions on the distribution of information to protect its copyrights;</w:t>
      </w:r>
    </w:p>
    <w:p w14:paraId="47CCE801" w14:textId="21E97877" w:rsidR="00B1369E" w:rsidRPr="00B1369E" w:rsidRDefault="00B1369E" w:rsidP="005368F1">
      <w:pPr>
        <w:pStyle w:val="numberlist1"/>
        <w:numPr>
          <w:ilvl w:val="0"/>
          <w:numId w:val="12"/>
        </w:numPr>
      </w:pPr>
      <w:r w:rsidRPr="00B1369E">
        <w:t xml:space="preserve">Infrastructure details (system names, functions, IP addresses, locations, vulnerabilities, configuration details) are not allowed to leave </w:t>
      </w:r>
      <w:r w:rsidR="00A86D7F">
        <w:t>IBM</w:t>
      </w:r>
      <w:r w:rsidR="0093488E">
        <w:t xml:space="preserve"> </w:t>
      </w:r>
      <w:r w:rsidRPr="00B1369E">
        <w:t>control – even under NDA.</w:t>
      </w:r>
    </w:p>
    <w:p w14:paraId="1AED37A5" w14:textId="5D6A21F8" w:rsidR="00B1369E" w:rsidRPr="00B1369E" w:rsidRDefault="00B1369E" w:rsidP="005B5FAD">
      <w:pPr>
        <w:pStyle w:val="numberlist1"/>
      </w:pPr>
      <w:r w:rsidRPr="00B1369E">
        <w:t xml:space="preserve">For procedures involving design, product implementation and documents that are labelled </w:t>
      </w:r>
      <w:r w:rsidRPr="00B1369E">
        <w:rPr>
          <w:b/>
        </w:rPr>
        <w:t>Confidential</w:t>
      </w:r>
      <w:r w:rsidRPr="00B1369E">
        <w:t xml:space="preserve"> only the table of contents will be available for audit.</w:t>
      </w:r>
    </w:p>
    <w:p w14:paraId="197C8125" w14:textId="77777777" w:rsidR="00B1369E" w:rsidRPr="00B1369E" w:rsidRDefault="00B1369E" w:rsidP="00507784">
      <w:pPr>
        <w:pStyle w:val="continue1"/>
      </w:pPr>
    </w:p>
    <w:p w14:paraId="587337DD" w14:textId="77777777" w:rsidR="00B1369E" w:rsidRPr="00BE3890" w:rsidRDefault="00B1369E" w:rsidP="00BE3890">
      <w:pPr>
        <w:pStyle w:val="Heading2"/>
      </w:pPr>
      <w:bookmarkStart w:id="45" w:name="_Toc383005756"/>
      <w:bookmarkStart w:id="46" w:name="_Toc435792016"/>
      <w:bookmarkStart w:id="47" w:name="_Toc500426938"/>
      <w:r w:rsidRPr="00BE3890">
        <w:t>Distribution Matrix</w:t>
      </w:r>
      <w:bookmarkEnd w:id="45"/>
      <w:bookmarkEnd w:id="46"/>
      <w:bookmarkEnd w:id="47"/>
    </w:p>
    <w:p w14:paraId="573307CE" w14:textId="058F1452" w:rsidR="00B1369E" w:rsidRPr="00B1369E" w:rsidRDefault="002B5F88" w:rsidP="00B1369E">
      <w:r>
        <w:t>For all audits, t</w:t>
      </w:r>
      <w:r w:rsidR="00772C48">
        <w:t xml:space="preserve">he control owner must </w:t>
      </w:r>
      <w:r>
        <w:t xml:space="preserve">approve evidence that is provided to an </w:t>
      </w:r>
      <w:r w:rsidR="00772C48">
        <w:t>auditor.</w:t>
      </w:r>
    </w:p>
    <w:p w14:paraId="3D6255B5" w14:textId="4A199327" w:rsidR="00B1369E" w:rsidRPr="00B1369E" w:rsidRDefault="005909CA" w:rsidP="005909CA">
      <w:pPr>
        <w:pStyle w:val="TableTitleLine"/>
      </w:pPr>
      <w:bookmarkStart w:id="48" w:name="_Toc360098531"/>
      <w:bookmarkStart w:id="49" w:name="_Toc383005735"/>
      <w:bookmarkStart w:id="50" w:name="_Toc500426950"/>
      <w:r w:rsidRPr="005B3E4D">
        <w:t xml:space="preserve">Table </w:t>
      </w:r>
      <w:r w:rsidR="00607325">
        <w:fldChar w:fldCharType="begin"/>
      </w:r>
      <w:r w:rsidR="00607325">
        <w:instrText xml:space="preserve"> STYLEREF 1 \s </w:instrText>
      </w:r>
      <w:r w:rsidR="00607325">
        <w:fldChar w:fldCharType="separate"/>
      </w:r>
      <w:r w:rsidR="001B4571">
        <w:rPr>
          <w:noProof/>
        </w:rPr>
        <w:t>5</w:t>
      </w:r>
      <w:r w:rsidR="00607325">
        <w:rPr>
          <w:noProof/>
        </w:rPr>
        <w:fldChar w:fldCharType="end"/>
      </w:r>
      <w:r w:rsidRPr="005B3E4D">
        <w:noBreakHyphen/>
      </w:r>
      <w:r w:rsidR="00607325">
        <w:fldChar w:fldCharType="begin"/>
      </w:r>
      <w:r w:rsidR="00607325">
        <w:instrText xml:space="preserve"> SEQ Table \* ARABIC \s 1 </w:instrText>
      </w:r>
      <w:r w:rsidR="00607325">
        <w:fldChar w:fldCharType="separate"/>
      </w:r>
      <w:r w:rsidR="001B4571">
        <w:rPr>
          <w:noProof/>
        </w:rPr>
        <w:t>1</w:t>
      </w:r>
      <w:r w:rsidR="00607325">
        <w:rPr>
          <w:noProof/>
        </w:rPr>
        <w:fldChar w:fldCharType="end"/>
      </w:r>
      <w:r w:rsidRPr="005B3E4D">
        <w:t xml:space="preserve">: </w:t>
      </w:r>
      <w:r w:rsidR="00B1369E" w:rsidRPr="00B1369E">
        <w:t>Audit Evidence Distribution Matrix</w:t>
      </w:r>
      <w:bookmarkEnd w:id="48"/>
      <w:bookmarkEnd w:id="49"/>
      <w:bookmarkEnd w:id="50"/>
    </w:p>
    <w:tbl>
      <w:tblPr>
        <w:tblW w:w="10656"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1719"/>
        <w:gridCol w:w="1910"/>
        <w:gridCol w:w="1910"/>
        <w:gridCol w:w="1910"/>
        <w:gridCol w:w="3207"/>
      </w:tblGrid>
      <w:tr w:rsidR="000D6124" w:rsidRPr="00B1369E" w14:paraId="6630C527" w14:textId="77777777" w:rsidTr="005909CA">
        <w:trPr>
          <w:cantSplit/>
          <w:tblHeader/>
        </w:trPr>
        <w:tc>
          <w:tcPr>
            <w:tcW w:w="1724" w:type="dxa"/>
            <w:shd w:val="clear" w:color="auto" w:fill="DBDBDB" w:themeFill="text1" w:themeFillTint="33"/>
            <w:vAlign w:val="center"/>
            <w:hideMark/>
          </w:tcPr>
          <w:p w14:paraId="007EC731" w14:textId="77777777" w:rsidR="000D6124" w:rsidRPr="00B1369E" w:rsidRDefault="000D6124" w:rsidP="00B1369E">
            <w:pPr>
              <w:spacing w:before="0" w:after="0"/>
              <w:jc w:val="center"/>
              <w:rPr>
                <w:rFonts w:eastAsia="Times New Roman" w:cs="Times New Roman"/>
                <w:b/>
                <w:sz w:val="18"/>
                <w:szCs w:val="24"/>
                <w:lang w:bidi="ar-SA"/>
              </w:rPr>
            </w:pPr>
            <w:r w:rsidRPr="00B1369E">
              <w:rPr>
                <w:rFonts w:eastAsia="Times New Roman" w:cs="Times New Roman"/>
                <w:b/>
                <w:sz w:val="18"/>
                <w:szCs w:val="24"/>
                <w:lang w:bidi="ar-SA"/>
              </w:rPr>
              <w:t>Evidence Type</w:t>
            </w:r>
          </w:p>
        </w:tc>
        <w:tc>
          <w:tcPr>
            <w:tcW w:w="1914" w:type="dxa"/>
            <w:shd w:val="clear" w:color="auto" w:fill="DBDBDB" w:themeFill="text1" w:themeFillTint="33"/>
            <w:vAlign w:val="center"/>
            <w:hideMark/>
          </w:tcPr>
          <w:p w14:paraId="1AAC4C63" w14:textId="77777777" w:rsidR="000D6124" w:rsidRPr="00B1369E" w:rsidRDefault="000D6124" w:rsidP="00B1369E">
            <w:pPr>
              <w:spacing w:before="0" w:after="0"/>
              <w:jc w:val="center"/>
              <w:rPr>
                <w:rFonts w:eastAsia="Times New Roman" w:cs="Times New Roman"/>
                <w:b/>
                <w:sz w:val="18"/>
                <w:szCs w:val="24"/>
                <w:lang w:bidi="ar-SA"/>
              </w:rPr>
            </w:pPr>
            <w:r w:rsidRPr="00B1369E">
              <w:rPr>
                <w:rFonts w:eastAsia="Times New Roman" w:cs="Times New Roman"/>
                <w:b/>
                <w:sz w:val="18"/>
                <w:szCs w:val="24"/>
                <w:lang w:bidi="ar-SA"/>
              </w:rPr>
              <w:t>Commercial Customer</w:t>
            </w:r>
          </w:p>
        </w:tc>
        <w:tc>
          <w:tcPr>
            <w:tcW w:w="1914" w:type="dxa"/>
            <w:shd w:val="clear" w:color="auto" w:fill="DBDBDB" w:themeFill="text1" w:themeFillTint="33"/>
            <w:vAlign w:val="center"/>
            <w:hideMark/>
          </w:tcPr>
          <w:p w14:paraId="5EFB4489" w14:textId="77777777" w:rsidR="000D6124" w:rsidRPr="00B1369E" w:rsidRDefault="000D6124" w:rsidP="00B1369E">
            <w:pPr>
              <w:spacing w:before="0" w:after="0"/>
              <w:jc w:val="center"/>
              <w:rPr>
                <w:rFonts w:eastAsia="Times New Roman" w:cs="Times New Roman"/>
                <w:b/>
                <w:sz w:val="18"/>
                <w:szCs w:val="24"/>
                <w:lang w:bidi="ar-SA"/>
              </w:rPr>
            </w:pPr>
            <w:r w:rsidRPr="00B1369E">
              <w:rPr>
                <w:rFonts w:eastAsia="Times New Roman" w:cs="Times New Roman"/>
                <w:b/>
                <w:sz w:val="18"/>
                <w:szCs w:val="24"/>
                <w:lang w:bidi="ar-SA"/>
              </w:rPr>
              <w:t>Federal Customer</w:t>
            </w:r>
          </w:p>
        </w:tc>
        <w:tc>
          <w:tcPr>
            <w:tcW w:w="1914" w:type="dxa"/>
            <w:shd w:val="clear" w:color="auto" w:fill="DBDBDB" w:themeFill="text1" w:themeFillTint="33"/>
            <w:vAlign w:val="center"/>
          </w:tcPr>
          <w:p w14:paraId="6881278D" w14:textId="5D816871" w:rsidR="000D6124" w:rsidRPr="00B1369E" w:rsidRDefault="00A86D7F" w:rsidP="00B1369E">
            <w:pPr>
              <w:spacing w:before="0" w:after="0"/>
              <w:jc w:val="center"/>
              <w:rPr>
                <w:rFonts w:eastAsia="Times New Roman" w:cs="Times New Roman"/>
                <w:b/>
                <w:sz w:val="18"/>
                <w:szCs w:val="24"/>
                <w:lang w:bidi="ar-SA"/>
              </w:rPr>
            </w:pPr>
            <w:r>
              <w:rPr>
                <w:rFonts w:eastAsia="Times New Roman" w:cs="Times New Roman"/>
                <w:b/>
                <w:sz w:val="18"/>
                <w:szCs w:val="24"/>
                <w:lang w:bidi="ar-SA"/>
              </w:rPr>
              <w:t>IBM</w:t>
            </w:r>
            <w:r w:rsidR="00EA671A">
              <w:rPr>
                <w:rFonts w:eastAsia="Times New Roman" w:cs="Times New Roman"/>
                <w:b/>
                <w:sz w:val="18"/>
                <w:szCs w:val="24"/>
                <w:lang w:bidi="ar-SA"/>
              </w:rPr>
              <w:t xml:space="preserve"> </w:t>
            </w:r>
            <w:r w:rsidR="000D6124" w:rsidRPr="00B1369E">
              <w:rPr>
                <w:rFonts w:eastAsia="Times New Roman" w:cs="Times New Roman"/>
                <w:b/>
                <w:sz w:val="18"/>
                <w:szCs w:val="24"/>
                <w:lang w:bidi="ar-SA"/>
              </w:rPr>
              <w:t>Third-party Auditors</w:t>
            </w:r>
          </w:p>
        </w:tc>
        <w:tc>
          <w:tcPr>
            <w:tcW w:w="3215" w:type="dxa"/>
            <w:shd w:val="clear" w:color="auto" w:fill="DBDBDB" w:themeFill="text1" w:themeFillTint="33"/>
            <w:vAlign w:val="center"/>
            <w:hideMark/>
          </w:tcPr>
          <w:p w14:paraId="3DD74468" w14:textId="77777777" w:rsidR="000D6124" w:rsidRPr="00B1369E" w:rsidRDefault="000D6124" w:rsidP="00B1369E">
            <w:pPr>
              <w:spacing w:before="0" w:after="0"/>
              <w:jc w:val="center"/>
              <w:rPr>
                <w:rFonts w:eastAsia="Times New Roman" w:cs="Times New Roman"/>
                <w:b/>
                <w:sz w:val="18"/>
                <w:szCs w:val="24"/>
                <w:lang w:bidi="ar-SA"/>
              </w:rPr>
            </w:pPr>
            <w:proofErr w:type="spellStart"/>
            <w:r w:rsidRPr="00B1369E">
              <w:rPr>
                <w:rFonts w:eastAsia="Times New Roman" w:cs="Times New Roman"/>
                <w:b/>
                <w:sz w:val="18"/>
                <w:szCs w:val="24"/>
                <w:lang w:bidi="ar-SA"/>
              </w:rPr>
              <w:t>GxP</w:t>
            </w:r>
            <w:proofErr w:type="spellEnd"/>
            <w:r w:rsidRPr="00B1369E">
              <w:rPr>
                <w:rFonts w:eastAsia="Times New Roman" w:cs="Times New Roman"/>
                <w:b/>
                <w:sz w:val="18"/>
                <w:szCs w:val="24"/>
                <w:lang w:bidi="ar-SA"/>
              </w:rPr>
              <w:t xml:space="preserve"> Customer</w:t>
            </w:r>
          </w:p>
          <w:p w14:paraId="0668311C" w14:textId="683585E1" w:rsidR="000D6124" w:rsidRPr="00B1369E" w:rsidRDefault="000D6124" w:rsidP="005909CA">
            <w:pPr>
              <w:spacing w:before="0" w:after="0"/>
              <w:jc w:val="center"/>
              <w:rPr>
                <w:rFonts w:eastAsia="Times New Roman" w:cs="Times New Roman"/>
                <w:b/>
                <w:sz w:val="18"/>
                <w:szCs w:val="24"/>
                <w:lang w:bidi="ar-SA"/>
              </w:rPr>
            </w:pPr>
            <w:r w:rsidRPr="00B1369E">
              <w:rPr>
                <w:rFonts w:eastAsia="Times New Roman" w:cs="Times New Roman"/>
                <w:b/>
                <w:sz w:val="18"/>
                <w:szCs w:val="24"/>
                <w:lang w:bidi="ar-SA"/>
              </w:rPr>
              <w:t>Pre-Contract</w:t>
            </w:r>
          </w:p>
        </w:tc>
      </w:tr>
      <w:tr w:rsidR="000D6124" w:rsidRPr="00B1369E" w14:paraId="4F42305A" w14:textId="77777777" w:rsidTr="005909CA">
        <w:trPr>
          <w:cantSplit/>
        </w:trPr>
        <w:tc>
          <w:tcPr>
            <w:tcW w:w="1724" w:type="dxa"/>
            <w:vAlign w:val="center"/>
            <w:hideMark/>
          </w:tcPr>
          <w:p w14:paraId="075FBE42" w14:textId="77777777" w:rsidR="000D6124" w:rsidRPr="00B1369E" w:rsidRDefault="000D6124" w:rsidP="00B1369E">
            <w:pPr>
              <w:spacing w:after="0"/>
              <w:rPr>
                <w:sz w:val="18"/>
              </w:rPr>
            </w:pPr>
            <w:r w:rsidRPr="00B1369E">
              <w:rPr>
                <w:sz w:val="18"/>
              </w:rPr>
              <w:t>Policy</w:t>
            </w:r>
          </w:p>
        </w:tc>
        <w:tc>
          <w:tcPr>
            <w:tcW w:w="1914" w:type="dxa"/>
            <w:vAlign w:val="center"/>
            <w:hideMark/>
          </w:tcPr>
          <w:p w14:paraId="7F12AC0F" w14:textId="77777777" w:rsidR="000D6124" w:rsidRPr="00B1369E" w:rsidRDefault="000D6124" w:rsidP="00B1369E">
            <w:pPr>
              <w:spacing w:after="0"/>
              <w:rPr>
                <w:sz w:val="18"/>
              </w:rPr>
            </w:pPr>
            <w:r w:rsidRPr="00B1369E">
              <w:rPr>
                <w:sz w:val="18"/>
              </w:rPr>
              <w:t>Show</w:t>
            </w:r>
          </w:p>
        </w:tc>
        <w:tc>
          <w:tcPr>
            <w:tcW w:w="1914" w:type="dxa"/>
            <w:vAlign w:val="center"/>
            <w:hideMark/>
          </w:tcPr>
          <w:p w14:paraId="0A5FC399" w14:textId="77777777" w:rsidR="000D6124" w:rsidRPr="00B1369E" w:rsidRDefault="000D6124" w:rsidP="00B1369E">
            <w:pPr>
              <w:spacing w:after="0"/>
              <w:rPr>
                <w:sz w:val="18"/>
              </w:rPr>
            </w:pPr>
            <w:r w:rsidRPr="00B1369E">
              <w:rPr>
                <w:sz w:val="18"/>
              </w:rPr>
              <w:t>Show **</w:t>
            </w:r>
          </w:p>
        </w:tc>
        <w:tc>
          <w:tcPr>
            <w:tcW w:w="1914" w:type="dxa"/>
            <w:vAlign w:val="center"/>
            <w:hideMark/>
          </w:tcPr>
          <w:p w14:paraId="16DF79B6" w14:textId="77777777" w:rsidR="000D6124" w:rsidRPr="00B1369E" w:rsidRDefault="000D6124" w:rsidP="00B1369E">
            <w:pPr>
              <w:spacing w:after="0"/>
              <w:rPr>
                <w:sz w:val="18"/>
              </w:rPr>
            </w:pPr>
            <w:r w:rsidRPr="00B1369E">
              <w:rPr>
                <w:sz w:val="18"/>
              </w:rPr>
              <w:t>Distribute (Note)</w:t>
            </w:r>
          </w:p>
        </w:tc>
        <w:tc>
          <w:tcPr>
            <w:tcW w:w="3215" w:type="dxa"/>
            <w:vAlign w:val="center"/>
          </w:tcPr>
          <w:p w14:paraId="1F2AFD40" w14:textId="77777777" w:rsidR="000D6124" w:rsidRPr="00B1369E" w:rsidRDefault="000D6124" w:rsidP="00B1369E">
            <w:pPr>
              <w:spacing w:after="0"/>
              <w:rPr>
                <w:sz w:val="18"/>
              </w:rPr>
            </w:pPr>
            <w:r w:rsidRPr="00B1369E">
              <w:rPr>
                <w:sz w:val="18"/>
              </w:rPr>
              <w:t>Show</w:t>
            </w:r>
          </w:p>
        </w:tc>
      </w:tr>
      <w:tr w:rsidR="000D6124" w:rsidRPr="00B1369E" w14:paraId="3D936C20" w14:textId="77777777" w:rsidTr="005909CA">
        <w:trPr>
          <w:cantSplit/>
        </w:trPr>
        <w:tc>
          <w:tcPr>
            <w:tcW w:w="1724" w:type="dxa"/>
            <w:vAlign w:val="center"/>
          </w:tcPr>
          <w:p w14:paraId="3945DE10" w14:textId="77777777" w:rsidR="000D6124" w:rsidRPr="00B1369E" w:rsidRDefault="000D6124" w:rsidP="00B1369E">
            <w:pPr>
              <w:spacing w:after="0"/>
              <w:rPr>
                <w:sz w:val="18"/>
              </w:rPr>
            </w:pPr>
            <w:r w:rsidRPr="00B1369E">
              <w:rPr>
                <w:sz w:val="18"/>
              </w:rPr>
              <w:t>Process</w:t>
            </w:r>
          </w:p>
        </w:tc>
        <w:tc>
          <w:tcPr>
            <w:tcW w:w="1914" w:type="dxa"/>
            <w:vAlign w:val="center"/>
          </w:tcPr>
          <w:p w14:paraId="4864DED5" w14:textId="77777777" w:rsidR="000D6124" w:rsidRPr="00B1369E" w:rsidRDefault="000D6124" w:rsidP="00B1369E">
            <w:pPr>
              <w:spacing w:after="0"/>
              <w:rPr>
                <w:sz w:val="18"/>
              </w:rPr>
            </w:pPr>
            <w:r w:rsidRPr="00B1369E">
              <w:rPr>
                <w:sz w:val="18"/>
              </w:rPr>
              <w:t>Show</w:t>
            </w:r>
          </w:p>
        </w:tc>
        <w:tc>
          <w:tcPr>
            <w:tcW w:w="1914" w:type="dxa"/>
            <w:vAlign w:val="center"/>
          </w:tcPr>
          <w:p w14:paraId="60C5751B" w14:textId="77777777" w:rsidR="000D6124" w:rsidRPr="00B1369E" w:rsidRDefault="000D6124" w:rsidP="00B1369E">
            <w:pPr>
              <w:spacing w:after="0"/>
              <w:rPr>
                <w:sz w:val="18"/>
              </w:rPr>
            </w:pPr>
            <w:r w:rsidRPr="00B1369E">
              <w:rPr>
                <w:sz w:val="18"/>
              </w:rPr>
              <w:t>Show **</w:t>
            </w:r>
          </w:p>
        </w:tc>
        <w:tc>
          <w:tcPr>
            <w:tcW w:w="1914" w:type="dxa"/>
            <w:vAlign w:val="center"/>
          </w:tcPr>
          <w:p w14:paraId="122A83F3" w14:textId="77777777" w:rsidR="000D6124" w:rsidRPr="00B1369E" w:rsidRDefault="000D6124" w:rsidP="00B1369E">
            <w:pPr>
              <w:spacing w:after="0"/>
              <w:rPr>
                <w:sz w:val="18"/>
              </w:rPr>
            </w:pPr>
            <w:r w:rsidRPr="00B1369E">
              <w:rPr>
                <w:sz w:val="18"/>
              </w:rPr>
              <w:t>Distribute (Note)</w:t>
            </w:r>
          </w:p>
        </w:tc>
        <w:tc>
          <w:tcPr>
            <w:tcW w:w="3215" w:type="dxa"/>
            <w:vAlign w:val="center"/>
          </w:tcPr>
          <w:p w14:paraId="284D6E76" w14:textId="77777777" w:rsidR="000D6124" w:rsidRPr="00B1369E" w:rsidRDefault="000D6124" w:rsidP="00B1369E">
            <w:pPr>
              <w:spacing w:after="0"/>
              <w:rPr>
                <w:sz w:val="18"/>
              </w:rPr>
            </w:pPr>
            <w:r w:rsidRPr="00B1369E">
              <w:rPr>
                <w:sz w:val="18"/>
              </w:rPr>
              <w:t>Show</w:t>
            </w:r>
          </w:p>
        </w:tc>
      </w:tr>
      <w:tr w:rsidR="000D6124" w:rsidRPr="00B1369E" w14:paraId="79BD3215" w14:textId="77777777" w:rsidTr="005909CA">
        <w:trPr>
          <w:cantSplit/>
        </w:trPr>
        <w:tc>
          <w:tcPr>
            <w:tcW w:w="1724" w:type="dxa"/>
            <w:vAlign w:val="center"/>
            <w:hideMark/>
          </w:tcPr>
          <w:p w14:paraId="5BA7D77F" w14:textId="77777777" w:rsidR="000D6124" w:rsidRPr="00B1369E" w:rsidRDefault="000D6124" w:rsidP="00B1369E">
            <w:pPr>
              <w:spacing w:after="0"/>
              <w:rPr>
                <w:sz w:val="18"/>
              </w:rPr>
            </w:pPr>
            <w:r w:rsidRPr="00B1369E">
              <w:rPr>
                <w:sz w:val="18"/>
              </w:rPr>
              <w:t>Procedures</w:t>
            </w:r>
          </w:p>
        </w:tc>
        <w:tc>
          <w:tcPr>
            <w:tcW w:w="1914" w:type="dxa"/>
            <w:vAlign w:val="center"/>
            <w:hideMark/>
          </w:tcPr>
          <w:p w14:paraId="5103151A" w14:textId="77777777" w:rsidR="000D6124" w:rsidRPr="00B1369E" w:rsidRDefault="000D6124" w:rsidP="00B1369E">
            <w:pPr>
              <w:spacing w:after="0"/>
              <w:rPr>
                <w:sz w:val="18"/>
              </w:rPr>
            </w:pPr>
            <w:r w:rsidRPr="00B1369E">
              <w:rPr>
                <w:sz w:val="18"/>
              </w:rPr>
              <w:t>Show onsite</w:t>
            </w:r>
          </w:p>
        </w:tc>
        <w:tc>
          <w:tcPr>
            <w:tcW w:w="1914" w:type="dxa"/>
            <w:vAlign w:val="center"/>
            <w:hideMark/>
          </w:tcPr>
          <w:p w14:paraId="7E4D6AD9" w14:textId="77777777" w:rsidR="000D6124" w:rsidRPr="00B1369E" w:rsidRDefault="000D6124" w:rsidP="00B1369E">
            <w:pPr>
              <w:spacing w:after="0"/>
              <w:rPr>
                <w:sz w:val="18"/>
              </w:rPr>
            </w:pPr>
            <w:r w:rsidRPr="00B1369E">
              <w:rPr>
                <w:sz w:val="18"/>
              </w:rPr>
              <w:t>Show onsite **</w:t>
            </w:r>
          </w:p>
        </w:tc>
        <w:tc>
          <w:tcPr>
            <w:tcW w:w="1914" w:type="dxa"/>
            <w:vAlign w:val="center"/>
            <w:hideMark/>
          </w:tcPr>
          <w:p w14:paraId="7B08EFF4" w14:textId="77777777" w:rsidR="000D6124" w:rsidRPr="00B1369E" w:rsidRDefault="000D6124" w:rsidP="00B1369E">
            <w:pPr>
              <w:spacing w:after="0"/>
              <w:rPr>
                <w:sz w:val="18"/>
              </w:rPr>
            </w:pPr>
            <w:r w:rsidRPr="00B1369E">
              <w:rPr>
                <w:sz w:val="18"/>
              </w:rPr>
              <w:t>Distribute (Note)</w:t>
            </w:r>
          </w:p>
        </w:tc>
        <w:tc>
          <w:tcPr>
            <w:tcW w:w="3215" w:type="dxa"/>
            <w:vAlign w:val="center"/>
          </w:tcPr>
          <w:p w14:paraId="5A1F318F" w14:textId="77777777" w:rsidR="000D6124" w:rsidRPr="00B1369E" w:rsidRDefault="000D6124" w:rsidP="00B1369E">
            <w:pPr>
              <w:spacing w:after="0"/>
              <w:rPr>
                <w:sz w:val="18"/>
              </w:rPr>
            </w:pPr>
            <w:r w:rsidRPr="00B1369E">
              <w:rPr>
                <w:sz w:val="18"/>
              </w:rPr>
              <w:t>Show</w:t>
            </w:r>
          </w:p>
        </w:tc>
      </w:tr>
      <w:tr w:rsidR="000D6124" w:rsidRPr="00B1369E" w14:paraId="5C3497E4" w14:textId="77777777" w:rsidTr="005909CA">
        <w:trPr>
          <w:cantSplit/>
        </w:trPr>
        <w:tc>
          <w:tcPr>
            <w:tcW w:w="1724" w:type="dxa"/>
            <w:vAlign w:val="center"/>
            <w:hideMark/>
          </w:tcPr>
          <w:p w14:paraId="6A37487C" w14:textId="77777777" w:rsidR="000D6124" w:rsidRPr="00B1369E" w:rsidRDefault="000D6124" w:rsidP="00B1369E">
            <w:pPr>
              <w:spacing w:after="0"/>
              <w:rPr>
                <w:sz w:val="18"/>
              </w:rPr>
            </w:pPr>
            <w:r w:rsidRPr="00B1369E">
              <w:rPr>
                <w:sz w:val="18"/>
              </w:rPr>
              <w:t>Records</w:t>
            </w:r>
          </w:p>
        </w:tc>
        <w:tc>
          <w:tcPr>
            <w:tcW w:w="1914" w:type="dxa"/>
            <w:vAlign w:val="center"/>
            <w:hideMark/>
          </w:tcPr>
          <w:p w14:paraId="65E4BCCC" w14:textId="77777777" w:rsidR="000D6124" w:rsidRPr="00B1369E" w:rsidRDefault="000D6124" w:rsidP="00B1369E">
            <w:pPr>
              <w:spacing w:after="0"/>
              <w:rPr>
                <w:sz w:val="18"/>
              </w:rPr>
            </w:pPr>
            <w:r w:rsidRPr="00B1369E">
              <w:rPr>
                <w:sz w:val="18"/>
              </w:rPr>
              <w:t>Show onsite***</w:t>
            </w:r>
          </w:p>
        </w:tc>
        <w:tc>
          <w:tcPr>
            <w:tcW w:w="1914" w:type="dxa"/>
            <w:vAlign w:val="center"/>
            <w:hideMark/>
          </w:tcPr>
          <w:p w14:paraId="132BD2B3" w14:textId="77777777" w:rsidR="000D6124" w:rsidRPr="00B1369E" w:rsidRDefault="000D6124" w:rsidP="00B1369E">
            <w:pPr>
              <w:spacing w:after="0"/>
              <w:rPr>
                <w:sz w:val="18"/>
              </w:rPr>
            </w:pPr>
            <w:r w:rsidRPr="00B1369E">
              <w:rPr>
                <w:sz w:val="18"/>
              </w:rPr>
              <w:t>Interview **</w:t>
            </w:r>
          </w:p>
        </w:tc>
        <w:tc>
          <w:tcPr>
            <w:tcW w:w="1914" w:type="dxa"/>
            <w:vAlign w:val="center"/>
            <w:hideMark/>
          </w:tcPr>
          <w:p w14:paraId="133EE8C8" w14:textId="77777777" w:rsidR="000D6124" w:rsidRPr="00B1369E" w:rsidRDefault="000D6124" w:rsidP="00B1369E">
            <w:pPr>
              <w:spacing w:after="0"/>
              <w:rPr>
                <w:sz w:val="18"/>
              </w:rPr>
            </w:pPr>
            <w:r w:rsidRPr="00B1369E">
              <w:rPr>
                <w:sz w:val="18"/>
              </w:rPr>
              <w:t>Distribute (Note)</w:t>
            </w:r>
          </w:p>
        </w:tc>
        <w:tc>
          <w:tcPr>
            <w:tcW w:w="3215" w:type="dxa"/>
            <w:vAlign w:val="center"/>
          </w:tcPr>
          <w:p w14:paraId="787283BB" w14:textId="77777777" w:rsidR="000D6124" w:rsidRPr="00B1369E" w:rsidRDefault="000D6124" w:rsidP="00B1369E">
            <w:pPr>
              <w:spacing w:after="0"/>
              <w:rPr>
                <w:sz w:val="18"/>
              </w:rPr>
            </w:pPr>
            <w:r w:rsidRPr="00B1369E">
              <w:rPr>
                <w:sz w:val="18"/>
              </w:rPr>
              <w:t>Interview</w:t>
            </w:r>
          </w:p>
        </w:tc>
      </w:tr>
      <w:tr w:rsidR="00B1369E" w:rsidRPr="00B1369E" w14:paraId="6DC5F30C" w14:textId="77777777" w:rsidTr="005909CA">
        <w:trPr>
          <w:cantSplit/>
        </w:trPr>
        <w:tc>
          <w:tcPr>
            <w:tcW w:w="10681" w:type="dxa"/>
            <w:gridSpan w:val="5"/>
            <w:vAlign w:val="center"/>
          </w:tcPr>
          <w:p w14:paraId="68B3E283" w14:textId="77777777" w:rsidR="00B1369E" w:rsidRPr="00B1369E" w:rsidRDefault="00B1369E" w:rsidP="00B1369E">
            <w:pPr>
              <w:spacing w:after="0"/>
              <w:rPr>
                <w:sz w:val="18"/>
              </w:rPr>
            </w:pPr>
            <w:r w:rsidRPr="00B1369E">
              <w:rPr>
                <w:b/>
                <w:sz w:val="18"/>
              </w:rPr>
              <w:t>Note:</w:t>
            </w:r>
            <w:r w:rsidRPr="00B1369E">
              <w:rPr>
                <w:b/>
                <w:sz w:val="18"/>
              </w:rPr>
              <w:tab/>
            </w:r>
            <w:r w:rsidRPr="00B1369E">
              <w:rPr>
                <w:sz w:val="18"/>
              </w:rPr>
              <w:t>The following distribution “Methods” apply:</w:t>
            </w:r>
          </w:p>
          <w:p w14:paraId="5805AFE1" w14:textId="77777777" w:rsidR="00B1369E" w:rsidRPr="00B1369E" w:rsidRDefault="00B1369E" w:rsidP="005909CA">
            <w:pPr>
              <w:pStyle w:val="TableText"/>
            </w:pPr>
            <w:r w:rsidRPr="005909CA">
              <w:rPr>
                <w:b/>
              </w:rPr>
              <w:t>Interview:</w:t>
            </w:r>
            <w:r w:rsidRPr="00B1369E">
              <w:t xml:space="preserve">  Cannot be distributed or shown to the auditor in any form. Evidence is provided by interview only. Redacted screenshots and presentations are allowed to support the interview</w:t>
            </w:r>
          </w:p>
          <w:p w14:paraId="6D3920FA" w14:textId="13AE0865" w:rsidR="00B1369E" w:rsidRPr="00B1369E" w:rsidRDefault="00B1369E" w:rsidP="005909CA">
            <w:pPr>
              <w:pStyle w:val="TableText"/>
            </w:pPr>
            <w:r w:rsidRPr="005909CA">
              <w:rPr>
                <w:b/>
              </w:rPr>
              <w:t>Show onsite</w:t>
            </w:r>
            <w:r w:rsidRPr="00B1369E">
              <w:t xml:space="preserve">:  Can be shown via remote collaboration to an auditor on-site (at a </w:t>
            </w:r>
            <w:r w:rsidR="00A86D7F">
              <w:t>IBM</w:t>
            </w:r>
            <w:r w:rsidR="00EA671A">
              <w:t xml:space="preserve"> </w:t>
            </w:r>
            <w:r w:rsidRPr="00B1369E">
              <w:t>location) (inclusive of Distribution Methods above)</w:t>
            </w:r>
          </w:p>
          <w:p w14:paraId="43B319A5" w14:textId="77777777" w:rsidR="00B1369E" w:rsidRPr="00B1369E" w:rsidRDefault="00B1369E" w:rsidP="00B1369E">
            <w:pPr>
              <w:spacing w:after="0"/>
              <w:rPr>
                <w:sz w:val="18"/>
              </w:rPr>
            </w:pPr>
            <w:r w:rsidRPr="005909CA">
              <w:rPr>
                <w:b/>
                <w:sz w:val="18"/>
              </w:rPr>
              <w:t>Show</w:t>
            </w:r>
            <w:r w:rsidRPr="00B1369E">
              <w:rPr>
                <w:sz w:val="18"/>
              </w:rPr>
              <w:t>:  Can be shown to the auditor:</w:t>
            </w:r>
          </w:p>
          <w:p w14:paraId="48EBAE7A" w14:textId="7A27E89E" w:rsidR="00B1369E" w:rsidRPr="00B1369E" w:rsidRDefault="00B1369E" w:rsidP="005368F1">
            <w:pPr>
              <w:numPr>
                <w:ilvl w:val="0"/>
                <w:numId w:val="11"/>
              </w:numPr>
              <w:spacing w:before="20" w:after="40"/>
              <w:ind w:left="392" w:hanging="270"/>
              <w:rPr>
                <w:sz w:val="18"/>
              </w:rPr>
            </w:pPr>
            <w:r w:rsidRPr="00B1369E">
              <w:rPr>
                <w:sz w:val="18"/>
              </w:rPr>
              <w:t xml:space="preserve">On-site (that is, at a </w:t>
            </w:r>
            <w:r w:rsidR="00A86D7F">
              <w:rPr>
                <w:sz w:val="18"/>
              </w:rPr>
              <w:t>IBM</w:t>
            </w:r>
            <w:r w:rsidR="00EA671A">
              <w:rPr>
                <w:sz w:val="18"/>
              </w:rPr>
              <w:t xml:space="preserve"> </w:t>
            </w:r>
            <w:r w:rsidRPr="00B1369E">
              <w:rPr>
                <w:sz w:val="18"/>
              </w:rPr>
              <w:t>location</w:t>
            </w:r>
          </w:p>
          <w:p w14:paraId="14914881" w14:textId="77777777" w:rsidR="00B1369E" w:rsidRPr="00B1369E" w:rsidRDefault="00B1369E" w:rsidP="005368F1">
            <w:pPr>
              <w:numPr>
                <w:ilvl w:val="0"/>
                <w:numId w:val="11"/>
              </w:numPr>
              <w:spacing w:before="20" w:after="40"/>
              <w:ind w:left="392" w:hanging="270"/>
              <w:rPr>
                <w:sz w:val="18"/>
              </w:rPr>
            </w:pPr>
            <w:r w:rsidRPr="00B1369E">
              <w:rPr>
                <w:sz w:val="18"/>
              </w:rPr>
              <w:t>Via remote collaboration. (inclusive of Distribution Methods above)</w:t>
            </w:r>
          </w:p>
          <w:p w14:paraId="24972999" w14:textId="77777777" w:rsidR="00B1369E" w:rsidRPr="00B1369E" w:rsidRDefault="00B1369E" w:rsidP="00B1369E">
            <w:pPr>
              <w:spacing w:after="0"/>
              <w:rPr>
                <w:sz w:val="18"/>
              </w:rPr>
            </w:pPr>
            <w:r w:rsidRPr="005909CA">
              <w:rPr>
                <w:b/>
                <w:sz w:val="18"/>
              </w:rPr>
              <w:t>Distribute</w:t>
            </w:r>
            <w:r w:rsidRPr="00B1369E">
              <w:rPr>
                <w:sz w:val="18"/>
              </w:rPr>
              <w:t>:  Can be distributed to an auditor as a soft copy. Client names and IP addresses must be scrubbed. Inclusive of Distribution Methods above</w:t>
            </w:r>
          </w:p>
          <w:p w14:paraId="562396EA" w14:textId="6DBC3476" w:rsidR="00B1369E" w:rsidRPr="00B1369E" w:rsidRDefault="00B1369E" w:rsidP="00B1369E">
            <w:pPr>
              <w:spacing w:after="0"/>
              <w:rPr>
                <w:sz w:val="18"/>
              </w:rPr>
            </w:pPr>
            <w:r w:rsidRPr="005909CA">
              <w:rPr>
                <w:b/>
                <w:sz w:val="18"/>
              </w:rPr>
              <w:t>** FedRAMP Secure Distribution</w:t>
            </w:r>
            <w:r w:rsidRPr="005909CA">
              <w:rPr>
                <w:sz w:val="18"/>
              </w:rPr>
              <w:t>:</w:t>
            </w:r>
            <w:r w:rsidRPr="00B1369E">
              <w:rPr>
                <w:sz w:val="18"/>
              </w:rPr>
              <w:t xml:space="preserve">  For Federal customers of a FedRAMP accredited platform, distribution of policy, process, procedures and records within a secure FedRAMP portal for access by agencies leveraging it. Exclusive of distribution methods above</w:t>
            </w:r>
          </w:p>
          <w:p w14:paraId="2E618206" w14:textId="77777777" w:rsidR="00B1369E" w:rsidRPr="00B1369E" w:rsidRDefault="00B1369E" w:rsidP="00B1369E">
            <w:pPr>
              <w:spacing w:after="0"/>
              <w:rPr>
                <w:sz w:val="18"/>
              </w:rPr>
            </w:pPr>
            <w:r w:rsidRPr="00B1369E">
              <w:rPr>
                <w:sz w:val="18"/>
              </w:rPr>
              <w:t>*** Commercial customer can view records pertaining to their own transactions. No records from shared environments or multitenant platforms can be shown</w:t>
            </w:r>
          </w:p>
        </w:tc>
      </w:tr>
    </w:tbl>
    <w:p w14:paraId="24D7017C" w14:textId="77777777" w:rsidR="008B4FE1" w:rsidRPr="00EB3985" w:rsidRDefault="008B4FE1" w:rsidP="00EB3985">
      <w:pPr>
        <w:pStyle w:val="Heading1"/>
      </w:pPr>
      <w:bookmarkStart w:id="51" w:name="_Toc388609720"/>
      <w:bookmarkStart w:id="52" w:name="_Toc396738695"/>
      <w:bookmarkStart w:id="53" w:name="_Toc396823816"/>
      <w:bookmarkStart w:id="54" w:name="_Toc500426939"/>
      <w:r>
        <w:lastRenderedPageBreak/>
        <w:t>Responsibility</w:t>
      </w:r>
      <w:bookmarkEnd w:id="51"/>
      <w:bookmarkEnd w:id="52"/>
      <w:bookmarkEnd w:id="53"/>
      <w:bookmarkEnd w:id="54"/>
    </w:p>
    <w:p w14:paraId="24D7017E" w14:textId="087705DF" w:rsidR="008B4FE1" w:rsidRPr="00873DFC" w:rsidRDefault="00C74D8E" w:rsidP="00873DFC">
      <w:pPr>
        <w:pStyle w:val="Body"/>
      </w:pPr>
      <w:r>
        <w:t xml:space="preserve">It is the responsibility of all personnel to know, understand, and conform to the policies set in </w:t>
      </w:r>
      <w:r w:rsidR="00A86D7F">
        <w:t>IBM</w:t>
      </w:r>
      <w:r w:rsidR="0093488E">
        <w:t xml:space="preserve"> </w:t>
      </w:r>
      <w:r>
        <w:t xml:space="preserve">Corporate </w:t>
      </w:r>
      <w:r w:rsidR="00EA671A">
        <w:t>GTS SS</w:t>
      </w:r>
      <w:r>
        <w:t>, and others</w:t>
      </w:r>
      <w:r w:rsidRPr="00492AD7">
        <w:t xml:space="preserve"> </w:t>
      </w:r>
      <w:r>
        <w:t xml:space="preserve">as they </w:t>
      </w:r>
      <w:r w:rsidRPr="00492AD7">
        <w:t xml:space="preserve">apply to all </w:t>
      </w:r>
      <w:r w:rsidR="00A86D7F">
        <w:t>IBM</w:t>
      </w:r>
      <w:r w:rsidR="0093488E">
        <w:t xml:space="preserve"> </w:t>
      </w:r>
      <w:r w:rsidRPr="00492AD7">
        <w:t>employees.</w:t>
      </w:r>
    </w:p>
    <w:p w14:paraId="31C1E4A6" w14:textId="77777777" w:rsidR="00ED343D" w:rsidRDefault="00ED343D" w:rsidP="008B4FE1">
      <w:pPr>
        <w:pStyle w:val="Body"/>
      </w:pPr>
    </w:p>
    <w:p w14:paraId="24D7017F" w14:textId="77777777" w:rsidR="008B4FE1" w:rsidRPr="00EA33B9" w:rsidRDefault="008B4FE1" w:rsidP="008B4FE1">
      <w:pPr>
        <w:pStyle w:val="Heading2"/>
      </w:pPr>
      <w:bookmarkStart w:id="55" w:name="_Toc396823817"/>
      <w:bookmarkStart w:id="56" w:name="_Toc500426940"/>
      <w:r w:rsidRPr="00EA33B9">
        <w:t>Compliance Responsibility</w:t>
      </w:r>
      <w:bookmarkEnd w:id="55"/>
      <w:bookmarkEnd w:id="56"/>
    </w:p>
    <w:p w14:paraId="02B3AA54" w14:textId="1D8485FF" w:rsidR="00C74D8E" w:rsidRDefault="00C74D8E" w:rsidP="00C74D8E">
      <w:pPr>
        <w:pStyle w:val="Body"/>
      </w:pPr>
      <w:r>
        <w:t xml:space="preserve">Compliance with security standards and practices addressed in this document are subject to applicable law. Conflicts with local legislation or regulation shall be brought to the attention of </w:t>
      </w:r>
      <w:r w:rsidR="00A86D7F">
        <w:t>IBM</w:t>
      </w:r>
      <w:r w:rsidR="0093488E">
        <w:t xml:space="preserve"> </w:t>
      </w:r>
      <w:r>
        <w:t>Counsel and coordinated with the responsible security executive for resolution.</w:t>
      </w:r>
    </w:p>
    <w:p w14:paraId="419A0CD1" w14:textId="77777777" w:rsidR="00C74D8E" w:rsidRDefault="00C74D8E" w:rsidP="00C74D8E">
      <w:pPr>
        <w:pStyle w:val="Body"/>
      </w:pPr>
    </w:p>
    <w:p w14:paraId="4DEA7F86" w14:textId="001541EF" w:rsidR="00C74D8E" w:rsidRDefault="00C74D8E" w:rsidP="00C74D8E">
      <w:pPr>
        <w:pStyle w:val="Body"/>
        <w:rPr>
          <w:i/>
          <w:iCs/>
        </w:rPr>
      </w:pPr>
      <w:r w:rsidRPr="00ED343D">
        <w:rPr>
          <w:b/>
          <w:bCs/>
          <w:i/>
        </w:rPr>
        <w:t>Important</w:t>
      </w:r>
      <w:r w:rsidRPr="00ED343D">
        <w:rPr>
          <w:i/>
        </w:rPr>
        <w:t xml:space="preserve">: </w:t>
      </w:r>
      <w:r>
        <w:rPr>
          <w:i/>
          <w:iCs/>
        </w:rPr>
        <w:t xml:space="preserve">Nothing in this document should be taken as justification to circumvent existing </w:t>
      </w:r>
      <w:r w:rsidR="00A86D7F">
        <w:rPr>
          <w:i/>
          <w:iCs/>
        </w:rPr>
        <w:t>IBM</w:t>
      </w:r>
      <w:r w:rsidR="0093488E">
        <w:rPr>
          <w:i/>
          <w:iCs/>
        </w:rPr>
        <w:t xml:space="preserve"> </w:t>
      </w:r>
      <w:r>
        <w:rPr>
          <w:i/>
          <w:iCs/>
        </w:rPr>
        <w:t>Corporate policies, standards, or management direction.</w:t>
      </w:r>
    </w:p>
    <w:p w14:paraId="24D70183" w14:textId="77777777" w:rsidR="008B4FE1" w:rsidRDefault="008B4FE1" w:rsidP="00136265">
      <w:pPr>
        <w:pStyle w:val="Body"/>
      </w:pPr>
    </w:p>
    <w:p w14:paraId="24D70184" w14:textId="77777777" w:rsidR="005110B8" w:rsidRDefault="005110B8" w:rsidP="005110B8">
      <w:pPr>
        <w:pStyle w:val="Heading2"/>
      </w:pPr>
      <w:bookmarkStart w:id="57" w:name="_Toc306315752"/>
      <w:bookmarkStart w:id="58" w:name="_Toc396813393"/>
      <w:bookmarkStart w:id="59" w:name="_Toc500426941"/>
      <w:r w:rsidRPr="005110B8">
        <w:t>Management Commitment</w:t>
      </w:r>
      <w:bookmarkEnd w:id="57"/>
      <w:bookmarkEnd w:id="58"/>
      <w:bookmarkEnd w:id="59"/>
    </w:p>
    <w:p w14:paraId="00058890" w14:textId="2DCD9B42" w:rsidR="00C74D8E" w:rsidRPr="002A1A79" w:rsidRDefault="00A86D7F" w:rsidP="00C74D8E">
      <w:pPr>
        <w:pStyle w:val="Body"/>
      </w:pPr>
      <w:r>
        <w:t>IBM</w:t>
      </w:r>
      <w:r w:rsidR="0093488E">
        <w:t xml:space="preserve"> </w:t>
      </w:r>
      <w:r w:rsidR="00C74D8E" w:rsidRPr="002A1A79">
        <w:t xml:space="preserve">has established the </w:t>
      </w:r>
      <w:r w:rsidR="0093488E">
        <w:t>GRCQ</w:t>
      </w:r>
      <w:r w:rsidR="0093488E" w:rsidRPr="002A1A79">
        <w:t xml:space="preserve"> </w:t>
      </w:r>
      <w:r w:rsidR="00C74D8E" w:rsidRPr="002A1A79">
        <w:t xml:space="preserve">to serve as a forum for all stakeholders with responsibility for maintaining the security of the </w:t>
      </w:r>
      <w:r>
        <w:t>IBM</w:t>
      </w:r>
      <w:r w:rsidR="00A74D01">
        <w:t xml:space="preserve"> </w:t>
      </w:r>
      <w:r w:rsidR="00C74D8E" w:rsidRPr="002A1A79">
        <w:t>information technology environment, both internal and customer serving.</w:t>
      </w:r>
    </w:p>
    <w:p w14:paraId="6F54A55F" w14:textId="358EEB50" w:rsidR="00C74D8E" w:rsidRDefault="00C74D8E" w:rsidP="00C74D8E">
      <w:pPr>
        <w:pStyle w:val="Body"/>
      </w:pPr>
      <w:r w:rsidRPr="002A1A79">
        <w:t xml:space="preserve">This policy has been managed by </w:t>
      </w:r>
      <w:hyperlink r:id="rId21" w:history="1">
        <w:r w:rsidRPr="00C74D8E">
          <w:rPr>
            <w:rStyle w:val="Hyperlink"/>
          </w:rPr>
          <w:t>SECM-00089 Policy Management Process</w:t>
        </w:r>
      </w:hyperlink>
      <w:r w:rsidRPr="002A1A79">
        <w:t xml:space="preserve"> and approved by </w:t>
      </w:r>
      <w:r w:rsidR="00A86D7F">
        <w:t>IBM</w:t>
      </w:r>
      <w:r w:rsidR="00A74D01">
        <w:t xml:space="preserve"> GTS GRCQ Council</w:t>
      </w:r>
      <w:r w:rsidRPr="002A1A79">
        <w:t>.</w:t>
      </w:r>
    </w:p>
    <w:p w14:paraId="766D824B" w14:textId="77777777" w:rsidR="00ED343D" w:rsidRPr="002A1A79" w:rsidRDefault="00ED343D" w:rsidP="002A1A79">
      <w:pPr>
        <w:pStyle w:val="Body"/>
      </w:pPr>
    </w:p>
    <w:p w14:paraId="24D70187" w14:textId="77777777" w:rsidR="008B4FE1" w:rsidRPr="00EB3985" w:rsidRDefault="008B4FE1" w:rsidP="00EB3985">
      <w:pPr>
        <w:pStyle w:val="Heading1"/>
      </w:pPr>
      <w:bookmarkStart w:id="60" w:name="_Toc500426942"/>
      <w:r w:rsidRPr="008B4FE1">
        <w:lastRenderedPageBreak/>
        <w:t>Exceptions</w:t>
      </w:r>
      <w:bookmarkEnd w:id="60"/>
    </w:p>
    <w:p w14:paraId="27505B4B" w14:textId="28276473" w:rsidR="0032494E" w:rsidRPr="0032494E" w:rsidRDefault="00C74D8E" w:rsidP="0032494E">
      <w:pPr>
        <w:pStyle w:val="Body"/>
      </w:pPr>
      <w:r w:rsidRPr="0032494E">
        <w:t xml:space="preserve">Exceptions to this policy must be approved by the governing/serving </w:t>
      </w:r>
      <w:r w:rsidR="00A74D01">
        <w:t xml:space="preserve">by the GTS GRCQ Council. </w:t>
      </w:r>
    </w:p>
    <w:p w14:paraId="24D70189" w14:textId="77777777" w:rsidR="008B4FE1" w:rsidRPr="0032494E" w:rsidRDefault="008B4FE1" w:rsidP="0032494E">
      <w:pPr>
        <w:pStyle w:val="Body"/>
      </w:pPr>
    </w:p>
    <w:p w14:paraId="24D7018A" w14:textId="77777777" w:rsidR="008B4FE1" w:rsidRPr="005110B8" w:rsidRDefault="008B4FE1" w:rsidP="005110B8">
      <w:pPr>
        <w:pStyle w:val="Body"/>
      </w:pPr>
    </w:p>
    <w:p w14:paraId="24D7018B" w14:textId="77777777" w:rsidR="008B4FE1" w:rsidRPr="005110B8" w:rsidRDefault="008B4FE1" w:rsidP="005110B8">
      <w:pPr>
        <w:pStyle w:val="Body"/>
      </w:pPr>
    </w:p>
    <w:p w14:paraId="24D7018C" w14:textId="77777777" w:rsidR="008B4FE1" w:rsidRPr="00EB3985" w:rsidRDefault="008B4FE1" w:rsidP="005110B8">
      <w:pPr>
        <w:pStyle w:val="Heading1"/>
        <w:pageBreakBefore w:val="0"/>
      </w:pPr>
      <w:bookmarkStart w:id="61" w:name="_Toc388609721"/>
      <w:bookmarkStart w:id="62" w:name="_Toc396738696"/>
      <w:bookmarkStart w:id="63" w:name="_Toc396823818"/>
      <w:bookmarkStart w:id="64" w:name="_Toc500426943"/>
      <w:r w:rsidRPr="008B4FE1">
        <w:t>Expiration</w:t>
      </w:r>
      <w:bookmarkEnd w:id="61"/>
      <w:bookmarkEnd w:id="62"/>
      <w:bookmarkEnd w:id="63"/>
      <w:bookmarkEnd w:id="64"/>
    </w:p>
    <w:p w14:paraId="24D7018D" w14:textId="0A45698C" w:rsidR="008B4FE1" w:rsidRPr="00C74D8E" w:rsidRDefault="008B4FE1" w:rsidP="00C74D8E">
      <w:pPr>
        <w:pStyle w:val="Body"/>
      </w:pPr>
      <w:r w:rsidRPr="00C74D8E">
        <w:t xml:space="preserve">Unless readopted, this Policy expires </w:t>
      </w:r>
      <w:r w:rsidR="00C22686" w:rsidRPr="00C74D8E">
        <w:t>three (</w:t>
      </w:r>
      <w:r w:rsidR="00A74D01">
        <w:t>1</w:t>
      </w:r>
      <w:r w:rsidR="00C22686" w:rsidRPr="00C74D8E">
        <w:t xml:space="preserve">) </w:t>
      </w:r>
      <w:r w:rsidRPr="00C74D8E">
        <w:t>years from the date of approval.</w:t>
      </w:r>
    </w:p>
    <w:p w14:paraId="24D7018E" w14:textId="77777777" w:rsidR="008B4FE1" w:rsidRPr="005110B8" w:rsidRDefault="008B4FE1" w:rsidP="005110B8">
      <w:pPr>
        <w:pStyle w:val="Body"/>
      </w:pPr>
    </w:p>
    <w:p w14:paraId="24D7018F" w14:textId="77777777" w:rsidR="008B4FE1" w:rsidRPr="005110B8" w:rsidRDefault="008B4FE1" w:rsidP="005110B8">
      <w:pPr>
        <w:pStyle w:val="Body"/>
      </w:pPr>
    </w:p>
    <w:p w14:paraId="24D70190" w14:textId="77777777" w:rsidR="008B4FE1" w:rsidRPr="005110B8" w:rsidRDefault="008B4FE1" w:rsidP="005110B8">
      <w:pPr>
        <w:pStyle w:val="Body"/>
      </w:pPr>
    </w:p>
    <w:p w14:paraId="24D70191" w14:textId="77777777" w:rsidR="008B4FE1" w:rsidRPr="00EB3985" w:rsidRDefault="008B4FE1" w:rsidP="005110B8">
      <w:pPr>
        <w:pStyle w:val="Heading1"/>
        <w:pageBreakBefore w:val="0"/>
      </w:pPr>
      <w:bookmarkStart w:id="65" w:name="_Toc388609722"/>
      <w:bookmarkStart w:id="66" w:name="_Toc500426944"/>
      <w:r w:rsidRPr="00482745">
        <w:t>Enforcement</w:t>
      </w:r>
      <w:bookmarkEnd w:id="65"/>
      <w:bookmarkEnd w:id="66"/>
    </w:p>
    <w:p w14:paraId="24D70192" w14:textId="77777777" w:rsidR="008B4FE1" w:rsidRPr="005110B8" w:rsidRDefault="008B4FE1" w:rsidP="005110B8">
      <w:pPr>
        <w:pStyle w:val="Body"/>
      </w:pPr>
      <w:r w:rsidRPr="005110B8">
        <w:t>Any employee found to have violated this policy may be subject to disciplinary action, up to and including termination of employment.</w:t>
      </w:r>
    </w:p>
    <w:p w14:paraId="24D70193" w14:textId="77777777" w:rsidR="005110B8" w:rsidRPr="005110B8" w:rsidRDefault="005110B8" w:rsidP="005110B8">
      <w:pPr>
        <w:pStyle w:val="Body"/>
      </w:pPr>
    </w:p>
    <w:p w14:paraId="24D70194" w14:textId="77777777" w:rsidR="005110B8" w:rsidRPr="005110B8" w:rsidRDefault="005110B8" w:rsidP="005110B8">
      <w:pPr>
        <w:pStyle w:val="Body"/>
      </w:pPr>
    </w:p>
    <w:p w14:paraId="24D70195" w14:textId="77777777" w:rsidR="00BC35B5" w:rsidRPr="005110B8" w:rsidRDefault="00BC35B5" w:rsidP="005110B8">
      <w:pPr>
        <w:pStyle w:val="Body"/>
      </w:pPr>
    </w:p>
    <w:p w14:paraId="24D70196" w14:textId="77777777" w:rsidR="007822A9" w:rsidRDefault="007822A9" w:rsidP="00F2039B">
      <w:pPr>
        <w:pStyle w:val="Body"/>
        <w:sectPr w:rsidR="007822A9" w:rsidSect="00615FD5">
          <w:pgSz w:w="12240" w:h="15840"/>
          <w:pgMar w:top="720" w:right="720" w:bottom="720" w:left="720" w:header="720" w:footer="720" w:gutter="0"/>
          <w:pgNumType w:start="1"/>
          <w:cols w:space="720"/>
          <w:docGrid w:linePitch="360"/>
        </w:sectPr>
      </w:pPr>
    </w:p>
    <w:p w14:paraId="24D70197" w14:textId="77777777" w:rsidR="00CA4DF0" w:rsidRDefault="0007117D" w:rsidP="006D1F01">
      <w:pPr>
        <w:pStyle w:val="Heading1"/>
      </w:pPr>
      <w:bookmarkStart w:id="67" w:name="_Toc500426945"/>
      <w:r>
        <w:lastRenderedPageBreak/>
        <w:t>Appendices</w:t>
      </w:r>
      <w:bookmarkEnd w:id="67"/>
    </w:p>
    <w:p w14:paraId="6173F020" w14:textId="77777777" w:rsidR="001B4571" w:rsidRDefault="00CA4DF0">
      <w:pPr>
        <w:pStyle w:val="TOC1"/>
        <w:tabs>
          <w:tab w:val="right" w:leader="dot" w:pos="10790"/>
        </w:tabs>
        <w:rPr>
          <w:rFonts w:asciiTheme="minorHAnsi" w:eastAsiaTheme="minorEastAsia" w:hAnsiTheme="minorHAnsi" w:cstheme="minorBidi"/>
          <w:b w:val="0"/>
          <w:smallCaps w:val="0"/>
          <w:noProof/>
          <w:sz w:val="22"/>
          <w:szCs w:val="22"/>
          <w:lang w:bidi="ar-SA"/>
        </w:rPr>
      </w:pPr>
      <w:r>
        <w:rPr>
          <w:rFonts w:ascii="NeueHaasGroteskDisp Std Md" w:hAnsi="NeueHaasGroteskDisp Std Md" w:cstheme="minorBidi"/>
          <w:color w:val="000000"/>
          <w:sz w:val="24"/>
          <w:szCs w:val="22"/>
        </w:rPr>
        <w:fldChar w:fldCharType="begin"/>
      </w:r>
      <w:r>
        <w:instrText xml:space="preserve"> TOC \t "appendix header,1" </w:instrText>
      </w:r>
      <w:r>
        <w:rPr>
          <w:rFonts w:ascii="NeueHaasGroteskDisp Std Md" w:hAnsi="NeueHaasGroteskDisp Std Md" w:cstheme="minorBidi"/>
          <w:color w:val="000000"/>
          <w:sz w:val="24"/>
          <w:szCs w:val="22"/>
        </w:rPr>
        <w:fldChar w:fldCharType="separate"/>
      </w:r>
      <w:r w:rsidR="001B4571">
        <w:rPr>
          <w:noProof/>
        </w:rPr>
        <w:t>Appendix A  - Terms and Definitions</w:t>
      </w:r>
      <w:r w:rsidR="001B4571">
        <w:rPr>
          <w:noProof/>
        </w:rPr>
        <w:tab/>
      </w:r>
      <w:r w:rsidR="001B4571">
        <w:rPr>
          <w:noProof/>
        </w:rPr>
        <w:fldChar w:fldCharType="begin"/>
      </w:r>
      <w:r w:rsidR="001B4571">
        <w:rPr>
          <w:noProof/>
        </w:rPr>
        <w:instrText xml:space="preserve"> PAGEREF _Toc477246988 \h </w:instrText>
      </w:r>
      <w:r w:rsidR="001B4571">
        <w:rPr>
          <w:noProof/>
        </w:rPr>
      </w:r>
      <w:r w:rsidR="001B4571">
        <w:rPr>
          <w:noProof/>
        </w:rPr>
        <w:fldChar w:fldCharType="separate"/>
      </w:r>
      <w:r w:rsidR="001B4571">
        <w:rPr>
          <w:noProof/>
        </w:rPr>
        <w:t>14</w:t>
      </w:r>
      <w:r w:rsidR="001B4571">
        <w:rPr>
          <w:noProof/>
        </w:rPr>
        <w:fldChar w:fldCharType="end"/>
      </w:r>
    </w:p>
    <w:p w14:paraId="37CFE739" w14:textId="77777777" w:rsidR="001B4571" w:rsidRDefault="001B4571">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B  - References</w:t>
      </w:r>
      <w:r>
        <w:rPr>
          <w:noProof/>
        </w:rPr>
        <w:tab/>
      </w:r>
      <w:r>
        <w:rPr>
          <w:noProof/>
        </w:rPr>
        <w:fldChar w:fldCharType="begin"/>
      </w:r>
      <w:r>
        <w:rPr>
          <w:noProof/>
        </w:rPr>
        <w:instrText xml:space="preserve"> PAGEREF _Toc477246989 \h </w:instrText>
      </w:r>
      <w:r>
        <w:rPr>
          <w:noProof/>
        </w:rPr>
      </w:r>
      <w:r>
        <w:rPr>
          <w:noProof/>
        </w:rPr>
        <w:fldChar w:fldCharType="separate"/>
      </w:r>
      <w:r>
        <w:rPr>
          <w:noProof/>
        </w:rPr>
        <w:t>16</w:t>
      </w:r>
      <w:r>
        <w:rPr>
          <w:noProof/>
        </w:rPr>
        <w:fldChar w:fldCharType="end"/>
      </w:r>
    </w:p>
    <w:p w14:paraId="3DE64941" w14:textId="77777777" w:rsidR="001B4571" w:rsidRDefault="001B4571">
      <w:pPr>
        <w:pStyle w:val="TOC1"/>
        <w:tabs>
          <w:tab w:val="right" w:leader="dot" w:pos="10790"/>
        </w:tabs>
        <w:rPr>
          <w:rFonts w:asciiTheme="minorHAnsi" w:eastAsiaTheme="minorEastAsia" w:hAnsiTheme="minorHAnsi" w:cstheme="minorBidi"/>
          <w:b w:val="0"/>
          <w:smallCaps w:val="0"/>
          <w:noProof/>
          <w:sz w:val="22"/>
          <w:szCs w:val="22"/>
          <w:lang w:bidi="ar-SA"/>
        </w:rPr>
      </w:pPr>
      <w:r>
        <w:rPr>
          <w:noProof/>
        </w:rPr>
        <w:t>Appendix C  - Distribution</w:t>
      </w:r>
      <w:r>
        <w:rPr>
          <w:noProof/>
        </w:rPr>
        <w:tab/>
      </w:r>
      <w:r>
        <w:rPr>
          <w:noProof/>
        </w:rPr>
        <w:fldChar w:fldCharType="begin"/>
      </w:r>
      <w:r>
        <w:rPr>
          <w:noProof/>
        </w:rPr>
        <w:instrText xml:space="preserve"> PAGEREF _Toc477246990 \h </w:instrText>
      </w:r>
      <w:r>
        <w:rPr>
          <w:noProof/>
        </w:rPr>
      </w:r>
      <w:r>
        <w:rPr>
          <w:noProof/>
        </w:rPr>
        <w:fldChar w:fldCharType="separate"/>
      </w:r>
      <w:r>
        <w:rPr>
          <w:noProof/>
        </w:rPr>
        <w:t>17</w:t>
      </w:r>
      <w:r>
        <w:rPr>
          <w:noProof/>
        </w:rPr>
        <w:fldChar w:fldCharType="end"/>
      </w:r>
    </w:p>
    <w:p w14:paraId="24D7019B" w14:textId="77777777" w:rsidR="00160910" w:rsidRDefault="00CA4DF0" w:rsidP="003341EC">
      <w:pPr>
        <w:pStyle w:val="Body"/>
        <w:sectPr w:rsidR="00160910" w:rsidSect="00160910">
          <w:pgSz w:w="12240" w:h="15840"/>
          <w:pgMar w:top="1008" w:right="720" w:bottom="1008" w:left="720" w:header="720" w:footer="720" w:gutter="0"/>
          <w:cols w:space="720"/>
          <w:docGrid w:linePitch="360"/>
        </w:sectPr>
      </w:pPr>
      <w:r>
        <w:fldChar w:fldCharType="end"/>
      </w:r>
    </w:p>
    <w:p w14:paraId="24D7019C" w14:textId="77777777" w:rsidR="00D10E75" w:rsidRPr="00D565CD" w:rsidRDefault="00D10E75" w:rsidP="00D565CD">
      <w:pPr>
        <w:pStyle w:val="appendixheader"/>
      </w:pPr>
      <w:bookmarkStart w:id="68" w:name="_Toc477246988"/>
      <w:bookmarkStart w:id="69" w:name="_Toc500426946"/>
      <w:r w:rsidRPr="00D565CD">
        <w:lastRenderedPageBreak/>
        <w:t>Appendix</w:t>
      </w:r>
      <w:r w:rsidR="00CA4DF0" w:rsidRPr="00D565CD">
        <w:t xml:space="preserve"> </w:t>
      </w:r>
      <w:r w:rsidR="00DE5CCA" w:rsidRPr="00D565CD">
        <w:fldChar w:fldCharType="begin"/>
      </w:r>
      <w:r w:rsidR="00DE5CCA" w:rsidRPr="00D565CD">
        <w:instrText xml:space="preserve"> AUTONUM  \* ALPHABETIC \s " - " </w:instrText>
      </w:r>
      <w:r w:rsidR="00DE5CCA" w:rsidRPr="00D565CD">
        <w:fldChar w:fldCharType="end"/>
      </w:r>
      <w:r w:rsidR="00CA4DF0" w:rsidRPr="00D565CD">
        <w:t xml:space="preserve"> - Terms and Definitions</w:t>
      </w:r>
      <w:bookmarkEnd w:id="68"/>
      <w:bookmarkEnd w:id="69"/>
    </w:p>
    <w:p w14:paraId="24D7019D" w14:textId="77777777" w:rsidR="00CA4DF0" w:rsidRDefault="00B1000A" w:rsidP="007701BE">
      <w:pPr>
        <w:pStyle w:val="TableTitleLine"/>
      </w:pPr>
      <w:bookmarkStart w:id="70" w:name="_Toc500426951"/>
      <w:r>
        <w:t xml:space="preserve">Table </w:t>
      </w:r>
      <w:r w:rsidR="00160910">
        <w:t>A</w:t>
      </w:r>
      <w:r>
        <w:noBreakHyphen/>
      </w:r>
      <w:r w:rsidR="00607325">
        <w:fldChar w:fldCharType="begin"/>
      </w:r>
      <w:r w:rsidR="00607325">
        <w:instrText xml:space="preserve"> SEQ Table \* ARABIC \s 1 </w:instrText>
      </w:r>
      <w:r w:rsidR="00607325">
        <w:fldChar w:fldCharType="separate"/>
      </w:r>
      <w:r w:rsidR="001B4571">
        <w:rPr>
          <w:noProof/>
        </w:rPr>
        <w:t>1</w:t>
      </w:r>
      <w:r w:rsidR="00607325">
        <w:rPr>
          <w:noProof/>
        </w:rPr>
        <w:fldChar w:fldCharType="end"/>
      </w:r>
      <w:r>
        <w:t xml:space="preserve">: </w:t>
      </w:r>
      <w:r w:rsidR="00CA4DF0">
        <w:t>Terms and Definitions</w:t>
      </w:r>
      <w:bookmarkEnd w:id="70"/>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514"/>
        <w:gridCol w:w="7135"/>
      </w:tblGrid>
      <w:tr w:rsidR="00043856" w:rsidRPr="00F81A88" w14:paraId="48339DC6" w14:textId="77777777" w:rsidTr="00B85049">
        <w:trPr>
          <w:cantSplit/>
          <w:tblHeader/>
        </w:trPr>
        <w:tc>
          <w:tcPr>
            <w:tcW w:w="3514" w:type="dxa"/>
            <w:tcBorders>
              <w:bottom w:val="double" w:sz="4" w:space="0" w:color="auto"/>
            </w:tcBorders>
            <w:shd w:val="clear" w:color="auto" w:fill="E6E6E6"/>
            <w:tcMar>
              <w:top w:w="14" w:type="dxa"/>
              <w:bottom w:w="14" w:type="dxa"/>
            </w:tcMar>
          </w:tcPr>
          <w:p w14:paraId="79D0F69A" w14:textId="77777777" w:rsidR="00043856" w:rsidRPr="00F81A88" w:rsidRDefault="00043856" w:rsidP="00B85049">
            <w:pPr>
              <w:pStyle w:val="tableheading"/>
            </w:pPr>
            <w:r w:rsidRPr="00F81A88">
              <w:t>Term</w:t>
            </w:r>
          </w:p>
        </w:tc>
        <w:tc>
          <w:tcPr>
            <w:tcW w:w="7135" w:type="dxa"/>
            <w:tcBorders>
              <w:bottom w:val="double" w:sz="4" w:space="0" w:color="auto"/>
            </w:tcBorders>
            <w:shd w:val="clear" w:color="auto" w:fill="E6E6E6"/>
            <w:tcMar>
              <w:top w:w="14" w:type="dxa"/>
              <w:bottom w:w="14" w:type="dxa"/>
            </w:tcMar>
          </w:tcPr>
          <w:p w14:paraId="60917B4A" w14:textId="77777777" w:rsidR="00043856" w:rsidRPr="00F81A88" w:rsidRDefault="00043856" w:rsidP="00B85049">
            <w:pPr>
              <w:pStyle w:val="tableheading"/>
            </w:pPr>
            <w:r w:rsidRPr="00F81A88">
              <w:t>Definition</w:t>
            </w:r>
          </w:p>
        </w:tc>
      </w:tr>
      <w:tr w:rsidR="00043856" w:rsidRPr="00F81A88" w14:paraId="0FB2BD05" w14:textId="77777777" w:rsidTr="00B85049">
        <w:tblPrEx>
          <w:tblLook w:val="00A0" w:firstRow="1" w:lastRow="0" w:firstColumn="1" w:lastColumn="0" w:noHBand="0" w:noVBand="0"/>
        </w:tblPrEx>
        <w:trPr>
          <w:cantSplit/>
        </w:trPr>
        <w:tc>
          <w:tcPr>
            <w:tcW w:w="3514" w:type="dxa"/>
          </w:tcPr>
          <w:p w14:paraId="7F38913D" w14:textId="77777777" w:rsidR="00043856" w:rsidRPr="00F81A88" w:rsidRDefault="00043856" w:rsidP="00B85049">
            <w:pPr>
              <w:pStyle w:val="TableTextBold"/>
            </w:pPr>
            <w:r>
              <w:t>BC</w:t>
            </w:r>
          </w:p>
        </w:tc>
        <w:tc>
          <w:tcPr>
            <w:tcW w:w="7135" w:type="dxa"/>
            <w:noWrap/>
          </w:tcPr>
          <w:p w14:paraId="3828C8F9" w14:textId="77777777" w:rsidR="00043856" w:rsidRPr="00885CE0" w:rsidRDefault="00043856" w:rsidP="00B85049">
            <w:pPr>
              <w:pStyle w:val="TableText"/>
            </w:pPr>
            <w:r>
              <w:t>Business Continuity</w:t>
            </w:r>
          </w:p>
        </w:tc>
      </w:tr>
      <w:tr w:rsidR="00043856" w:rsidRPr="00F81A88" w14:paraId="14F1BD80" w14:textId="77777777" w:rsidTr="00B85049">
        <w:tblPrEx>
          <w:tblLook w:val="00A0" w:firstRow="1" w:lastRow="0" w:firstColumn="1" w:lastColumn="0" w:noHBand="0" w:noVBand="0"/>
        </w:tblPrEx>
        <w:trPr>
          <w:cantSplit/>
        </w:trPr>
        <w:tc>
          <w:tcPr>
            <w:tcW w:w="3514" w:type="dxa"/>
          </w:tcPr>
          <w:p w14:paraId="570A2402" w14:textId="77777777" w:rsidR="00043856" w:rsidRPr="00F81A88" w:rsidRDefault="00043856" w:rsidP="00B85049">
            <w:pPr>
              <w:pStyle w:val="TableTextBold"/>
            </w:pPr>
            <w:r>
              <w:t>BO</w:t>
            </w:r>
          </w:p>
        </w:tc>
        <w:tc>
          <w:tcPr>
            <w:tcW w:w="7135" w:type="dxa"/>
            <w:noWrap/>
          </w:tcPr>
          <w:p w14:paraId="3B144D99" w14:textId="77777777" w:rsidR="00043856" w:rsidRPr="00885CE0" w:rsidRDefault="00043856" w:rsidP="00B85049">
            <w:pPr>
              <w:pStyle w:val="TableText"/>
            </w:pPr>
            <w:r>
              <w:t>Business Owner</w:t>
            </w:r>
          </w:p>
        </w:tc>
      </w:tr>
      <w:tr w:rsidR="00571780" w:rsidRPr="00F81A88" w14:paraId="1F449B9E" w14:textId="77777777" w:rsidTr="00B85049">
        <w:tblPrEx>
          <w:tblLook w:val="00A0" w:firstRow="1" w:lastRow="0" w:firstColumn="1" w:lastColumn="0" w:noHBand="0" w:noVBand="0"/>
        </w:tblPrEx>
        <w:trPr>
          <w:cantSplit/>
        </w:trPr>
        <w:tc>
          <w:tcPr>
            <w:tcW w:w="3514" w:type="dxa"/>
          </w:tcPr>
          <w:p w14:paraId="40F6992F" w14:textId="6EFBDC25" w:rsidR="00571780" w:rsidRPr="00E82387" w:rsidRDefault="00571780" w:rsidP="00B85049">
            <w:pPr>
              <w:pStyle w:val="TableTextBold"/>
            </w:pPr>
            <w:r>
              <w:t>CAIQ</w:t>
            </w:r>
          </w:p>
        </w:tc>
        <w:tc>
          <w:tcPr>
            <w:tcW w:w="7135" w:type="dxa"/>
            <w:noWrap/>
          </w:tcPr>
          <w:p w14:paraId="4F5F8A2C" w14:textId="4BFE1F19" w:rsidR="00571780" w:rsidRDefault="00571780" w:rsidP="00B85049">
            <w:pPr>
              <w:pStyle w:val="TableText"/>
            </w:pPr>
            <w:r w:rsidRPr="00571780">
              <w:t>Consensus Assessments Initiative Questionnaire</w:t>
            </w:r>
          </w:p>
        </w:tc>
      </w:tr>
      <w:tr w:rsidR="00043856" w:rsidRPr="00F81A88" w14:paraId="7A20F685" w14:textId="77777777" w:rsidTr="00B85049">
        <w:tblPrEx>
          <w:tblLook w:val="00A0" w:firstRow="1" w:lastRow="0" w:firstColumn="1" w:lastColumn="0" w:noHBand="0" w:noVBand="0"/>
        </w:tblPrEx>
        <w:trPr>
          <w:cantSplit/>
        </w:trPr>
        <w:tc>
          <w:tcPr>
            <w:tcW w:w="3514" w:type="dxa"/>
          </w:tcPr>
          <w:p w14:paraId="3EC2F26A" w14:textId="77777777" w:rsidR="00043856" w:rsidRPr="00F81A88" w:rsidRDefault="00043856" w:rsidP="00B85049">
            <w:pPr>
              <w:pStyle w:val="TableTextBold"/>
            </w:pPr>
            <w:r>
              <w:t>DC</w:t>
            </w:r>
          </w:p>
        </w:tc>
        <w:tc>
          <w:tcPr>
            <w:tcW w:w="7135" w:type="dxa"/>
            <w:noWrap/>
          </w:tcPr>
          <w:p w14:paraId="57DAA60C" w14:textId="77777777" w:rsidR="00043856" w:rsidRPr="00885CE0" w:rsidRDefault="00043856" w:rsidP="00B85049">
            <w:pPr>
              <w:pStyle w:val="TableText"/>
            </w:pPr>
            <w:r>
              <w:t>Disaster Recovery</w:t>
            </w:r>
          </w:p>
        </w:tc>
      </w:tr>
      <w:tr w:rsidR="00FE5D79" w:rsidRPr="00F81A88" w14:paraId="68BBF09B" w14:textId="77777777" w:rsidTr="00B85049">
        <w:tblPrEx>
          <w:tblLook w:val="00A0" w:firstRow="1" w:lastRow="0" w:firstColumn="1" w:lastColumn="0" w:noHBand="0" w:noVBand="0"/>
        </w:tblPrEx>
        <w:trPr>
          <w:cantSplit/>
        </w:trPr>
        <w:tc>
          <w:tcPr>
            <w:tcW w:w="3514" w:type="dxa"/>
          </w:tcPr>
          <w:p w14:paraId="35D8F994" w14:textId="0D0A6558" w:rsidR="00FE5D79" w:rsidRDefault="00FE5D79" w:rsidP="00B85049">
            <w:pPr>
              <w:pStyle w:val="TableTextBold"/>
            </w:pPr>
            <w:r>
              <w:t>GRCQ</w:t>
            </w:r>
          </w:p>
        </w:tc>
        <w:tc>
          <w:tcPr>
            <w:tcW w:w="7135" w:type="dxa"/>
            <w:noWrap/>
          </w:tcPr>
          <w:p w14:paraId="5FEB80E0" w14:textId="11DC963C" w:rsidR="00FE5D79" w:rsidRPr="00CC6A35" w:rsidRDefault="00FE5D79" w:rsidP="00B85049">
            <w:pPr>
              <w:pStyle w:val="TableText"/>
            </w:pPr>
            <w:r w:rsidRPr="00FE5D79">
              <w:t>Governance, Risk, Compliance, and Quality</w:t>
            </w:r>
          </w:p>
        </w:tc>
      </w:tr>
      <w:tr w:rsidR="00043856" w:rsidRPr="00F81A88" w14:paraId="07E36EC2" w14:textId="77777777" w:rsidTr="00B85049">
        <w:tblPrEx>
          <w:tblLook w:val="00A0" w:firstRow="1" w:lastRow="0" w:firstColumn="1" w:lastColumn="0" w:noHBand="0" w:noVBand="0"/>
        </w:tblPrEx>
        <w:trPr>
          <w:cantSplit/>
        </w:trPr>
        <w:tc>
          <w:tcPr>
            <w:tcW w:w="3514" w:type="dxa"/>
          </w:tcPr>
          <w:p w14:paraId="5D9E3630" w14:textId="77777777" w:rsidR="00043856" w:rsidRPr="00F81A88" w:rsidRDefault="00043856" w:rsidP="00B85049">
            <w:pPr>
              <w:pStyle w:val="TableTextBold"/>
            </w:pPr>
            <w:r>
              <w:t>HIPAA</w:t>
            </w:r>
          </w:p>
        </w:tc>
        <w:tc>
          <w:tcPr>
            <w:tcW w:w="7135" w:type="dxa"/>
            <w:noWrap/>
          </w:tcPr>
          <w:p w14:paraId="1991C29B" w14:textId="77777777" w:rsidR="00043856" w:rsidRPr="00885CE0" w:rsidRDefault="00043856" w:rsidP="00B85049">
            <w:pPr>
              <w:pStyle w:val="TableText"/>
            </w:pPr>
            <w:r w:rsidRPr="00CC6A35">
              <w:t>Health Insurance Portability and Accountability Act</w:t>
            </w:r>
          </w:p>
        </w:tc>
      </w:tr>
      <w:tr w:rsidR="00BA16C9" w:rsidRPr="00F81A88" w14:paraId="58FECF6E" w14:textId="77777777" w:rsidTr="00B85049">
        <w:tblPrEx>
          <w:tblLook w:val="00A0" w:firstRow="1" w:lastRow="0" w:firstColumn="1" w:lastColumn="0" w:noHBand="0" w:noVBand="0"/>
        </w:tblPrEx>
        <w:trPr>
          <w:cantSplit/>
        </w:trPr>
        <w:tc>
          <w:tcPr>
            <w:tcW w:w="3514" w:type="dxa"/>
          </w:tcPr>
          <w:p w14:paraId="0131D527" w14:textId="502DF770" w:rsidR="00BA16C9" w:rsidRDefault="00BA16C9" w:rsidP="00B85049">
            <w:pPr>
              <w:pStyle w:val="TableTextBold"/>
            </w:pPr>
            <w:r>
              <w:t>HR</w:t>
            </w:r>
          </w:p>
        </w:tc>
        <w:tc>
          <w:tcPr>
            <w:tcW w:w="7135" w:type="dxa"/>
            <w:noWrap/>
          </w:tcPr>
          <w:p w14:paraId="6FCAFAA7" w14:textId="407FE4B2" w:rsidR="00BA16C9" w:rsidRPr="00CC6A35" w:rsidRDefault="00BA16C9" w:rsidP="00B85049">
            <w:pPr>
              <w:pStyle w:val="TableText"/>
            </w:pPr>
            <w:r>
              <w:t>Human Resources</w:t>
            </w:r>
          </w:p>
        </w:tc>
      </w:tr>
      <w:tr w:rsidR="00043856" w:rsidRPr="00F81A88" w14:paraId="50176D62" w14:textId="77777777" w:rsidTr="00B85049">
        <w:tblPrEx>
          <w:tblLook w:val="00A0" w:firstRow="1" w:lastRow="0" w:firstColumn="1" w:lastColumn="0" w:noHBand="0" w:noVBand="0"/>
        </w:tblPrEx>
        <w:trPr>
          <w:cantSplit/>
        </w:trPr>
        <w:tc>
          <w:tcPr>
            <w:tcW w:w="3514" w:type="dxa"/>
          </w:tcPr>
          <w:p w14:paraId="3B1CAFAA" w14:textId="77777777" w:rsidR="00043856" w:rsidRPr="00F81A88" w:rsidRDefault="00043856" w:rsidP="00B85049">
            <w:pPr>
              <w:pStyle w:val="TableTextBold"/>
            </w:pPr>
            <w:r>
              <w:t xml:space="preserve">IRC </w:t>
            </w:r>
          </w:p>
        </w:tc>
        <w:tc>
          <w:tcPr>
            <w:tcW w:w="7135" w:type="dxa"/>
            <w:noWrap/>
          </w:tcPr>
          <w:p w14:paraId="568BE685" w14:textId="77777777" w:rsidR="00043856" w:rsidRPr="00885CE0" w:rsidRDefault="00043856" w:rsidP="00B85049">
            <w:pPr>
              <w:pStyle w:val="TableText"/>
            </w:pPr>
            <w:r w:rsidRPr="00CC6A35">
              <w:t>Information Resource Custodian</w:t>
            </w:r>
          </w:p>
        </w:tc>
      </w:tr>
      <w:tr w:rsidR="00043856" w:rsidRPr="00F81A88" w14:paraId="0352493E" w14:textId="77777777" w:rsidTr="00B85049">
        <w:tblPrEx>
          <w:tblLook w:val="00A0" w:firstRow="1" w:lastRow="0" w:firstColumn="1" w:lastColumn="0" w:noHBand="0" w:noVBand="0"/>
        </w:tblPrEx>
        <w:trPr>
          <w:cantSplit/>
        </w:trPr>
        <w:tc>
          <w:tcPr>
            <w:tcW w:w="3514" w:type="dxa"/>
          </w:tcPr>
          <w:p w14:paraId="2DCC261D" w14:textId="77777777" w:rsidR="00043856" w:rsidRPr="00F81A88" w:rsidRDefault="00043856" w:rsidP="00B85049">
            <w:pPr>
              <w:pStyle w:val="TableTextBold"/>
            </w:pPr>
            <w:r>
              <w:t>NDA</w:t>
            </w:r>
          </w:p>
        </w:tc>
        <w:tc>
          <w:tcPr>
            <w:tcW w:w="7135" w:type="dxa"/>
            <w:noWrap/>
          </w:tcPr>
          <w:p w14:paraId="0BDEF464" w14:textId="77777777" w:rsidR="00043856" w:rsidRPr="00885CE0" w:rsidRDefault="00043856" w:rsidP="00B85049">
            <w:pPr>
              <w:pStyle w:val="TableText"/>
            </w:pPr>
            <w:r>
              <w:t>Non-Disclosure Agreement</w:t>
            </w:r>
          </w:p>
        </w:tc>
      </w:tr>
      <w:tr w:rsidR="00043856" w:rsidRPr="00F81A88" w14:paraId="2203B907" w14:textId="77777777" w:rsidTr="00B85049">
        <w:tblPrEx>
          <w:tblLook w:val="00A0" w:firstRow="1" w:lastRow="0" w:firstColumn="1" w:lastColumn="0" w:noHBand="0" w:noVBand="0"/>
        </w:tblPrEx>
        <w:trPr>
          <w:cantSplit/>
        </w:trPr>
        <w:tc>
          <w:tcPr>
            <w:tcW w:w="3514" w:type="dxa"/>
          </w:tcPr>
          <w:p w14:paraId="06D089BF" w14:textId="77777777" w:rsidR="00043856" w:rsidRPr="00F81A88" w:rsidRDefault="00043856" w:rsidP="00B85049">
            <w:pPr>
              <w:pStyle w:val="TableTextBold"/>
            </w:pPr>
            <w:r>
              <w:t xml:space="preserve">PCI </w:t>
            </w:r>
          </w:p>
        </w:tc>
        <w:tc>
          <w:tcPr>
            <w:tcW w:w="7135" w:type="dxa"/>
            <w:noWrap/>
          </w:tcPr>
          <w:p w14:paraId="09411D0A" w14:textId="77777777" w:rsidR="00043856" w:rsidRPr="00885CE0" w:rsidRDefault="00043856" w:rsidP="00B85049">
            <w:pPr>
              <w:pStyle w:val="TableText"/>
            </w:pPr>
            <w:r>
              <w:t>Payment Card Industry</w:t>
            </w:r>
          </w:p>
        </w:tc>
      </w:tr>
      <w:tr w:rsidR="00043856" w:rsidRPr="00F81A88" w14:paraId="6EA7C1CA" w14:textId="77777777" w:rsidTr="00B85049">
        <w:tblPrEx>
          <w:tblLook w:val="00A0" w:firstRow="1" w:lastRow="0" w:firstColumn="1" w:lastColumn="0" w:noHBand="0" w:noVBand="0"/>
        </w:tblPrEx>
        <w:trPr>
          <w:cantSplit/>
        </w:trPr>
        <w:tc>
          <w:tcPr>
            <w:tcW w:w="3514" w:type="dxa"/>
          </w:tcPr>
          <w:p w14:paraId="03DE192B" w14:textId="77777777" w:rsidR="00043856" w:rsidRDefault="00043856" w:rsidP="00B85049">
            <w:pPr>
              <w:pStyle w:val="TableTextBold"/>
            </w:pPr>
            <w:r w:rsidRPr="00D2546C">
              <w:t>Personnel</w:t>
            </w:r>
          </w:p>
        </w:tc>
        <w:tc>
          <w:tcPr>
            <w:tcW w:w="7135" w:type="dxa"/>
            <w:noWrap/>
          </w:tcPr>
          <w:p w14:paraId="7A78281C" w14:textId="782C815E" w:rsidR="00043856" w:rsidRDefault="00043856" w:rsidP="00B85049">
            <w:pPr>
              <w:pStyle w:val="TableText"/>
            </w:pPr>
            <w:r w:rsidRPr="00D2546C">
              <w:t xml:space="preserve">All </w:t>
            </w:r>
            <w:r w:rsidR="00A86D7F">
              <w:t>IBM</w:t>
            </w:r>
            <w:r w:rsidR="00A74D01">
              <w:t xml:space="preserve"> </w:t>
            </w:r>
            <w:r w:rsidRPr="00D2546C">
              <w:t xml:space="preserve">full and part-time employees, temporary workers, volunteers, contractors, or any other agents employed to perform work and who have been granted access to </w:t>
            </w:r>
            <w:r w:rsidR="00A86D7F">
              <w:t>IBM</w:t>
            </w:r>
            <w:r w:rsidR="00A74D01">
              <w:t xml:space="preserve"> </w:t>
            </w:r>
            <w:r w:rsidRPr="00D2546C">
              <w:t>Cloud and Data Center Services information systems and information assets.</w:t>
            </w:r>
          </w:p>
        </w:tc>
      </w:tr>
      <w:tr w:rsidR="00FE5D79" w:rsidRPr="00F81A88" w14:paraId="7879BA2E" w14:textId="77777777" w:rsidTr="00B85049">
        <w:tblPrEx>
          <w:tblLook w:val="00A0" w:firstRow="1" w:lastRow="0" w:firstColumn="1" w:lastColumn="0" w:noHBand="0" w:noVBand="0"/>
        </w:tblPrEx>
        <w:trPr>
          <w:cantSplit/>
        </w:trPr>
        <w:tc>
          <w:tcPr>
            <w:tcW w:w="3514" w:type="dxa"/>
          </w:tcPr>
          <w:p w14:paraId="10CEE647" w14:textId="47AE2B17" w:rsidR="00FE5D79" w:rsidRDefault="00FE5D79" w:rsidP="00B85049">
            <w:pPr>
              <w:pStyle w:val="TableTextBold"/>
            </w:pPr>
            <w:r>
              <w:t>RFI</w:t>
            </w:r>
          </w:p>
        </w:tc>
        <w:tc>
          <w:tcPr>
            <w:tcW w:w="7135" w:type="dxa"/>
            <w:noWrap/>
          </w:tcPr>
          <w:p w14:paraId="6C64F78C" w14:textId="7FB7E1E6" w:rsidR="00FE5D79" w:rsidRDefault="00FE5D79" w:rsidP="00B85049">
            <w:pPr>
              <w:pStyle w:val="TableText"/>
            </w:pPr>
            <w:r>
              <w:t>Request for Information</w:t>
            </w:r>
          </w:p>
        </w:tc>
      </w:tr>
      <w:tr w:rsidR="00FE5D79" w:rsidRPr="00F81A88" w14:paraId="27EF38CB" w14:textId="77777777" w:rsidTr="00B85049">
        <w:tblPrEx>
          <w:tblLook w:val="00A0" w:firstRow="1" w:lastRow="0" w:firstColumn="1" w:lastColumn="0" w:noHBand="0" w:noVBand="0"/>
        </w:tblPrEx>
        <w:trPr>
          <w:cantSplit/>
        </w:trPr>
        <w:tc>
          <w:tcPr>
            <w:tcW w:w="3514" w:type="dxa"/>
          </w:tcPr>
          <w:p w14:paraId="70E86E85" w14:textId="4C623EDF" w:rsidR="00FE5D79" w:rsidRDefault="00FE5D79" w:rsidP="00B85049">
            <w:pPr>
              <w:pStyle w:val="TableTextBold"/>
            </w:pPr>
            <w:r>
              <w:t>RFP</w:t>
            </w:r>
          </w:p>
        </w:tc>
        <w:tc>
          <w:tcPr>
            <w:tcW w:w="7135" w:type="dxa"/>
            <w:noWrap/>
          </w:tcPr>
          <w:p w14:paraId="1FE4CF3E" w14:textId="7012D6D6" w:rsidR="00FE5D79" w:rsidRDefault="00FE5D79" w:rsidP="00B85049">
            <w:pPr>
              <w:pStyle w:val="TableText"/>
            </w:pPr>
            <w:r>
              <w:t>Request for Proposal</w:t>
            </w:r>
          </w:p>
        </w:tc>
      </w:tr>
      <w:tr w:rsidR="00BA16C9" w:rsidRPr="00F81A88" w14:paraId="180987B8" w14:textId="77777777" w:rsidTr="00B85049">
        <w:tblPrEx>
          <w:tblLook w:val="00A0" w:firstRow="1" w:lastRow="0" w:firstColumn="1" w:lastColumn="0" w:noHBand="0" w:noVBand="0"/>
        </w:tblPrEx>
        <w:trPr>
          <w:cantSplit/>
        </w:trPr>
        <w:tc>
          <w:tcPr>
            <w:tcW w:w="3514" w:type="dxa"/>
          </w:tcPr>
          <w:p w14:paraId="2DF2EE22" w14:textId="40A86327" w:rsidR="00BA16C9" w:rsidRDefault="00BA16C9" w:rsidP="00B85049">
            <w:pPr>
              <w:pStyle w:val="TableTextBold"/>
            </w:pPr>
            <w:r>
              <w:t>SOA</w:t>
            </w:r>
          </w:p>
        </w:tc>
        <w:tc>
          <w:tcPr>
            <w:tcW w:w="7135" w:type="dxa"/>
            <w:noWrap/>
          </w:tcPr>
          <w:p w14:paraId="5BA65B4D" w14:textId="16F0A9AF" w:rsidR="00BA16C9" w:rsidRPr="00CC6A35" w:rsidRDefault="00BA16C9" w:rsidP="00B85049">
            <w:pPr>
              <w:pStyle w:val="TableText"/>
            </w:pPr>
            <w:r>
              <w:t>Statement of Applicability</w:t>
            </w:r>
          </w:p>
        </w:tc>
      </w:tr>
      <w:tr w:rsidR="00BE40C9" w:rsidRPr="00F81A88" w14:paraId="35D0B67A" w14:textId="77777777" w:rsidTr="00B85049">
        <w:tblPrEx>
          <w:tblLook w:val="00A0" w:firstRow="1" w:lastRow="0" w:firstColumn="1" w:lastColumn="0" w:noHBand="0" w:noVBand="0"/>
        </w:tblPrEx>
        <w:trPr>
          <w:cantSplit/>
        </w:trPr>
        <w:tc>
          <w:tcPr>
            <w:tcW w:w="3514" w:type="dxa"/>
          </w:tcPr>
          <w:p w14:paraId="77F61DED" w14:textId="5EDF9FE6" w:rsidR="00BE40C9" w:rsidRDefault="00BE40C9" w:rsidP="00B85049">
            <w:pPr>
              <w:pStyle w:val="TableTextBold"/>
            </w:pPr>
            <w:r>
              <w:t>SME</w:t>
            </w:r>
          </w:p>
        </w:tc>
        <w:tc>
          <w:tcPr>
            <w:tcW w:w="7135" w:type="dxa"/>
            <w:noWrap/>
          </w:tcPr>
          <w:p w14:paraId="37E70C54" w14:textId="71F1A8A4" w:rsidR="00BE40C9" w:rsidRPr="00CC6A35" w:rsidRDefault="00BE40C9" w:rsidP="00B85049">
            <w:pPr>
              <w:pStyle w:val="TableText"/>
            </w:pPr>
            <w:r>
              <w:t>Subject Matter Expert</w:t>
            </w:r>
          </w:p>
        </w:tc>
      </w:tr>
      <w:tr w:rsidR="00043856" w:rsidRPr="00F81A88" w14:paraId="49419733" w14:textId="77777777" w:rsidTr="00B85049">
        <w:tblPrEx>
          <w:tblLook w:val="00A0" w:firstRow="1" w:lastRow="0" w:firstColumn="1" w:lastColumn="0" w:noHBand="0" w:noVBand="0"/>
        </w:tblPrEx>
        <w:trPr>
          <w:cantSplit/>
        </w:trPr>
        <w:tc>
          <w:tcPr>
            <w:tcW w:w="3514" w:type="dxa"/>
          </w:tcPr>
          <w:p w14:paraId="34C259E5" w14:textId="77777777" w:rsidR="00043856" w:rsidRPr="00F81A88" w:rsidRDefault="00043856" w:rsidP="00B85049">
            <w:pPr>
              <w:pStyle w:val="TableTextBold"/>
            </w:pPr>
            <w:r>
              <w:t>SSAE 16</w:t>
            </w:r>
          </w:p>
        </w:tc>
        <w:tc>
          <w:tcPr>
            <w:tcW w:w="7135" w:type="dxa"/>
            <w:noWrap/>
          </w:tcPr>
          <w:p w14:paraId="1EFF753E" w14:textId="77777777" w:rsidR="00043856" w:rsidRPr="00885CE0" w:rsidRDefault="00043856" w:rsidP="00B85049">
            <w:pPr>
              <w:pStyle w:val="TableText"/>
            </w:pPr>
            <w:r w:rsidRPr="00CC6A35">
              <w:t>Statements on Standards for Attestation Engagements</w:t>
            </w:r>
          </w:p>
        </w:tc>
      </w:tr>
      <w:tr w:rsidR="00043856" w:rsidRPr="00F81A88" w14:paraId="45F5E818" w14:textId="77777777" w:rsidTr="00B85049">
        <w:tblPrEx>
          <w:tblLook w:val="00A0" w:firstRow="1" w:lastRow="0" w:firstColumn="1" w:lastColumn="0" w:noHBand="0" w:noVBand="0"/>
        </w:tblPrEx>
        <w:trPr>
          <w:cantSplit/>
        </w:trPr>
        <w:tc>
          <w:tcPr>
            <w:tcW w:w="3514" w:type="dxa"/>
          </w:tcPr>
          <w:p w14:paraId="74526AE6" w14:textId="77777777" w:rsidR="00043856" w:rsidRPr="00F81A88" w:rsidRDefault="00043856" w:rsidP="00B85049">
            <w:pPr>
              <w:pStyle w:val="TableTextBold"/>
            </w:pPr>
            <w:r>
              <w:t>TCC</w:t>
            </w:r>
          </w:p>
        </w:tc>
        <w:tc>
          <w:tcPr>
            <w:tcW w:w="7135" w:type="dxa"/>
            <w:noWrap/>
          </w:tcPr>
          <w:p w14:paraId="18DBDE90" w14:textId="5E6BF885" w:rsidR="00043856" w:rsidRPr="00885CE0" w:rsidRDefault="00A86D7F" w:rsidP="00B85049">
            <w:pPr>
              <w:pStyle w:val="TableText"/>
            </w:pPr>
            <w:r>
              <w:t>IBM</w:t>
            </w:r>
            <w:r w:rsidR="00A74D01">
              <w:t xml:space="preserve"> </w:t>
            </w:r>
            <w:r w:rsidR="00043856" w:rsidRPr="0016751C">
              <w:t>Technical Coordination Committee</w:t>
            </w:r>
          </w:p>
        </w:tc>
      </w:tr>
      <w:tr w:rsidR="00BA16C9" w:rsidRPr="00F81A88" w14:paraId="6B437E94" w14:textId="77777777" w:rsidTr="00B85049">
        <w:tblPrEx>
          <w:tblLook w:val="00A0" w:firstRow="1" w:lastRow="0" w:firstColumn="1" w:lastColumn="0" w:noHBand="0" w:noVBand="0"/>
        </w:tblPrEx>
        <w:trPr>
          <w:cantSplit/>
        </w:trPr>
        <w:tc>
          <w:tcPr>
            <w:tcW w:w="3514" w:type="dxa"/>
          </w:tcPr>
          <w:p w14:paraId="4DCF2C62" w14:textId="175BF76B" w:rsidR="00BA16C9" w:rsidRDefault="00BA16C9" w:rsidP="00B85049">
            <w:pPr>
              <w:pStyle w:val="TableTextBold"/>
            </w:pPr>
            <w:r>
              <w:t>VP</w:t>
            </w:r>
          </w:p>
        </w:tc>
        <w:tc>
          <w:tcPr>
            <w:tcW w:w="7135" w:type="dxa"/>
            <w:noWrap/>
          </w:tcPr>
          <w:p w14:paraId="1FE69088" w14:textId="08877277" w:rsidR="00BA16C9" w:rsidRPr="00043856" w:rsidRDefault="00BA16C9" w:rsidP="00B85049">
            <w:pPr>
              <w:pStyle w:val="TableText"/>
              <w:rPr>
                <w:lang w:val="en-GB"/>
              </w:rPr>
            </w:pPr>
            <w:r>
              <w:rPr>
                <w:lang w:val="en-GB"/>
              </w:rPr>
              <w:t>Vice President</w:t>
            </w:r>
          </w:p>
        </w:tc>
      </w:tr>
    </w:tbl>
    <w:p w14:paraId="24D701D7" w14:textId="77777777" w:rsidR="00C562E4" w:rsidRPr="00CA4DF0" w:rsidRDefault="00C562E4" w:rsidP="00C562E4">
      <w:pPr>
        <w:pStyle w:val="Body"/>
      </w:pPr>
    </w:p>
    <w:p w14:paraId="24D701D8" w14:textId="77777777" w:rsidR="00C562E4" w:rsidRDefault="00C562E4" w:rsidP="00C562E4">
      <w:pPr>
        <w:pStyle w:val="appendixheader"/>
      </w:pPr>
      <w:bookmarkStart w:id="71" w:name="_Toc477246989"/>
      <w:bookmarkStart w:id="72" w:name="_Toc500426947"/>
      <w:r w:rsidRPr="00CA4DF0">
        <w:lastRenderedPageBreak/>
        <w:t xml:space="preserve">Appendix </w:t>
      </w:r>
      <w:r>
        <w:fldChar w:fldCharType="begin"/>
      </w:r>
      <w:r>
        <w:instrText xml:space="preserve"> AUTONUM  \* ALPHABETIC \s " - " </w:instrText>
      </w:r>
      <w:r>
        <w:fldChar w:fldCharType="end"/>
      </w:r>
      <w:r>
        <w:t xml:space="preserve"> - References</w:t>
      </w:r>
      <w:bookmarkEnd w:id="71"/>
      <w:bookmarkEnd w:id="72"/>
    </w:p>
    <w:p w14:paraId="24D701D9" w14:textId="77777777" w:rsidR="00A439BC" w:rsidRPr="005B3E4D" w:rsidRDefault="00B1000A" w:rsidP="007701BE">
      <w:pPr>
        <w:pStyle w:val="TableTitleLine"/>
      </w:pPr>
      <w:bookmarkStart w:id="73" w:name="_Toc500426952"/>
      <w:r w:rsidRPr="005B3E4D">
        <w:t xml:space="preserve">Table </w:t>
      </w:r>
      <w:r w:rsidR="00EB3985">
        <w:t>B</w:t>
      </w:r>
      <w:r w:rsidRPr="005B3E4D">
        <w:noBreakHyphen/>
      </w:r>
      <w:r w:rsidR="00EB3985">
        <w:t>1</w:t>
      </w:r>
      <w:r w:rsidRPr="005B3E4D">
        <w:t xml:space="preserve">: </w:t>
      </w:r>
      <w:r w:rsidR="00A439BC" w:rsidRPr="005B3E4D">
        <w:t>References</w:t>
      </w:r>
      <w:bookmarkEnd w:id="73"/>
    </w:p>
    <w:tbl>
      <w:tblPr>
        <w:tblW w:w="10624"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20" w:firstRow="1" w:lastRow="0" w:firstColumn="0" w:lastColumn="0" w:noHBand="0" w:noVBand="0"/>
      </w:tblPr>
      <w:tblGrid>
        <w:gridCol w:w="2754"/>
        <w:gridCol w:w="7870"/>
      </w:tblGrid>
      <w:tr w:rsidR="007F2EF8" w:rsidRPr="008B4FE1" w14:paraId="1F85B9DD" w14:textId="77777777" w:rsidTr="00B1369E">
        <w:trPr>
          <w:cantSplit/>
          <w:tblHeader/>
        </w:trPr>
        <w:tc>
          <w:tcPr>
            <w:tcW w:w="2754" w:type="dxa"/>
            <w:tcBorders>
              <w:bottom w:val="double" w:sz="4" w:space="0" w:color="auto"/>
            </w:tcBorders>
            <w:shd w:val="clear" w:color="auto" w:fill="E6E6E6"/>
            <w:tcMar>
              <w:top w:w="14" w:type="dxa"/>
              <w:bottom w:w="14" w:type="dxa"/>
            </w:tcMar>
            <w:vAlign w:val="center"/>
          </w:tcPr>
          <w:p w14:paraId="41BF0DF1" w14:textId="77777777" w:rsidR="007F2EF8" w:rsidRPr="008B4FE1" w:rsidRDefault="007F2EF8" w:rsidP="00B1369E">
            <w:pPr>
              <w:pStyle w:val="tableheading"/>
            </w:pPr>
            <w:r w:rsidRPr="008B4FE1">
              <w:t>Document Number</w:t>
            </w:r>
          </w:p>
        </w:tc>
        <w:tc>
          <w:tcPr>
            <w:tcW w:w="7870" w:type="dxa"/>
            <w:tcBorders>
              <w:bottom w:val="double" w:sz="4" w:space="0" w:color="auto"/>
            </w:tcBorders>
            <w:shd w:val="clear" w:color="auto" w:fill="E6E6E6"/>
            <w:tcMar>
              <w:top w:w="14" w:type="dxa"/>
              <w:bottom w:w="14" w:type="dxa"/>
            </w:tcMar>
            <w:vAlign w:val="center"/>
          </w:tcPr>
          <w:p w14:paraId="5986B2C9" w14:textId="77777777" w:rsidR="007F2EF8" w:rsidRPr="008B4FE1" w:rsidRDefault="007F2EF8" w:rsidP="00B1369E">
            <w:pPr>
              <w:pStyle w:val="tableheading"/>
            </w:pPr>
            <w:r w:rsidRPr="008B4FE1">
              <w:t>Document Title</w:t>
            </w:r>
          </w:p>
        </w:tc>
      </w:tr>
      <w:tr w:rsidR="007F2EF8" w:rsidRPr="008B4FE1" w14:paraId="02644AF6" w14:textId="77777777" w:rsidTr="00B1369E">
        <w:trPr>
          <w:cantSplit/>
          <w:trHeight w:val="20"/>
        </w:trPr>
        <w:tc>
          <w:tcPr>
            <w:tcW w:w="2754" w:type="dxa"/>
          </w:tcPr>
          <w:p w14:paraId="2E3FF73C" w14:textId="77777777" w:rsidR="007F2EF8" w:rsidRPr="008B4FE1" w:rsidRDefault="007F2EF8" w:rsidP="00B1369E">
            <w:pPr>
              <w:pStyle w:val="TableTextBold"/>
            </w:pPr>
            <w:r w:rsidRPr="005110B8">
              <w:rPr>
                <w:lang w:val="en-US"/>
              </w:rPr>
              <w:t>SECM-00</w:t>
            </w:r>
            <w:r>
              <w:rPr>
                <w:lang w:val="en-US"/>
              </w:rPr>
              <w:t>089</w:t>
            </w:r>
          </w:p>
        </w:tc>
        <w:tc>
          <w:tcPr>
            <w:tcW w:w="7870" w:type="dxa"/>
            <w:noWrap/>
          </w:tcPr>
          <w:p w14:paraId="66FC916F" w14:textId="77777777" w:rsidR="007F2EF8" w:rsidRPr="00692FBF" w:rsidRDefault="00607325" w:rsidP="00B1369E">
            <w:pPr>
              <w:pStyle w:val="TableText"/>
            </w:pPr>
            <w:hyperlink r:id="rId22" w:history="1">
              <w:r w:rsidR="007F2EF8" w:rsidRPr="00312792">
                <w:rPr>
                  <w:rStyle w:val="Hyperlink"/>
                </w:rPr>
                <w:t>SECM 00089 Policy Management Process</w:t>
              </w:r>
            </w:hyperlink>
          </w:p>
        </w:tc>
      </w:tr>
      <w:tr w:rsidR="007F2EF8" w:rsidRPr="008B4FE1" w14:paraId="575A3BDF" w14:textId="77777777" w:rsidTr="00B1369E">
        <w:trPr>
          <w:cantSplit/>
          <w:trHeight w:val="20"/>
        </w:trPr>
        <w:tc>
          <w:tcPr>
            <w:tcW w:w="2754" w:type="dxa"/>
          </w:tcPr>
          <w:p w14:paraId="5C9C679A" w14:textId="77777777" w:rsidR="007F2EF8" w:rsidRPr="008B4FE1" w:rsidRDefault="007F2EF8" w:rsidP="00B1369E">
            <w:pPr>
              <w:pStyle w:val="TableTextBold"/>
            </w:pPr>
          </w:p>
        </w:tc>
        <w:tc>
          <w:tcPr>
            <w:tcW w:w="7870" w:type="dxa"/>
            <w:noWrap/>
          </w:tcPr>
          <w:p w14:paraId="773F6D8A" w14:textId="77777777" w:rsidR="007F2EF8" w:rsidRPr="00692FBF" w:rsidRDefault="007F2EF8" w:rsidP="00B1369E">
            <w:pPr>
              <w:pStyle w:val="TableText"/>
            </w:pPr>
          </w:p>
        </w:tc>
      </w:tr>
      <w:tr w:rsidR="007F2EF8" w:rsidRPr="008B4FE1" w14:paraId="4A7EB50A" w14:textId="77777777" w:rsidTr="00B1369E">
        <w:trPr>
          <w:cantSplit/>
          <w:trHeight w:val="20"/>
        </w:trPr>
        <w:tc>
          <w:tcPr>
            <w:tcW w:w="2754" w:type="dxa"/>
          </w:tcPr>
          <w:p w14:paraId="3BB7B3DA" w14:textId="77777777" w:rsidR="007F2EF8" w:rsidRPr="008B4FE1" w:rsidRDefault="007F2EF8" w:rsidP="00B1369E">
            <w:pPr>
              <w:pStyle w:val="TableTextBold"/>
            </w:pPr>
          </w:p>
        </w:tc>
        <w:tc>
          <w:tcPr>
            <w:tcW w:w="7870" w:type="dxa"/>
            <w:noWrap/>
          </w:tcPr>
          <w:p w14:paraId="117B83DF" w14:textId="77777777" w:rsidR="007F2EF8" w:rsidRPr="00692FBF" w:rsidRDefault="007F2EF8" w:rsidP="00B1369E">
            <w:pPr>
              <w:pStyle w:val="TableText"/>
            </w:pPr>
          </w:p>
        </w:tc>
      </w:tr>
      <w:tr w:rsidR="007F2EF8" w:rsidRPr="008B4FE1" w14:paraId="26AD8DE7" w14:textId="77777777" w:rsidTr="00B1369E">
        <w:trPr>
          <w:cantSplit/>
          <w:trHeight w:val="20"/>
        </w:trPr>
        <w:tc>
          <w:tcPr>
            <w:tcW w:w="2754" w:type="dxa"/>
          </w:tcPr>
          <w:p w14:paraId="79F40EDB" w14:textId="77777777" w:rsidR="007F2EF8" w:rsidRPr="008B4FE1" w:rsidRDefault="007F2EF8" w:rsidP="00B1369E">
            <w:pPr>
              <w:pStyle w:val="TableTextBold"/>
            </w:pPr>
          </w:p>
        </w:tc>
        <w:tc>
          <w:tcPr>
            <w:tcW w:w="7870" w:type="dxa"/>
            <w:noWrap/>
          </w:tcPr>
          <w:p w14:paraId="22EAD9AD" w14:textId="77777777" w:rsidR="007F2EF8" w:rsidRPr="00692FBF" w:rsidRDefault="007F2EF8" w:rsidP="00B1369E">
            <w:pPr>
              <w:pStyle w:val="TableText"/>
            </w:pPr>
          </w:p>
        </w:tc>
      </w:tr>
    </w:tbl>
    <w:p w14:paraId="06BC514C" w14:textId="77777777" w:rsidR="007F2EF8" w:rsidRDefault="007F2EF8" w:rsidP="00C562E4">
      <w:pPr>
        <w:pStyle w:val="Body"/>
      </w:pPr>
    </w:p>
    <w:p w14:paraId="24D701F0" w14:textId="77777777" w:rsidR="00CA4DF0" w:rsidRDefault="00CA4DF0" w:rsidP="006D1F01">
      <w:pPr>
        <w:pStyle w:val="appendixheader"/>
      </w:pPr>
      <w:bookmarkStart w:id="74" w:name="_Toc477246990"/>
      <w:bookmarkStart w:id="75" w:name="_Toc500426948"/>
      <w:r w:rsidRPr="00CA4DF0">
        <w:lastRenderedPageBreak/>
        <w:t xml:space="preserve">Appendix </w:t>
      </w:r>
      <w:r w:rsidR="00DE5CCA">
        <w:fldChar w:fldCharType="begin"/>
      </w:r>
      <w:r w:rsidR="00DE5CCA">
        <w:instrText xml:space="preserve"> AUTONUM  \* ALPHABETIC \s " - " </w:instrText>
      </w:r>
      <w:r w:rsidR="00DE5CCA">
        <w:fldChar w:fldCharType="end"/>
      </w:r>
      <w:r>
        <w:t xml:space="preserve"> - </w:t>
      </w:r>
      <w:r w:rsidR="00C562E4">
        <w:t>Distribution</w:t>
      </w:r>
      <w:bookmarkEnd w:id="74"/>
      <w:bookmarkEnd w:id="75"/>
    </w:p>
    <w:p w14:paraId="24D701F1" w14:textId="77777777" w:rsidR="001F12DE" w:rsidRPr="007701BE" w:rsidRDefault="00B1000A" w:rsidP="007701BE">
      <w:pPr>
        <w:pStyle w:val="TableTitleLine"/>
      </w:pPr>
      <w:bookmarkStart w:id="76" w:name="_Toc500426953"/>
      <w:r w:rsidRPr="007701BE">
        <w:t xml:space="preserve">Table </w:t>
      </w:r>
      <w:r w:rsidR="00EB3985" w:rsidRPr="007701BE">
        <w:t>C</w:t>
      </w:r>
      <w:r w:rsidRPr="007701BE">
        <w:noBreakHyphen/>
      </w:r>
      <w:r w:rsidR="00EB3985" w:rsidRPr="007701BE">
        <w:t>1</w:t>
      </w:r>
      <w:r w:rsidRPr="007701BE">
        <w:t xml:space="preserve">: </w:t>
      </w:r>
      <w:r w:rsidR="00C562E4" w:rsidRPr="007701BE">
        <w:t>Distribution Contacts</w:t>
      </w:r>
      <w:bookmarkEnd w:id="76"/>
    </w:p>
    <w:tbl>
      <w:tblPr>
        <w:tblW w:w="10649"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00" w:firstRow="0" w:lastRow="0" w:firstColumn="0" w:lastColumn="0" w:noHBand="0" w:noVBand="0"/>
      </w:tblPr>
      <w:tblGrid>
        <w:gridCol w:w="3424"/>
        <w:gridCol w:w="7225"/>
      </w:tblGrid>
      <w:tr w:rsidR="00EF7606" w:rsidRPr="00F81A88" w14:paraId="5E85C096" w14:textId="77777777" w:rsidTr="00B1369E">
        <w:trPr>
          <w:cantSplit/>
          <w:tblHeader/>
        </w:trPr>
        <w:tc>
          <w:tcPr>
            <w:tcW w:w="3424" w:type="dxa"/>
            <w:tcBorders>
              <w:top w:val="single" w:sz="8" w:space="0" w:color="auto"/>
              <w:bottom w:val="double" w:sz="4" w:space="0" w:color="auto"/>
            </w:tcBorders>
            <w:shd w:val="clear" w:color="auto" w:fill="E6E6E6"/>
            <w:tcMar>
              <w:top w:w="14" w:type="dxa"/>
              <w:bottom w:w="14" w:type="dxa"/>
            </w:tcMar>
            <w:vAlign w:val="center"/>
          </w:tcPr>
          <w:p w14:paraId="583DE58E" w14:textId="77777777" w:rsidR="00EF7606" w:rsidRPr="00F81A88" w:rsidRDefault="00EF7606" w:rsidP="00B1369E">
            <w:pPr>
              <w:pStyle w:val="tableheading"/>
            </w:pPr>
            <w:r>
              <w:t>Name/Role</w:t>
            </w:r>
          </w:p>
        </w:tc>
        <w:tc>
          <w:tcPr>
            <w:tcW w:w="7225" w:type="dxa"/>
            <w:tcBorders>
              <w:top w:val="single" w:sz="8" w:space="0" w:color="auto"/>
              <w:bottom w:val="double" w:sz="4" w:space="0" w:color="auto"/>
            </w:tcBorders>
            <w:shd w:val="clear" w:color="auto" w:fill="E6E6E6"/>
            <w:tcMar>
              <w:top w:w="14" w:type="dxa"/>
              <w:bottom w:w="14" w:type="dxa"/>
            </w:tcMar>
            <w:vAlign w:val="center"/>
          </w:tcPr>
          <w:p w14:paraId="599C5C17" w14:textId="77777777" w:rsidR="00EF7606" w:rsidRPr="00F81A88" w:rsidRDefault="00EF7606" w:rsidP="00B1369E">
            <w:pPr>
              <w:pStyle w:val="tableheading"/>
            </w:pPr>
            <w:r>
              <w:t>Contact Information</w:t>
            </w:r>
          </w:p>
        </w:tc>
      </w:tr>
      <w:tr w:rsidR="00EF7606" w:rsidRPr="00F81A88" w14:paraId="6256A491" w14:textId="77777777" w:rsidTr="00B1369E">
        <w:tblPrEx>
          <w:tblLook w:val="00A0" w:firstRow="1" w:lastRow="0" w:firstColumn="1" w:lastColumn="0" w:noHBand="0" w:noVBand="0"/>
        </w:tblPrEx>
        <w:trPr>
          <w:cantSplit/>
          <w:trHeight w:val="20"/>
        </w:trPr>
        <w:tc>
          <w:tcPr>
            <w:tcW w:w="3424" w:type="dxa"/>
          </w:tcPr>
          <w:p w14:paraId="41941C94" w14:textId="30655192" w:rsidR="00EF7606" w:rsidRPr="00507784" w:rsidRDefault="00EA671A" w:rsidP="00507784">
            <w:pPr>
              <w:pStyle w:val="TableTextBold"/>
            </w:pPr>
            <w:r>
              <w:t>GTS PCI Audit Team</w:t>
            </w:r>
          </w:p>
        </w:tc>
        <w:tc>
          <w:tcPr>
            <w:tcW w:w="7225" w:type="dxa"/>
            <w:noWrap/>
          </w:tcPr>
          <w:p w14:paraId="6A19296A" w14:textId="28EA0255" w:rsidR="00EF7606" w:rsidRPr="00507784" w:rsidRDefault="00EA671A" w:rsidP="00507784">
            <w:pPr>
              <w:pStyle w:val="TableText"/>
            </w:pPr>
            <w:hyperlink r:id="rId23" w:history="1">
              <w:r w:rsidRPr="0084216C">
                <w:rPr>
                  <w:rStyle w:val="Hyperlink"/>
                </w:rPr>
                <w:t>GTS_PCI_AUDIT_TEAM@wwpdl.v</w:t>
              </w:r>
              <w:r>
                <w:rPr>
                  <w:rStyle w:val="Hyperlink"/>
                </w:rPr>
                <w:t>net</w:t>
              </w:r>
              <w:r w:rsidRPr="0084216C">
                <w:rPr>
                  <w:rStyle w:val="Hyperlink"/>
                </w:rPr>
                <w:t>.ibm.com</w:t>
              </w:r>
            </w:hyperlink>
          </w:p>
        </w:tc>
      </w:tr>
      <w:tr w:rsidR="00EF7606" w:rsidRPr="00F81A88" w14:paraId="2618630F" w14:textId="77777777" w:rsidTr="00B1369E">
        <w:tblPrEx>
          <w:tblLook w:val="00A0" w:firstRow="1" w:lastRow="0" w:firstColumn="1" w:lastColumn="0" w:noHBand="0" w:noVBand="0"/>
        </w:tblPrEx>
        <w:trPr>
          <w:cantSplit/>
          <w:trHeight w:val="20"/>
        </w:trPr>
        <w:tc>
          <w:tcPr>
            <w:tcW w:w="3424" w:type="dxa"/>
          </w:tcPr>
          <w:p w14:paraId="30F43F72" w14:textId="4BE15E55" w:rsidR="00EF7606" w:rsidRPr="00507784" w:rsidRDefault="00EA671A" w:rsidP="00507784">
            <w:pPr>
              <w:pStyle w:val="TableTextBold"/>
            </w:pPr>
            <w:r>
              <w:t>GCTS Governance and Compliance</w:t>
            </w:r>
          </w:p>
        </w:tc>
        <w:tc>
          <w:tcPr>
            <w:tcW w:w="7225" w:type="dxa"/>
            <w:noWrap/>
          </w:tcPr>
          <w:p w14:paraId="2532BA0E" w14:textId="485C2516" w:rsidR="00EF7606" w:rsidRPr="00507784" w:rsidRDefault="00607325" w:rsidP="00507784">
            <w:pPr>
              <w:pStyle w:val="TableText"/>
            </w:pPr>
            <w:hyperlink r:id="rId24" w:history="1">
              <w:r w:rsidRPr="00207062">
                <w:rPr>
                  <w:rStyle w:val="Hyperlink"/>
                  <w:rFonts w:ascii="Helv" w:hAnsi="Helv" w:cs="Helv"/>
                  <w:lang w:bidi="ar-SA"/>
                </w:rPr>
                <w:t>GCTS-Governance&amp;Compliance@wwpdl.vnet.ibm.com</w:t>
              </w:r>
            </w:hyperlink>
            <w:r>
              <w:rPr>
                <w:rFonts w:ascii="Helv" w:hAnsi="Helv" w:cs="Helv"/>
                <w:color w:val="000000"/>
                <w:lang w:bidi="ar-SA"/>
              </w:rPr>
              <w:t xml:space="preserve"> </w:t>
            </w:r>
          </w:p>
        </w:tc>
      </w:tr>
      <w:tr w:rsidR="00EF7606" w:rsidRPr="00F81A88" w14:paraId="151A6095" w14:textId="77777777" w:rsidTr="00B1369E">
        <w:tblPrEx>
          <w:tblLook w:val="00A0" w:firstRow="1" w:lastRow="0" w:firstColumn="1" w:lastColumn="0" w:noHBand="0" w:noVBand="0"/>
        </w:tblPrEx>
        <w:trPr>
          <w:cantSplit/>
          <w:trHeight w:val="20"/>
        </w:trPr>
        <w:tc>
          <w:tcPr>
            <w:tcW w:w="3424" w:type="dxa"/>
          </w:tcPr>
          <w:p w14:paraId="109D043A" w14:textId="4EBE5A62" w:rsidR="00EF7606" w:rsidRPr="00507784" w:rsidRDefault="00EA671A" w:rsidP="00507784">
            <w:pPr>
              <w:pStyle w:val="TableTextBold"/>
            </w:pPr>
            <w:r>
              <w:t>GTS Risk and Compliance RFI Request Group</w:t>
            </w:r>
          </w:p>
        </w:tc>
        <w:tc>
          <w:tcPr>
            <w:tcW w:w="7225" w:type="dxa"/>
            <w:noWrap/>
          </w:tcPr>
          <w:p w14:paraId="72B7ED60" w14:textId="5869F25D" w:rsidR="00EF7606" w:rsidRPr="00EA671A" w:rsidRDefault="00EA671A" w:rsidP="00EA671A">
            <w:pPr>
              <w:pStyle w:val="TableText"/>
            </w:pPr>
            <w:r w:rsidRPr="00EA671A">
              <w:t xml:space="preserve">GTS Risk and Compliance RFI </w:t>
            </w:r>
            <w:hyperlink r:id="rId25" w:history="1">
              <w:r w:rsidR="00607325" w:rsidRPr="00207062">
                <w:rPr>
                  <w:rStyle w:val="Hyperlink"/>
                </w:rPr>
                <w:t>Requests@wwpdl.vnet.ibm.com</w:t>
              </w:r>
            </w:hyperlink>
            <w:r w:rsidR="00607325">
              <w:t xml:space="preserve"> </w:t>
            </w:r>
            <w:bookmarkStart w:id="77" w:name="_GoBack"/>
            <w:bookmarkEnd w:id="77"/>
          </w:p>
        </w:tc>
      </w:tr>
    </w:tbl>
    <w:p w14:paraId="24D7020A" w14:textId="77777777" w:rsidR="00DE5CCA" w:rsidRPr="00A439BC" w:rsidRDefault="00DE5CCA" w:rsidP="00A439BC">
      <w:pPr>
        <w:pStyle w:val="Body"/>
      </w:pPr>
    </w:p>
    <w:sectPr w:rsidR="00DE5CCA" w:rsidRPr="00A439BC" w:rsidSect="0070377F">
      <w:headerReference w:type="even" r:id="rId26"/>
      <w:headerReference w:type="default" r:id="rId27"/>
      <w:headerReference w:type="first" r:id="rId28"/>
      <w:pgSz w:w="12240" w:h="15840"/>
      <w:pgMar w:top="1008" w:right="720" w:bottom="1008"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1FB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FB3CA" w16cid:durableId="1EE49F6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D6E5F" w14:textId="77777777" w:rsidR="00865EDC" w:rsidRDefault="00865EDC" w:rsidP="006D1F01">
      <w:r>
        <w:separator/>
      </w:r>
    </w:p>
    <w:p w14:paraId="46101531" w14:textId="77777777" w:rsidR="00865EDC" w:rsidRDefault="00865EDC" w:rsidP="006D1F01"/>
    <w:p w14:paraId="7209DB1B" w14:textId="77777777" w:rsidR="00865EDC" w:rsidRDefault="00865EDC" w:rsidP="006D1F01"/>
    <w:p w14:paraId="7F2780A2" w14:textId="77777777" w:rsidR="00865EDC" w:rsidRDefault="00865EDC" w:rsidP="006D1F01"/>
  </w:endnote>
  <w:endnote w:type="continuationSeparator" w:id="0">
    <w:p w14:paraId="7ECCBFA8" w14:textId="77777777" w:rsidR="00865EDC" w:rsidRDefault="00865EDC" w:rsidP="006D1F01">
      <w:r>
        <w:continuationSeparator/>
      </w:r>
    </w:p>
    <w:p w14:paraId="0FE19D0D" w14:textId="77777777" w:rsidR="00865EDC" w:rsidRDefault="00865EDC" w:rsidP="006D1F01"/>
    <w:p w14:paraId="5D52A981" w14:textId="77777777" w:rsidR="00865EDC" w:rsidRDefault="00865EDC" w:rsidP="006D1F01"/>
    <w:p w14:paraId="473D9307" w14:textId="77777777" w:rsidR="00865EDC" w:rsidRDefault="00865EDC" w:rsidP="006D1F01"/>
  </w:endnote>
  <w:endnote w:type="continuationNotice" w:id="1">
    <w:p w14:paraId="120BB030" w14:textId="77777777" w:rsidR="00865EDC" w:rsidRDefault="00865ED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BM Plex Sans SemiBold">
    <w:altName w:val="Segoe UI Semibold"/>
    <w:charset w:val="00"/>
    <w:family w:val="swiss"/>
    <w:pitch w:val="variable"/>
    <w:sig w:usb0="A000026F" w:usb1="5000207B" w:usb2="00000000"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BM Plex Sans Text">
    <w:altName w:val="Corbel"/>
    <w:charset w:val="00"/>
    <w:family w:val="swiss"/>
    <w:pitch w:val="variable"/>
    <w:sig w:usb0="A000026F" w:usb1="5000207B" w:usb2="00000000" w:usb3="00000000" w:csb0="00000197" w:csb1="00000000"/>
  </w:font>
  <w:font w:name="Arial Bold">
    <w:panose1 w:val="020B0704020202020204"/>
    <w:charset w:val="00"/>
    <w:family w:val="roman"/>
    <w:notTrueType/>
    <w:pitch w:val="default"/>
    <w:sig w:usb0="00000003" w:usb1="00000000" w:usb2="00000000" w:usb3="00000000" w:csb0="00000001" w:csb1="00000000"/>
  </w:font>
  <w:font w:name="Verizon Apex Bold">
    <w:altName w:val="Times New Roman"/>
    <w:panose1 w:val="02010600040501010103"/>
    <w:charset w:val="A1"/>
    <w:family w:val="auto"/>
    <w:pitch w:val="variable"/>
    <w:sig w:usb0="800000AF" w:usb1="4000204A" w:usb2="00000000" w:usb3="00000000" w:csb0="0000008B" w:csb1="00000000"/>
  </w:font>
  <w:font w:name="Verizon Apex Medium">
    <w:altName w:val="Calibri"/>
    <w:panose1 w:val="02010600040501010103"/>
    <w:charset w:val="A1"/>
    <w:family w:val="auto"/>
    <w:pitch w:val="variable"/>
    <w:sig w:usb0="800000AF" w:usb1="4000204A" w:usb2="00000000" w:usb3="00000000" w:csb0="0000008B" w:csb1="00000000"/>
  </w:font>
  <w:font w:name="MS Mincho">
    <w:altName w:val="ＭＳ 明朝"/>
    <w:panose1 w:val="02020609040205080304"/>
    <w:charset w:val="80"/>
    <w:family w:val="modern"/>
    <w:pitch w:val="fixed"/>
    <w:sig w:usb0="E00002FF" w:usb1="6AC7FDFB" w:usb2="00000012" w:usb3="00000000" w:csb0="0002009F" w:csb1="00000000"/>
  </w:font>
  <w:font w:name="NeueHaasGroteskDisp Std Md">
    <w:panose1 w:val="00000000000000000000"/>
    <w:charset w:val="00"/>
    <w:family w:val="swiss"/>
    <w:notTrueType/>
    <w:pitch w:val="variable"/>
    <w:sig w:usb0="00000007" w:usb1="00000000" w:usb2="00000000" w:usb3="00000000" w:csb0="00000093"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7B5E1" w14:textId="77777777" w:rsidR="00E521C5" w:rsidRPr="00500D46" w:rsidRDefault="00E521C5" w:rsidP="00830379">
    <w:pPr>
      <w:pStyle w:val="space"/>
      <w:rPr>
        <w:sz w:val="12"/>
      </w:rPr>
    </w:pPr>
  </w:p>
  <w:p w14:paraId="27D9405F" w14:textId="77777777" w:rsidR="00E521C5" w:rsidRPr="004C22BF" w:rsidRDefault="00E521C5" w:rsidP="00830379">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548748DD" w14:textId="77777777" w:rsidR="00E521C5" w:rsidRPr="00500D46" w:rsidRDefault="00E521C5" w:rsidP="00830379">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650323A5" w14:textId="77777777" w:rsidR="00E521C5" w:rsidRPr="00937C69" w:rsidRDefault="00E521C5" w:rsidP="00830379">
    <w:pPr>
      <w:pStyle w:val="DMSFooter"/>
    </w:pPr>
    <w:r w:rsidRPr="00937C69">
      <w:t>Before using this document, consult the Document Management System for the latest revision.</w:t>
    </w:r>
  </w:p>
  <w:p w14:paraId="24D70225" w14:textId="447B5738" w:rsidR="00E521C5" w:rsidRPr="00FC62E9" w:rsidRDefault="00E521C5" w:rsidP="00830379">
    <w:pPr>
      <w:pStyle w:val="DMSFooter"/>
    </w:pPr>
    <w:r w:rsidRPr="00937C69">
      <w:t>Printed copies are uncontrolled unless otherwise identified.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238DE" w14:textId="77777777" w:rsidR="00E521C5" w:rsidRPr="00500D46" w:rsidRDefault="00E521C5" w:rsidP="00830379">
    <w:pPr>
      <w:pStyle w:val="space"/>
      <w:rPr>
        <w:sz w:val="12"/>
      </w:rPr>
    </w:pPr>
  </w:p>
  <w:p w14:paraId="0CCC7E35" w14:textId="77777777" w:rsidR="00E521C5" w:rsidRPr="004C22BF" w:rsidRDefault="00E521C5" w:rsidP="00830379">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10440"/>
      </w:tabs>
      <w:spacing w:before="0" w:after="0"/>
      <w:rPr>
        <w:b/>
        <w:color w:val="383838" w:themeColor="text1" w:themeShade="BF"/>
        <w:sz w:val="20"/>
        <w:szCs w:val="22"/>
      </w:rPr>
    </w:pPr>
    <w:r>
      <w:rPr>
        <w:b/>
        <w:color w:val="383838" w:themeColor="text1" w:themeShade="BF"/>
        <w:sz w:val="20"/>
        <w:szCs w:val="22"/>
      </w:rPr>
      <w:t>GTS Cloud Transformation Services (formerly Verizon)</w:t>
    </w:r>
    <w:r w:rsidRPr="004C22BF">
      <w:rPr>
        <w:b/>
        <w:color w:val="383838" w:themeColor="text1" w:themeShade="BF"/>
        <w:sz w:val="20"/>
        <w:szCs w:val="22"/>
      </w:rPr>
      <w:tab/>
    </w:r>
    <w:r>
      <w:rPr>
        <w:b/>
        <w:color w:val="383838" w:themeColor="text1" w:themeShade="BF"/>
        <w:sz w:val="20"/>
        <w:szCs w:val="22"/>
      </w:rPr>
      <w:t>Governance and Compliance</w:t>
    </w:r>
  </w:p>
  <w:p w14:paraId="1C127DC4" w14:textId="77777777" w:rsidR="00E521C5" w:rsidRPr="00500D46" w:rsidRDefault="00E521C5" w:rsidP="00830379">
    <w:pPr>
      <w:pStyle w:val="DMSFooter"/>
      <w:rPr>
        <w:b w:val="0"/>
        <w:sz w:val="14"/>
        <w:szCs w:val="14"/>
      </w:rPr>
    </w:pPr>
    <w:r w:rsidRPr="00500D46">
      <w:rPr>
        <w:b w:val="0"/>
        <w:iCs/>
        <w:sz w:val="14"/>
        <w:szCs w:val="14"/>
      </w:rPr>
      <w:t xml:space="preserve">For </w:t>
    </w:r>
    <w:r>
      <w:rPr>
        <w:b w:val="0"/>
        <w:iCs/>
        <w:sz w:val="14"/>
        <w:szCs w:val="14"/>
      </w:rPr>
      <w:t>IBM</w:t>
    </w:r>
    <w:r w:rsidRPr="00500D46">
      <w:rPr>
        <w:b w:val="0"/>
        <w:iCs/>
        <w:sz w:val="14"/>
        <w:szCs w:val="14"/>
      </w:rPr>
      <w:t xml:space="preserve"> personnel only. Use, disclosure, or distribution of this material is not permitted to any unauthorized persons or third parties except by written agreement.</w:t>
    </w:r>
  </w:p>
  <w:p w14:paraId="0C6F78C3" w14:textId="77777777" w:rsidR="00E521C5" w:rsidRPr="00937C69" w:rsidRDefault="00E521C5" w:rsidP="00830379">
    <w:pPr>
      <w:pStyle w:val="DMSFooter"/>
    </w:pPr>
    <w:r w:rsidRPr="00937C69">
      <w:t>Before using this document, consult the Document Management System for the latest revision.</w:t>
    </w:r>
  </w:p>
  <w:p w14:paraId="24D70231" w14:textId="47C3FCC1" w:rsidR="00E521C5" w:rsidRPr="00830379" w:rsidRDefault="00E521C5" w:rsidP="00830379">
    <w:pPr>
      <w:pStyle w:val="DMSFooter"/>
    </w:pPr>
    <w:r w:rsidRPr="00937C69">
      <w:t>Printed copies are uncontrolled unless otherwise identified.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BB7E3" w14:textId="77777777" w:rsidR="00865EDC" w:rsidRDefault="00865EDC" w:rsidP="006D1F01">
      <w:r>
        <w:separator/>
      </w:r>
    </w:p>
    <w:p w14:paraId="179A6EBC" w14:textId="77777777" w:rsidR="00865EDC" w:rsidRDefault="00865EDC" w:rsidP="006D1F01"/>
    <w:p w14:paraId="1A96F219" w14:textId="77777777" w:rsidR="00865EDC" w:rsidRDefault="00865EDC" w:rsidP="006D1F01"/>
    <w:p w14:paraId="2BD26DB8" w14:textId="77777777" w:rsidR="00865EDC" w:rsidRDefault="00865EDC" w:rsidP="006D1F01"/>
  </w:footnote>
  <w:footnote w:type="continuationSeparator" w:id="0">
    <w:p w14:paraId="0B02851E" w14:textId="77777777" w:rsidR="00865EDC" w:rsidRDefault="00865EDC" w:rsidP="006D1F01">
      <w:r>
        <w:continuationSeparator/>
      </w:r>
    </w:p>
    <w:p w14:paraId="7AB980D3" w14:textId="77777777" w:rsidR="00865EDC" w:rsidRDefault="00865EDC" w:rsidP="006D1F01"/>
    <w:p w14:paraId="39900FF2" w14:textId="77777777" w:rsidR="00865EDC" w:rsidRDefault="00865EDC" w:rsidP="006D1F01"/>
    <w:p w14:paraId="66C082F7" w14:textId="77777777" w:rsidR="00865EDC" w:rsidRDefault="00865EDC" w:rsidP="006D1F01"/>
  </w:footnote>
  <w:footnote w:type="continuationNotice" w:id="1">
    <w:p w14:paraId="30479587" w14:textId="77777777" w:rsidR="00865EDC" w:rsidRDefault="00865EDC">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2A816" w14:textId="29A27676" w:rsidR="00E521C5" w:rsidRDefault="00607325">
    <w:pPr>
      <w:pStyle w:val="Header"/>
    </w:pPr>
    <w:r>
      <w:rPr>
        <w:noProof/>
      </w:rPr>
      <w:pict w14:anchorId="01DD80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79998" o:spid="_x0000_s2059" type="#_x0000_t136" style="position:absolute;margin-left:0;margin-top:0;width:543.8pt;height:217.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E521C5" w:rsidRPr="00990897" w14:paraId="24D70221" w14:textId="77777777" w:rsidTr="00A439BC">
      <w:tc>
        <w:tcPr>
          <w:tcW w:w="1498" w:type="dxa"/>
          <w:shd w:val="clear" w:color="auto" w:fill="auto"/>
        </w:tcPr>
        <w:p w14:paraId="24D7021C" w14:textId="0F65497E" w:rsidR="00E521C5" w:rsidRPr="00990897" w:rsidRDefault="00E521C5" w:rsidP="006D1F01">
          <w:pPr>
            <w:rPr>
              <w:sz w:val="20"/>
            </w:rPr>
          </w:pPr>
          <w:r>
            <w:rPr>
              <w:noProof/>
              <w:sz w:val="20"/>
              <w:lang w:bidi="ar-SA"/>
            </w:rPr>
            <w:drawing>
              <wp:inline distT="0" distB="0" distL="0" distR="0" wp14:anchorId="0D127F3D" wp14:editId="19A7FADD">
                <wp:extent cx="822347" cy="3199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1D" w14:textId="11FC6F6B" w:rsidR="00E521C5" w:rsidRPr="006D1F01" w:rsidRDefault="00E521C5" w:rsidP="00937C69">
          <w:pPr>
            <w:pStyle w:val="VzHeader1"/>
          </w:pPr>
          <w:r w:rsidRPr="0052395A">
            <w:t xml:space="preserve">GTS Cloud Transformation Services (formerly Verizon) – </w:t>
          </w:r>
          <w:r w:rsidRPr="0052395A">
            <w:br/>
            <w:t>Quality Controlled Document</w:t>
          </w:r>
        </w:p>
        <w:p w14:paraId="42A1CDDD" w14:textId="77777777" w:rsidR="00E521C5" w:rsidRPr="00830379" w:rsidRDefault="00E521C5" w:rsidP="00830379">
          <w:pPr>
            <w:pStyle w:val="VzHeader2"/>
          </w:pPr>
          <w:r w:rsidRPr="00830379">
            <w:t>Audit Policy</w:t>
          </w:r>
        </w:p>
        <w:p w14:paraId="7F41E0B7" w14:textId="54637339" w:rsidR="00E521C5" w:rsidRPr="00830379" w:rsidRDefault="00E521C5" w:rsidP="00830379">
          <w:pPr>
            <w:pStyle w:val="VzHeader2"/>
          </w:pPr>
          <w:r w:rsidRPr="00830379">
            <w:t>Document No.  AUDT-00017</w:t>
          </w:r>
        </w:p>
        <w:p w14:paraId="24D70220" w14:textId="412A9DCF" w:rsidR="00E521C5" w:rsidRPr="00040618" w:rsidRDefault="00E521C5" w:rsidP="00830379">
          <w:pPr>
            <w:pStyle w:val="VzHeader2"/>
          </w:pPr>
          <w:r w:rsidRPr="00830379">
            <w:t xml:space="preserve">Page </w:t>
          </w:r>
          <w:r w:rsidRPr="00830379">
            <w:fldChar w:fldCharType="begin"/>
          </w:r>
          <w:r w:rsidRPr="00830379">
            <w:instrText xml:space="preserve"> PAGE </w:instrText>
          </w:r>
          <w:r w:rsidRPr="00830379">
            <w:fldChar w:fldCharType="separate"/>
          </w:r>
          <w:r w:rsidR="00607325">
            <w:rPr>
              <w:noProof/>
            </w:rPr>
            <w:t>ii</w:t>
          </w:r>
          <w:r w:rsidRPr="00830379">
            <w:fldChar w:fldCharType="end"/>
          </w:r>
        </w:p>
      </w:tc>
    </w:tr>
  </w:tbl>
  <w:p w14:paraId="24D70222" w14:textId="3BC11096" w:rsidR="00E521C5" w:rsidRPr="00F91719" w:rsidRDefault="00607325" w:rsidP="00830379">
    <w:pPr>
      <w:pStyle w:val="NoSpacing"/>
    </w:pPr>
    <w:r>
      <w:rPr>
        <w:noProof/>
        <w:sz w:val="22"/>
      </w:rPr>
      <w:pict w14:anchorId="023C9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79999" o:spid="_x0000_s2070" type="#_x0000_t136" style="position:absolute;margin-left:0;margin-top:0;width:543.8pt;height:217.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736"/>
      <w:gridCol w:w="9064"/>
    </w:tblGrid>
    <w:tr w:rsidR="00E521C5" w:rsidRPr="00990897" w14:paraId="24D7022D" w14:textId="77777777" w:rsidTr="006D1F01">
      <w:tc>
        <w:tcPr>
          <w:tcW w:w="1678" w:type="dxa"/>
          <w:shd w:val="clear" w:color="auto" w:fill="auto"/>
        </w:tcPr>
        <w:p w14:paraId="24D70226" w14:textId="74EA569B" w:rsidR="00E521C5" w:rsidRPr="00990897" w:rsidRDefault="00E521C5" w:rsidP="006D1F01">
          <w:pPr>
            <w:rPr>
              <w:sz w:val="20"/>
            </w:rPr>
          </w:pPr>
          <w:r>
            <w:rPr>
              <w:noProof/>
              <w:sz w:val="20"/>
              <w:lang w:bidi="ar-SA"/>
            </w:rPr>
            <w:drawing>
              <wp:inline distT="0" distB="0" distL="0" distR="0" wp14:anchorId="6700E800" wp14:editId="28D13672">
                <wp:extent cx="1024865" cy="4019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511"/>
                        <a:stretch/>
                      </pic:blipFill>
                      <pic:spPr bwMode="auto">
                        <a:xfrm>
                          <a:off x="0" y="0"/>
                          <a:ext cx="1025836" cy="402336"/>
                        </a:xfrm>
                        <a:prstGeom prst="rect">
                          <a:avLst/>
                        </a:prstGeom>
                        <a:ln>
                          <a:noFill/>
                        </a:ln>
                        <a:extLst>
                          <a:ext uri="{53640926-AAD7-44D8-BBD7-CCE9431645EC}">
                            <a14:shadowObscured xmlns:a14="http://schemas.microsoft.com/office/drawing/2010/main"/>
                          </a:ext>
                        </a:extLst>
                      </pic:spPr>
                    </pic:pic>
                  </a:graphicData>
                </a:graphic>
              </wp:inline>
            </w:drawing>
          </w:r>
        </w:p>
      </w:tc>
      <w:tc>
        <w:tcPr>
          <w:tcW w:w="9122" w:type="dxa"/>
          <w:vAlign w:val="center"/>
        </w:tcPr>
        <w:p w14:paraId="01ED2966" w14:textId="77777777" w:rsidR="00E521C5" w:rsidRPr="007E0AA0" w:rsidRDefault="00E521C5" w:rsidP="00830379">
          <w:pPr>
            <w:pStyle w:val="VzHeader1"/>
          </w:pPr>
          <w:r w:rsidRPr="007E0AA0">
            <w:t>GTS Cloud Transformation Services (formerly Verizon)</w:t>
          </w:r>
        </w:p>
        <w:p w14:paraId="24D70228" w14:textId="0259DDB7" w:rsidR="00E521C5" w:rsidRPr="006D1F01" w:rsidRDefault="00E521C5" w:rsidP="00830379">
          <w:pPr>
            <w:pStyle w:val="VzHeader1"/>
          </w:pPr>
          <w:r w:rsidRPr="007E0AA0">
            <w:t>Quality Controlled Document</w:t>
          </w:r>
        </w:p>
        <w:p w14:paraId="4411696F" w14:textId="77777777" w:rsidR="00E521C5" w:rsidRPr="00830379" w:rsidRDefault="00E521C5" w:rsidP="00830379">
          <w:pPr>
            <w:pStyle w:val="VzHeader2"/>
          </w:pPr>
          <w:r w:rsidRPr="00830379">
            <w:t>Audit Policy</w:t>
          </w:r>
        </w:p>
        <w:p w14:paraId="76900B01" w14:textId="77777777" w:rsidR="00E521C5" w:rsidRPr="00830379" w:rsidRDefault="00E521C5" w:rsidP="00830379">
          <w:pPr>
            <w:pStyle w:val="VzHeader2"/>
          </w:pPr>
          <w:r w:rsidRPr="00830379">
            <w:t>Document No.  AUDT-00017</w:t>
          </w:r>
        </w:p>
        <w:p w14:paraId="24D7022B" w14:textId="52F41391" w:rsidR="00E521C5" w:rsidRPr="00830379" w:rsidRDefault="00E521C5" w:rsidP="00830379">
          <w:pPr>
            <w:pStyle w:val="VzHeader2"/>
          </w:pPr>
          <w:r w:rsidRPr="00830379">
            <w:t>Version:  2.</w:t>
          </w:r>
          <w:r w:rsidR="007545D7">
            <w:t>1</w:t>
          </w:r>
          <w:r w:rsidR="00607325">
            <w:t>5</w:t>
          </w:r>
        </w:p>
        <w:p w14:paraId="24D7022C" w14:textId="4F2EE1DD" w:rsidR="00E521C5" w:rsidRPr="004913B2" w:rsidRDefault="00E521C5" w:rsidP="00607325">
          <w:pPr>
            <w:pStyle w:val="VzHeader2"/>
          </w:pPr>
          <w:r w:rsidRPr="00830379">
            <w:t xml:space="preserve">Date:  </w:t>
          </w:r>
          <w:r w:rsidR="00607325">
            <w:t>16</w:t>
          </w:r>
          <w:r w:rsidR="007545D7">
            <w:t>-Jul-2018</w:t>
          </w:r>
        </w:p>
      </w:tc>
    </w:tr>
  </w:tbl>
  <w:p w14:paraId="24D7022E" w14:textId="5D097EF4" w:rsidR="00E521C5" w:rsidRPr="004A66BE" w:rsidRDefault="00607325" w:rsidP="00830379">
    <w:pPr>
      <w:pStyle w:val="Body"/>
    </w:pPr>
    <w:r>
      <w:rPr>
        <w:noProof/>
      </w:rPr>
      <w:pict w14:anchorId="4477F3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79997" o:spid="_x0000_s2069" type="#_x0000_t136" style="position:absolute;margin-left:0;margin-top:0;width:543.8pt;height:217.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0232" w14:textId="6271D2F4" w:rsidR="00E521C5" w:rsidRDefault="00607325" w:rsidP="006D1F01">
    <w:pPr>
      <w:pStyle w:val="Header"/>
    </w:pPr>
    <w:r>
      <w:rPr>
        <w:noProof/>
      </w:rPr>
      <w:pict w14:anchorId="0BE16F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80001" o:spid="_x0000_s2062" type="#_x0000_t136" style="position:absolute;margin-left:0;margin-top:0;width:543.8pt;height:217.5pt;rotation:315;z-index:-25165823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E521C5" w:rsidRPr="00990897" w14:paraId="24D70238" w14:textId="77777777" w:rsidTr="006B1A0B">
      <w:tc>
        <w:tcPr>
          <w:tcW w:w="1498" w:type="dxa"/>
          <w:shd w:val="clear" w:color="auto" w:fill="auto"/>
        </w:tcPr>
        <w:p w14:paraId="24D70233" w14:textId="55356326" w:rsidR="00E521C5" w:rsidRPr="00990897" w:rsidRDefault="00E521C5" w:rsidP="006D1F01">
          <w:pPr>
            <w:rPr>
              <w:sz w:val="20"/>
            </w:rPr>
          </w:pPr>
          <w:r>
            <w:rPr>
              <w:noProof/>
              <w:sz w:val="20"/>
              <w:lang w:bidi="ar-SA"/>
            </w:rPr>
            <w:drawing>
              <wp:inline distT="0" distB="0" distL="0" distR="0" wp14:anchorId="57CB7DAB" wp14:editId="34A0DDF1">
                <wp:extent cx="822347" cy="3199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34" w14:textId="0A728EA6" w:rsidR="00E521C5" w:rsidRPr="00201CC0" w:rsidRDefault="00E521C5" w:rsidP="00201CC0">
          <w:pPr>
            <w:pStyle w:val="VzHeader1"/>
          </w:pPr>
          <w:r w:rsidRPr="0052395A">
            <w:t xml:space="preserve">GTS Cloud Transformation Services (formerly Verizon) – </w:t>
          </w:r>
          <w:r w:rsidRPr="0052395A">
            <w:br/>
            <w:t>Quality Controlled Document</w:t>
          </w:r>
        </w:p>
        <w:p w14:paraId="734B9900" w14:textId="77777777" w:rsidR="00E521C5" w:rsidRPr="00830379" w:rsidRDefault="00E521C5" w:rsidP="00830379">
          <w:pPr>
            <w:pStyle w:val="VzHeader2"/>
          </w:pPr>
          <w:r w:rsidRPr="00830379">
            <w:t>Audit Policy</w:t>
          </w:r>
        </w:p>
        <w:p w14:paraId="7EC29416" w14:textId="3639968D" w:rsidR="00E521C5" w:rsidRPr="00830379" w:rsidRDefault="00E521C5" w:rsidP="00830379">
          <w:pPr>
            <w:pStyle w:val="VzHeader2"/>
          </w:pPr>
          <w:r w:rsidRPr="00830379">
            <w:t>Document No.  AUDT-00017</w:t>
          </w:r>
        </w:p>
        <w:p w14:paraId="24D70237" w14:textId="6247FDF8" w:rsidR="00E521C5" w:rsidRPr="00040618" w:rsidRDefault="00E521C5" w:rsidP="00830379">
          <w:pPr>
            <w:pStyle w:val="VzHeader2"/>
          </w:pPr>
          <w:r w:rsidRPr="00830379">
            <w:t xml:space="preserve">Page </w:t>
          </w:r>
          <w:r w:rsidRPr="00830379">
            <w:fldChar w:fldCharType="begin"/>
          </w:r>
          <w:r w:rsidRPr="00830379">
            <w:instrText xml:space="preserve"> PAGE </w:instrText>
          </w:r>
          <w:r w:rsidRPr="00830379">
            <w:fldChar w:fldCharType="separate"/>
          </w:r>
          <w:r w:rsidR="00607325">
            <w:rPr>
              <w:noProof/>
            </w:rPr>
            <w:t>i</w:t>
          </w:r>
          <w:r w:rsidRPr="00830379">
            <w:fldChar w:fldCharType="end"/>
          </w:r>
        </w:p>
      </w:tc>
    </w:tr>
  </w:tbl>
  <w:p w14:paraId="24D70239" w14:textId="7C29790D" w:rsidR="00E521C5" w:rsidRPr="00937C69" w:rsidRDefault="00607325" w:rsidP="00830379">
    <w:pPr>
      <w:pStyle w:val="NoSpacing"/>
    </w:pPr>
    <w:r>
      <w:rPr>
        <w:noProof/>
        <w:sz w:val="22"/>
      </w:rPr>
      <w:pict w14:anchorId="1E3C1D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80000" o:spid="_x0000_s2068" type="#_x0000_t136" style="position:absolute;margin-left:0;margin-top:0;width:543.8pt;height:217.5pt;rotation:315;z-index:-251658237;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D5F3" w14:textId="310197AB" w:rsidR="00E521C5" w:rsidRDefault="00607325">
    <w:pPr>
      <w:pStyle w:val="Header"/>
    </w:pPr>
    <w:r>
      <w:rPr>
        <w:noProof/>
      </w:rPr>
      <w:pict w14:anchorId="506AEC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80004" o:spid="_x0000_s2065" type="#_x0000_t136" style="position:absolute;margin-left:0;margin-top:0;width:543.8pt;height:217.5pt;rotation:315;z-index:-25165823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58" w:type="dxa"/>
        <w:bottom w:w="58" w:type="dxa"/>
        <w:right w:w="58" w:type="dxa"/>
      </w:tblCellMar>
      <w:tblLook w:val="04A0" w:firstRow="1" w:lastRow="0" w:firstColumn="1" w:lastColumn="0" w:noHBand="0" w:noVBand="1"/>
    </w:tblPr>
    <w:tblGrid>
      <w:gridCol w:w="1498"/>
      <w:gridCol w:w="9418"/>
    </w:tblGrid>
    <w:tr w:rsidR="00E521C5" w:rsidRPr="00990897" w14:paraId="24D7023F" w14:textId="77777777" w:rsidTr="00A439BC">
      <w:tc>
        <w:tcPr>
          <w:tcW w:w="1498" w:type="dxa"/>
          <w:shd w:val="clear" w:color="auto" w:fill="auto"/>
        </w:tcPr>
        <w:p w14:paraId="24D7023A" w14:textId="2F832B8D" w:rsidR="00E521C5" w:rsidRPr="001F24CB" w:rsidRDefault="00E521C5" w:rsidP="006D1F01">
          <w:pPr>
            <w:rPr>
              <w:sz w:val="20"/>
            </w:rPr>
          </w:pPr>
          <w:r>
            <w:rPr>
              <w:noProof/>
              <w:sz w:val="20"/>
              <w:lang w:bidi="ar-SA"/>
            </w:rPr>
            <w:drawing>
              <wp:inline distT="0" distB="0" distL="0" distR="0" wp14:anchorId="1C0B60C0" wp14:editId="7B8B75B2">
                <wp:extent cx="822347" cy="31994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m_blue.jpg"/>
                        <pic:cNvPicPr/>
                      </pic:nvPicPr>
                      <pic:blipFill rotWithShape="1">
                        <a:blip r:embed="rId1"/>
                        <a:srcRect r="6293"/>
                        <a:stretch/>
                      </pic:blipFill>
                      <pic:spPr bwMode="auto">
                        <a:xfrm>
                          <a:off x="0" y="0"/>
                          <a:ext cx="822585" cy="320040"/>
                        </a:xfrm>
                        <a:prstGeom prst="rect">
                          <a:avLst/>
                        </a:prstGeom>
                        <a:ln>
                          <a:noFill/>
                        </a:ln>
                        <a:extLst>
                          <a:ext uri="{53640926-AAD7-44D8-BBD7-CCE9431645EC}">
                            <a14:shadowObscured xmlns:a14="http://schemas.microsoft.com/office/drawing/2010/main"/>
                          </a:ext>
                        </a:extLst>
                      </pic:spPr>
                    </pic:pic>
                  </a:graphicData>
                </a:graphic>
              </wp:inline>
            </w:drawing>
          </w:r>
        </w:p>
      </w:tc>
      <w:tc>
        <w:tcPr>
          <w:tcW w:w="9418" w:type="dxa"/>
          <w:shd w:val="clear" w:color="auto" w:fill="auto"/>
          <w:vAlign w:val="center"/>
        </w:tcPr>
        <w:p w14:paraId="24D7023B" w14:textId="6D5E7B3B" w:rsidR="00E521C5" w:rsidRPr="006D1F01" w:rsidRDefault="00E521C5" w:rsidP="00937C69">
          <w:pPr>
            <w:pStyle w:val="VzHeader1"/>
          </w:pPr>
          <w:r w:rsidRPr="0052395A">
            <w:t xml:space="preserve">GTS Cloud Transformation Services (formerly Verizon) – </w:t>
          </w:r>
          <w:r w:rsidRPr="0052395A">
            <w:br/>
            <w:t>Quality Controlled Document</w:t>
          </w:r>
        </w:p>
        <w:p w14:paraId="190093F1" w14:textId="77777777" w:rsidR="00E521C5" w:rsidRPr="00830379" w:rsidRDefault="00E521C5" w:rsidP="00830379">
          <w:pPr>
            <w:pStyle w:val="VzHeader2"/>
          </w:pPr>
          <w:r w:rsidRPr="00830379">
            <w:t>Audit Policy</w:t>
          </w:r>
        </w:p>
        <w:p w14:paraId="24D7023D" w14:textId="463836E7" w:rsidR="00E521C5" w:rsidRPr="00830379" w:rsidRDefault="00E521C5" w:rsidP="00830379">
          <w:pPr>
            <w:pStyle w:val="VzHeader2"/>
          </w:pPr>
          <w:r w:rsidRPr="00830379">
            <w:t>Document No.  AUDT-00017</w:t>
          </w:r>
        </w:p>
        <w:p w14:paraId="24D7023E" w14:textId="1B0BD199" w:rsidR="00E521C5" w:rsidRPr="00040618" w:rsidRDefault="00E521C5" w:rsidP="00830379">
          <w:pPr>
            <w:pStyle w:val="VzHeader2"/>
          </w:pPr>
          <w:r w:rsidRPr="00830379">
            <w:t xml:space="preserve">Page </w:t>
          </w:r>
          <w:r w:rsidRPr="00830379">
            <w:fldChar w:fldCharType="begin"/>
          </w:r>
          <w:r w:rsidRPr="00830379">
            <w:instrText xml:space="preserve"> PAGE </w:instrText>
          </w:r>
          <w:r w:rsidRPr="00830379">
            <w:fldChar w:fldCharType="separate"/>
          </w:r>
          <w:r w:rsidR="00607325">
            <w:rPr>
              <w:noProof/>
            </w:rPr>
            <w:t>14</w:t>
          </w:r>
          <w:r w:rsidRPr="00830379">
            <w:fldChar w:fldCharType="end"/>
          </w:r>
        </w:p>
      </w:tc>
    </w:tr>
  </w:tbl>
  <w:p w14:paraId="24D70240" w14:textId="562A902C" w:rsidR="00E521C5" w:rsidRPr="00F91719" w:rsidRDefault="00607325" w:rsidP="00830379">
    <w:pPr>
      <w:pStyle w:val="NoSpacing"/>
    </w:pPr>
    <w:r>
      <w:rPr>
        <w:noProof/>
        <w:sz w:val="22"/>
      </w:rPr>
      <w:pict w14:anchorId="27366B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80005" o:spid="_x0000_s2067" type="#_x0000_t136" style="position:absolute;margin-left:0;margin-top:0;width:543.8pt;height:217.5pt;rotation:315;z-index:-251658233;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0B1DF" w14:textId="17B8901C" w:rsidR="00E521C5" w:rsidRDefault="00607325">
    <w:pPr>
      <w:pStyle w:val="Header"/>
    </w:pPr>
    <w:r>
      <w:rPr>
        <w:noProof/>
      </w:rPr>
      <w:pict w14:anchorId="1A891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980003" o:spid="_x0000_s2064" type="#_x0000_t136" style="position:absolute;margin-left:0;margin-top:0;width:543.8pt;height:217.5pt;rotation:315;z-index:-251658235;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5665E46"/>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44AB21A"/>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963C1154"/>
    <w:lvl w:ilvl="0">
      <w:start w:val="1"/>
      <w:numFmt w:val="decimal"/>
      <w:pStyle w:val="ListNumber2"/>
      <w:lvlText w:val="%1."/>
      <w:lvlJc w:val="left"/>
      <w:pPr>
        <w:tabs>
          <w:tab w:val="num" w:pos="720"/>
        </w:tabs>
        <w:ind w:left="720" w:hanging="360"/>
      </w:pPr>
    </w:lvl>
  </w:abstractNum>
  <w:abstractNum w:abstractNumId="3">
    <w:nsid w:val="07767134"/>
    <w:multiLevelType w:val="hybridMultilevel"/>
    <w:tmpl w:val="C436C4A0"/>
    <w:lvl w:ilvl="0" w:tplc="7A6CF51C">
      <w:start w:val="1"/>
      <w:numFmt w:val="decimal"/>
      <w:pStyle w:val="numberlis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b/>
        <w:i w:val="0"/>
        <w:vertAlign w:val="subscrip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90660"/>
    <w:multiLevelType w:val="hybridMultilevel"/>
    <w:tmpl w:val="697C59D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9E4F2C"/>
    <w:multiLevelType w:val="hybridMultilevel"/>
    <w:tmpl w:val="0B7CD07A"/>
    <w:lvl w:ilvl="0" w:tplc="78306EDA">
      <w:start w:val="1"/>
      <w:numFmt w:val="lowerRoman"/>
      <w:pStyle w:val="numberlist3"/>
      <w:lvlText w:val="%1."/>
      <w:lvlJc w:val="right"/>
      <w:pPr>
        <w:ind w:left="1512"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6">
    <w:nsid w:val="3A8C5F6E"/>
    <w:multiLevelType w:val="hybridMultilevel"/>
    <w:tmpl w:val="D1B80248"/>
    <w:lvl w:ilvl="0" w:tplc="C3AA02FA">
      <w:start w:val="1"/>
      <w:numFmt w:val="bullet"/>
      <w:pStyle w:val="bullet1"/>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54ADB"/>
    <w:multiLevelType w:val="hybridMultilevel"/>
    <w:tmpl w:val="FB0E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03FC1"/>
    <w:multiLevelType w:val="hybridMultilevel"/>
    <w:tmpl w:val="FC669AD6"/>
    <w:lvl w:ilvl="0" w:tplc="CA0CC0D0">
      <w:start w:val="1"/>
      <w:numFmt w:val="decimal"/>
      <w:pStyle w:val="numberlist4"/>
      <w:lvlText w:val="(%1)"/>
      <w:lvlJc w:val="left"/>
      <w:pPr>
        <w:ind w:left="2160" w:hanging="360"/>
      </w:pPr>
      <w:rPr>
        <w:rFonts w:hint="default"/>
        <w:b w:val="0"/>
        <w:i w:val="0"/>
        <w:sz w:val="16"/>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62255CB"/>
    <w:multiLevelType w:val="multilevel"/>
    <w:tmpl w:val="C402FF18"/>
    <w:lvl w:ilvl="0">
      <w:start w:val="1"/>
      <w:numFmt w:val="decimal"/>
      <w:pStyle w:val="TableNum"/>
      <w:lvlText w:val="%1."/>
      <w:lvlJc w:val="left"/>
      <w:pPr>
        <w:ind w:left="72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97613DB"/>
    <w:multiLevelType w:val="hybridMultilevel"/>
    <w:tmpl w:val="4E08F696"/>
    <w:lvl w:ilvl="0" w:tplc="D4E4CD3E">
      <w:start w:val="1"/>
      <w:numFmt w:val="lowerLetter"/>
      <w:lvlRestart w:val="0"/>
      <w:pStyle w:val="numberlist2"/>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D215CC6"/>
    <w:multiLevelType w:val="hybridMultilevel"/>
    <w:tmpl w:val="1BCE324E"/>
    <w:lvl w:ilvl="0" w:tplc="3C4EDC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7008D"/>
    <w:multiLevelType w:val="hybridMultilevel"/>
    <w:tmpl w:val="A938387E"/>
    <w:lvl w:ilvl="0" w:tplc="88C6A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C05D2"/>
    <w:multiLevelType w:val="multilevel"/>
    <w:tmpl w:val="15C8ED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3BA67CE"/>
    <w:multiLevelType w:val="hybridMultilevel"/>
    <w:tmpl w:val="27D8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053F2"/>
    <w:multiLevelType w:val="hybridMultilevel"/>
    <w:tmpl w:val="7840A72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76A322BC"/>
    <w:multiLevelType w:val="hybridMultilevel"/>
    <w:tmpl w:val="9B662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F04734"/>
    <w:multiLevelType w:val="hybridMultilevel"/>
    <w:tmpl w:val="078E2C78"/>
    <w:lvl w:ilvl="0" w:tplc="094E73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2"/>
  </w:num>
  <w:num w:numId="5">
    <w:abstractNumId w:val="10"/>
  </w:num>
  <w:num w:numId="6">
    <w:abstractNumId w:val="1"/>
  </w:num>
  <w:num w:numId="7">
    <w:abstractNumId w:val="5"/>
  </w:num>
  <w:num w:numId="8">
    <w:abstractNumId w:val="0"/>
  </w:num>
  <w:num w:numId="9">
    <w:abstractNumId w:val="8"/>
  </w:num>
  <w:num w:numId="10">
    <w:abstractNumId w:val="9"/>
  </w:num>
  <w:num w:numId="11">
    <w:abstractNumId w:val="11"/>
  </w:num>
  <w:num w:numId="12">
    <w:abstractNumId w:val="3"/>
    <w:lvlOverride w:ilvl="0">
      <w:startOverride w:val="1"/>
    </w:lvlOverride>
  </w:num>
  <w:num w:numId="13">
    <w:abstractNumId w:val="7"/>
  </w:num>
  <w:num w:numId="14">
    <w:abstractNumId w:val="17"/>
  </w:num>
  <w:num w:numId="15">
    <w:abstractNumId w:val="12"/>
  </w:num>
  <w:num w:numId="16">
    <w:abstractNumId w:val="16"/>
  </w:num>
  <w:num w:numId="17">
    <w:abstractNumId w:val="4"/>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6"/>
  </w:num>
  <w:num w:numId="21">
    <w:abstractNumId w:val="6"/>
  </w:num>
  <w:num w:numId="22">
    <w:abstractNumId w:val="6"/>
  </w:num>
  <w:num w:numId="23">
    <w:abstractNumId w:val="6"/>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2"/>
  </w:num>
  <w:num w:numId="32">
    <w:abstractNumId w:val="1"/>
  </w:num>
  <w:num w:numId="33">
    <w:abstractNumId w:val="0"/>
  </w:num>
  <w:num w:numId="34">
    <w:abstractNumId w:val="3"/>
  </w:num>
  <w:num w:numId="35">
    <w:abstractNumId w:val="10"/>
  </w:num>
  <w:num w:numId="36">
    <w:abstractNumId w:val="5"/>
  </w:num>
  <w:num w:numId="37">
    <w:abstractNumId w:val="8"/>
  </w:num>
  <w:num w:numId="38">
    <w:abstractNumId w:val="9"/>
  </w:num>
  <w:num w:numId="39">
    <w:abstractNumId w:val="1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Poe">
    <w15:presenceInfo w15:providerId="AD" w15:userId="S-1-12-1-1292588506-1166373681-2251223186-3726645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7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7F"/>
    <w:rsid w:val="00007193"/>
    <w:rsid w:val="00016519"/>
    <w:rsid w:val="00017D18"/>
    <w:rsid w:val="00021633"/>
    <w:rsid w:val="000240A0"/>
    <w:rsid w:val="00040618"/>
    <w:rsid w:val="00043856"/>
    <w:rsid w:val="00043C73"/>
    <w:rsid w:val="00043F58"/>
    <w:rsid w:val="00060224"/>
    <w:rsid w:val="0007117D"/>
    <w:rsid w:val="00080FFD"/>
    <w:rsid w:val="000864BA"/>
    <w:rsid w:val="000952BC"/>
    <w:rsid w:val="000A3852"/>
    <w:rsid w:val="000C4D0C"/>
    <w:rsid w:val="000C7BE1"/>
    <w:rsid w:val="000D6124"/>
    <w:rsid w:val="000E2683"/>
    <w:rsid w:val="000E65E2"/>
    <w:rsid w:val="000E6A30"/>
    <w:rsid w:val="000F4BAB"/>
    <w:rsid w:val="0010081B"/>
    <w:rsid w:val="0010532C"/>
    <w:rsid w:val="001126E4"/>
    <w:rsid w:val="001144C7"/>
    <w:rsid w:val="00136265"/>
    <w:rsid w:val="00144AF5"/>
    <w:rsid w:val="00147966"/>
    <w:rsid w:val="00150EA0"/>
    <w:rsid w:val="001512EA"/>
    <w:rsid w:val="001513C8"/>
    <w:rsid w:val="0015320E"/>
    <w:rsid w:val="00155A7C"/>
    <w:rsid w:val="00160910"/>
    <w:rsid w:val="0016751C"/>
    <w:rsid w:val="001676E8"/>
    <w:rsid w:val="00170444"/>
    <w:rsid w:val="00177F5E"/>
    <w:rsid w:val="00185425"/>
    <w:rsid w:val="00185F9B"/>
    <w:rsid w:val="001A1B98"/>
    <w:rsid w:val="001A7E13"/>
    <w:rsid w:val="001B01E0"/>
    <w:rsid w:val="001B3763"/>
    <w:rsid w:val="001B4484"/>
    <w:rsid w:val="001B4571"/>
    <w:rsid w:val="001B7CCC"/>
    <w:rsid w:val="001C6678"/>
    <w:rsid w:val="001D6398"/>
    <w:rsid w:val="001D66CE"/>
    <w:rsid w:val="001E737A"/>
    <w:rsid w:val="001E7AEF"/>
    <w:rsid w:val="001F12DE"/>
    <w:rsid w:val="001F24CB"/>
    <w:rsid w:val="00201CC0"/>
    <w:rsid w:val="00213518"/>
    <w:rsid w:val="002233EB"/>
    <w:rsid w:val="0023348A"/>
    <w:rsid w:val="00244DB7"/>
    <w:rsid w:val="002529DC"/>
    <w:rsid w:val="00261C54"/>
    <w:rsid w:val="00261CA9"/>
    <w:rsid w:val="00271DD6"/>
    <w:rsid w:val="00271F3E"/>
    <w:rsid w:val="00282F7F"/>
    <w:rsid w:val="002A1A79"/>
    <w:rsid w:val="002A6843"/>
    <w:rsid w:val="002B0D29"/>
    <w:rsid w:val="002B5F88"/>
    <w:rsid w:val="002C347A"/>
    <w:rsid w:val="002C5D1D"/>
    <w:rsid w:val="002C5E9F"/>
    <w:rsid w:val="002C75DF"/>
    <w:rsid w:val="002D2647"/>
    <w:rsid w:val="002E5477"/>
    <w:rsid w:val="002F561E"/>
    <w:rsid w:val="00304111"/>
    <w:rsid w:val="00312792"/>
    <w:rsid w:val="00312CBB"/>
    <w:rsid w:val="003159F8"/>
    <w:rsid w:val="00316BC4"/>
    <w:rsid w:val="003214CD"/>
    <w:rsid w:val="0032494E"/>
    <w:rsid w:val="00330615"/>
    <w:rsid w:val="003341EC"/>
    <w:rsid w:val="0034726F"/>
    <w:rsid w:val="003523AE"/>
    <w:rsid w:val="00352C14"/>
    <w:rsid w:val="00353E96"/>
    <w:rsid w:val="00363408"/>
    <w:rsid w:val="00372689"/>
    <w:rsid w:val="00381978"/>
    <w:rsid w:val="0038722C"/>
    <w:rsid w:val="00397EAB"/>
    <w:rsid w:val="003A4AB9"/>
    <w:rsid w:val="003B7800"/>
    <w:rsid w:val="003B7B2B"/>
    <w:rsid w:val="003C05BB"/>
    <w:rsid w:val="003C63B5"/>
    <w:rsid w:val="003C7F73"/>
    <w:rsid w:val="003D044A"/>
    <w:rsid w:val="003D0A76"/>
    <w:rsid w:val="003E656B"/>
    <w:rsid w:val="003F22AD"/>
    <w:rsid w:val="003F2BA7"/>
    <w:rsid w:val="003F5A60"/>
    <w:rsid w:val="00400788"/>
    <w:rsid w:val="0040470D"/>
    <w:rsid w:val="004072DB"/>
    <w:rsid w:val="00410466"/>
    <w:rsid w:val="0041527B"/>
    <w:rsid w:val="004158E4"/>
    <w:rsid w:val="00426C2A"/>
    <w:rsid w:val="004528FA"/>
    <w:rsid w:val="004811D6"/>
    <w:rsid w:val="00482745"/>
    <w:rsid w:val="00486E5A"/>
    <w:rsid w:val="0048767C"/>
    <w:rsid w:val="004918DA"/>
    <w:rsid w:val="00491B1B"/>
    <w:rsid w:val="004A66BE"/>
    <w:rsid w:val="004B0012"/>
    <w:rsid w:val="004B29BC"/>
    <w:rsid w:val="004C20CD"/>
    <w:rsid w:val="004E51B3"/>
    <w:rsid w:val="004E5F3D"/>
    <w:rsid w:val="004F104B"/>
    <w:rsid w:val="004F17FE"/>
    <w:rsid w:val="00507784"/>
    <w:rsid w:val="005108DC"/>
    <w:rsid w:val="005110B8"/>
    <w:rsid w:val="0051191D"/>
    <w:rsid w:val="0052648E"/>
    <w:rsid w:val="00531E24"/>
    <w:rsid w:val="005368F1"/>
    <w:rsid w:val="00544D21"/>
    <w:rsid w:val="00564BDE"/>
    <w:rsid w:val="005702F1"/>
    <w:rsid w:val="00571780"/>
    <w:rsid w:val="00576636"/>
    <w:rsid w:val="0058011D"/>
    <w:rsid w:val="005909CA"/>
    <w:rsid w:val="005B3E4D"/>
    <w:rsid w:val="005B5FAD"/>
    <w:rsid w:val="005C3980"/>
    <w:rsid w:val="005D2156"/>
    <w:rsid w:val="005D355D"/>
    <w:rsid w:val="005E0297"/>
    <w:rsid w:val="005E104D"/>
    <w:rsid w:val="00607325"/>
    <w:rsid w:val="0060759B"/>
    <w:rsid w:val="00615FD5"/>
    <w:rsid w:val="00617D62"/>
    <w:rsid w:val="00627C95"/>
    <w:rsid w:val="00633C2C"/>
    <w:rsid w:val="006405CF"/>
    <w:rsid w:val="0064775F"/>
    <w:rsid w:val="00650C1C"/>
    <w:rsid w:val="00672EA4"/>
    <w:rsid w:val="00680E2A"/>
    <w:rsid w:val="00685CA5"/>
    <w:rsid w:val="006A05F9"/>
    <w:rsid w:val="006A1196"/>
    <w:rsid w:val="006A5CCB"/>
    <w:rsid w:val="006B1A0B"/>
    <w:rsid w:val="006B3D8D"/>
    <w:rsid w:val="006B6B6A"/>
    <w:rsid w:val="006C3D47"/>
    <w:rsid w:val="006C6C7F"/>
    <w:rsid w:val="006D0E66"/>
    <w:rsid w:val="006D15A6"/>
    <w:rsid w:val="006D1F01"/>
    <w:rsid w:val="006D5171"/>
    <w:rsid w:val="006D6A79"/>
    <w:rsid w:val="006D7157"/>
    <w:rsid w:val="006E0802"/>
    <w:rsid w:val="006E2CEF"/>
    <w:rsid w:val="006E6B5B"/>
    <w:rsid w:val="006F60BA"/>
    <w:rsid w:val="0070377F"/>
    <w:rsid w:val="0070631A"/>
    <w:rsid w:val="00735F94"/>
    <w:rsid w:val="00741CD8"/>
    <w:rsid w:val="00742F11"/>
    <w:rsid w:val="007545D7"/>
    <w:rsid w:val="00755296"/>
    <w:rsid w:val="00757157"/>
    <w:rsid w:val="00766A7C"/>
    <w:rsid w:val="00766D22"/>
    <w:rsid w:val="00766F05"/>
    <w:rsid w:val="007701BE"/>
    <w:rsid w:val="0077169B"/>
    <w:rsid w:val="00772C48"/>
    <w:rsid w:val="00776233"/>
    <w:rsid w:val="007822A9"/>
    <w:rsid w:val="007834AE"/>
    <w:rsid w:val="00797059"/>
    <w:rsid w:val="007A3C3A"/>
    <w:rsid w:val="007A6BFE"/>
    <w:rsid w:val="007B0B9D"/>
    <w:rsid w:val="007B0DC0"/>
    <w:rsid w:val="007B4F4C"/>
    <w:rsid w:val="007C090F"/>
    <w:rsid w:val="007D16E7"/>
    <w:rsid w:val="007D3563"/>
    <w:rsid w:val="007E48BC"/>
    <w:rsid w:val="007F2EF8"/>
    <w:rsid w:val="007F47F7"/>
    <w:rsid w:val="00806B2C"/>
    <w:rsid w:val="008117CA"/>
    <w:rsid w:val="00815C0F"/>
    <w:rsid w:val="00825409"/>
    <w:rsid w:val="00830379"/>
    <w:rsid w:val="00860005"/>
    <w:rsid w:val="008605D4"/>
    <w:rsid w:val="00865EDC"/>
    <w:rsid w:val="00873DFC"/>
    <w:rsid w:val="00881693"/>
    <w:rsid w:val="00885CE0"/>
    <w:rsid w:val="00891F1D"/>
    <w:rsid w:val="008A3F51"/>
    <w:rsid w:val="008A46DC"/>
    <w:rsid w:val="008A7028"/>
    <w:rsid w:val="008B4FE1"/>
    <w:rsid w:val="008D4CDD"/>
    <w:rsid w:val="008E59CC"/>
    <w:rsid w:val="008E7C61"/>
    <w:rsid w:val="008F3B49"/>
    <w:rsid w:val="008F78ED"/>
    <w:rsid w:val="009038AF"/>
    <w:rsid w:val="00916FF2"/>
    <w:rsid w:val="00917BF7"/>
    <w:rsid w:val="00920C95"/>
    <w:rsid w:val="00923553"/>
    <w:rsid w:val="009275D4"/>
    <w:rsid w:val="00927D92"/>
    <w:rsid w:val="009343C5"/>
    <w:rsid w:val="0093488E"/>
    <w:rsid w:val="00937961"/>
    <w:rsid w:val="00937C69"/>
    <w:rsid w:val="00941301"/>
    <w:rsid w:val="009479CD"/>
    <w:rsid w:val="00953155"/>
    <w:rsid w:val="00960B70"/>
    <w:rsid w:val="0096360C"/>
    <w:rsid w:val="0096486A"/>
    <w:rsid w:val="009801DB"/>
    <w:rsid w:val="00980F26"/>
    <w:rsid w:val="0098398F"/>
    <w:rsid w:val="00990897"/>
    <w:rsid w:val="0099104A"/>
    <w:rsid w:val="009917E4"/>
    <w:rsid w:val="00992A9A"/>
    <w:rsid w:val="0099595B"/>
    <w:rsid w:val="0099680E"/>
    <w:rsid w:val="00996B71"/>
    <w:rsid w:val="009A119F"/>
    <w:rsid w:val="009B0AA6"/>
    <w:rsid w:val="009B15BD"/>
    <w:rsid w:val="009B5F11"/>
    <w:rsid w:val="009B67C4"/>
    <w:rsid w:val="009C0460"/>
    <w:rsid w:val="009D0261"/>
    <w:rsid w:val="009E4E30"/>
    <w:rsid w:val="009E6C86"/>
    <w:rsid w:val="009E6DFE"/>
    <w:rsid w:val="009F3A72"/>
    <w:rsid w:val="00A03E76"/>
    <w:rsid w:val="00A06A3A"/>
    <w:rsid w:val="00A439BC"/>
    <w:rsid w:val="00A51ACF"/>
    <w:rsid w:val="00A62D0F"/>
    <w:rsid w:val="00A64A3A"/>
    <w:rsid w:val="00A64E97"/>
    <w:rsid w:val="00A708F0"/>
    <w:rsid w:val="00A74D01"/>
    <w:rsid w:val="00A834B1"/>
    <w:rsid w:val="00A84219"/>
    <w:rsid w:val="00A86D7F"/>
    <w:rsid w:val="00A97DB8"/>
    <w:rsid w:val="00AA21C5"/>
    <w:rsid w:val="00AA3A4B"/>
    <w:rsid w:val="00AB5D15"/>
    <w:rsid w:val="00AB6D10"/>
    <w:rsid w:val="00AD2189"/>
    <w:rsid w:val="00AD46B5"/>
    <w:rsid w:val="00AD51A8"/>
    <w:rsid w:val="00AF1966"/>
    <w:rsid w:val="00AF793C"/>
    <w:rsid w:val="00B01F32"/>
    <w:rsid w:val="00B047A3"/>
    <w:rsid w:val="00B0515D"/>
    <w:rsid w:val="00B05405"/>
    <w:rsid w:val="00B1000A"/>
    <w:rsid w:val="00B10EC2"/>
    <w:rsid w:val="00B1369E"/>
    <w:rsid w:val="00B23EE6"/>
    <w:rsid w:val="00B24724"/>
    <w:rsid w:val="00B31445"/>
    <w:rsid w:val="00B40A5A"/>
    <w:rsid w:val="00B435A4"/>
    <w:rsid w:val="00B457B1"/>
    <w:rsid w:val="00B45A78"/>
    <w:rsid w:val="00B461B6"/>
    <w:rsid w:val="00B52428"/>
    <w:rsid w:val="00B533E9"/>
    <w:rsid w:val="00B56ECA"/>
    <w:rsid w:val="00B66FAB"/>
    <w:rsid w:val="00B733BC"/>
    <w:rsid w:val="00B770E5"/>
    <w:rsid w:val="00B778F8"/>
    <w:rsid w:val="00B85049"/>
    <w:rsid w:val="00B90949"/>
    <w:rsid w:val="00B927B6"/>
    <w:rsid w:val="00B95F15"/>
    <w:rsid w:val="00BA16C9"/>
    <w:rsid w:val="00BB3E7D"/>
    <w:rsid w:val="00BC35B5"/>
    <w:rsid w:val="00BC4264"/>
    <w:rsid w:val="00BC777C"/>
    <w:rsid w:val="00BE3890"/>
    <w:rsid w:val="00BE40C9"/>
    <w:rsid w:val="00BF59E2"/>
    <w:rsid w:val="00C06CA3"/>
    <w:rsid w:val="00C07757"/>
    <w:rsid w:val="00C0784E"/>
    <w:rsid w:val="00C22686"/>
    <w:rsid w:val="00C23261"/>
    <w:rsid w:val="00C26582"/>
    <w:rsid w:val="00C27911"/>
    <w:rsid w:val="00C36EED"/>
    <w:rsid w:val="00C440E5"/>
    <w:rsid w:val="00C50EAF"/>
    <w:rsid w:val="00C53EF1"/>
    <w:rsid w:val="00C562E4"/>
    <w:rsid w:val="00C61879"/>
    <w:rsid w:val="00C65DC1"/>
    <w:rsid w:val="00C7032A"/>
    <w:rsid w:val="00C70AA9"/>
    <w:rsid w:val="00C71C54"/>
    <w:rsid w:val="00C74D8E"/>
    <w:rsid w:val="00C84D26"/>
    <w:rsid w:val="00CA4DF0"/>
    <w:rsid w:val="00CB0B9C"/>
    <w:rsid w:val="00CB2146"/>
    <w:rsid w:val="00CB6AF6"/>
    <w:rsid w:val="00CC496D"/>
    <w:rsid w:val="00CC5DB2"/>
    <w:rsid w:val="00CC6FAD"/>
    <w:rsid w:val="00CD64FA"/>
    <w:rsid w:val="00CE01C2"/>
    <w:rsid w:val="00D10E75"/>
    <w:rsid w:val="00D14798"/>
    <w:rsid w:val="00D1588A"/>
    <w:rsid w:val="00D202A4"/>
    <w:rsid w:val="00D22624"/>
    <w:rsid w:val="00D2546C"/>
    <w:rsid w:val="00D25D53"/>
    <w:rsid w:val="00D34665"/>
    <w:rsid w:val="00D34C69"/>
    <w:rsid w:val="00D43B10"/>
    <w:rsid w:val="00D565CD"/>
    <w:rsid w:val="00D568F1"/>
    <w:rsid w:val="00D62722"/>
    <w:rsid w:val="00D712AE"/>
    <w:rsid w:val="00D733EA"/>
    <w:rsid w:val="00D744CD"/>
    <w:rsid w:val="00D74A19"/>
    <w:rsid w:val="00D83BD3"/>
    <w:rsid w:val="00DB4D52"/>
    <w:rsid w:val="00DC75FC"/>
    <w:rsid w:val="00DE060A"/>
    <w:rsid w:val="00DE5CCA"/>
    <w:rsid w:val="00E02174"/>
    <w:rsid w:val="00E06C42"/>
    <w:rsid w:val="00E12354"/>
    <w:rsid w:val="00E154AD"/>
    <w:rsid w:val="00E23B59"/>
    <w:rsid w:val="00E31F01"/>
    <w:rsid w:val="00E3500E"/>
    <w:rsid w:val="00E36EA3"/>
    <w:rsid w:val="00E521C5"/>
    <w:rsid w:val="00E53E61"/>
    <w:rsid w:val="00E611A8"/>
    <w:rsid w:val="00E67CCC"/>
    <w:rsid w:val="00E81605"/>
    <w:rsid w:val="00E82387"/>
    <w:rsid w:val="00E86954"/>
    <w:rsid w:val="00E9086C"/>
    <w:rsid w:val="00EA607D"/>
    <w:rsid w:val="00EA671A"/>
    <w:rsid w:val="00EB3985"/>
    <w:rsid w:val="00EB5554"/>
    <w:rsid w:val="00EC05D4"/>
    <w:rsid w:val="00EC3A96"/>
    <w:rsid w:val="00ED0BA8"/>
    <w:rsid w:val="00ED343D"/>
    <w:rsid w:val="00EE333D"/>
    <w:rsid w:val="00EE4BA6"/>
    <w:rsid w:val="00EE56E4"/>
    <w:rsid w:val="00EF321F"/>
    <w:rsid w:val="00EF7606"/>
    <w:rsid w:val="00F022A6"/>
    <w:rsid w:val="00F04AE5"/>
    <w:rsid w:val="00F04D8B"/>
    <w:rsid w:val="00F1074C"/>
    <w:rsid w:val="00F125F5"/>
    <w:rsid w:val="00F14C12"/>
    <w:rsid w:val="00F2039B"/>
    <w:rsid w:val="00F628B8"/>
    <w:rsid w:val="00F72A48"/>
    <w:rsid w:val="00F762FD"/>
    <w:rsid w:val="00F81A88"/>
    <w:rsid w:val="00F826AB"/>
    <w:rsid w:val="00F85F0C"/>
    <w:rsid w:val="00F91719"/>
    <w:rsid w:val="00F97E6E"/>
    <w:rsid w:val="00FA2CDB"/>
    <w:rsid w:val="00FB34DC"/>
    <w:rsid w:val="00FB5A47"/>
    <w:rsid w:val="00FC62E9"/>
    <w:rsid w:val="00FD02D3"/>
    <w:rsid w:val="00FD3D09"/>
    <w:rsid w:val="00FD6032"/>
    <w:rsid w:val="00FD7EEE"/>
    <w:rsid w:val="00FE5D79"/>
    <w:rsid w:val="00FF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1"/>
    <o:shapelayout v:ext="edit">
      <o:idmap v:ext="edit" data="1"/>
    </o:shapelayout>
  </w:shapeDefaults>
  <w:decimalSymbol w:val="."/>
  <w:listSeparator w:val=","/>
  <w14:docId w14:val="24D7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79"/>
    <w:pPr>
      <w:spacing w:before="60" w:line="240" w:lineRule="auto"/>
    </w:pPr>
    <w:rPr>
      <w:rFonts w:ascii="Arial" w:hAnsi="Arial" w:cs="Arial"/>
      <w:szCs w:val="18"/>
      <w:lang w:bidi="he-IL"/>
    </w:rPr>
  </w:style>
  <w:style w:type="paragraph" w:styleId="Heading1">
    <w:name w:val="heading 1"/>
    <w:basedOn w:val="Normal"/>
    <w:next w:val="Body"/>
    <w:link w:val="Heading1Char"/>
    <w:uiPriority w:val="9"/>
    <w:qFormat/>
    <w:rsid w:val="00830379"/>
    <w:pPr>
      <w:keepNext/>
      <w:keepLines/>
      <w:pageBreakBefore/>
      <w:numPr>
        <w:numId w:val="30"/>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Body"/>
    <w:link w:val="Heading2Char"/>
    <w:uiPriority w:val="9"/>
    <w:unhideWhenUsed/>
    <w:qFormat/>
    <w:rsid w:val="00830379"/>
    <w:pPr>
      <w:pageBreakBefore w:val="0"/>
      <w:numPr>
        <w:ilvl w:val="1"/>
      </w:numPr>
      <w:outlineLvl w:val="1"/>
    </w:pPr>
    <w:rPr>
      <w:smallCaps w:val="0"/>
      <w:sz w:val="28"/>
      <w:szCs w:val="28"/>
    </w:rPr>
  </w:style>
  <w:style w:type="paragraph" w:styleId="Heading3">
    <w:name w:val="heading 3"/>
    <w:basedOn w:val="Heading2"/>
    <w:next w:val="Body"/>
    <w:link w:val="Heading3Char"/>
    <w:uiPriority w:val="9"/>
    <w:unhideWhenUsed/>
    <w:qFormat/>
    <w:rsid w:val="00830379"/>
    <w:pPr>
      <w:numPr>
        <w:ilvl w:val="2"/>
      </w:numPr>
      <w:outlineLvl w:val="2"/>
    </w:pPr>
    <w:rPr>
      <w:sz w:val="24"/>
      <w:szCs w:val="24"/>
    </w:rPr>
  </w:style>
  <w:style w:type="paragraph" w:styleId="Heading4">
    <w:name w:val="heading 4"/>
    <w:basedOn w:val="Heading3"/>
    <w:next w:val="Body"/>
    <w:link w:val="Heading4Char"/>
    <w:uiPriority w:val="9"/>
    <w:unhideWhenUsed/>
    <w:qFormat/>
    <w:rsid w:val="00830379"/>
    <w:pPr>
      <w:numPr>
        <w:ilvl w:val="3"/>
      </w:numPr>
      <w:outlineLvl w:val="3"/>
    </w:pPr>
    <w:rPr>
      <w:rFonts w:cs="Arial"/>
      <w:bCs w:val="0"/>
      <w:iCs/>
      <w:color w:val="262626" w:themeColor="text1" w:themeShade="80"/>
      <w:sz w:val="22"/>
    </w:rPr>
  </w:style>
  <w:style w:type="paragraph" w:styleId="Heading5">
    <w:name w:val="heading 5"/>
    <w:basedOn w:val="Heading4"/>
    <w:next w:val="Body"/>
    <w:link w:val="Heading5Char"/>
    <w:uiPriority w:val="9"/>
    <w:unhideWhenUsed/>
    <w:qFormat/>
    <w:rsid w:val="00830379"/>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830379"/>
    <w:pPr>
      <w:keepNext/>
      <w:keepLines/>
      <w:numPr>
        <w:ilvl w:val="5"/>
        <w:numId w:val="30"/>
      </w:numPr>
      <w:spacing w:before="200" w:after="0"/>
      <w:outlineLvl w:val="5"/>
    </w:pPr>
    <w:rPr>
      <w:rFonts w:eastAsiaTheme="majorEastAsia" w:cstheme="majorBidi"/>
      <w:i/>
      <w:iCs/>
      <w:sz w:val="20"/>
    </w:rPr>
  </w:style>
  <w:style w:type="paragraph" w:styleId="Heading7">
    <w:name w:val="heading 7"/>
    <w:basedOn w:val="Heading6"/>
    <w:next w:val="Normal"/>
    <w:link w:val="Heading7Char"/>
    <w:uiPriority w:val="9"/>
    <w:semiHidden/>
    <w:unhideWhenUsed/>
    <w:qFormat/>
    <w:rsid w:val="00830379"/>
    <w:pPr>
      <w:spacing w:before="40"/>
      <w:outlineLvl w:val="6"/>
    </w:pPr>
    <w:rPr>
      <w:iCs w:val="0"/>
      <w:color w:val="383838" w:themeColor="tex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30379"/>
    <w:pPr>
      <w:tabs>
        <w:tab w:val="center" w:pos="4680"/>
        <w:tab w:val="right" w:pos="9360"/>
      </w:tabs>
      <w:spacing w:after="0"/>
    </w:pPr>
  </w:style>
  <w:style w:type="character" w:customStyle="1" w:styleId="HeaderChar">
    <w:name w:val="Header Char"/>
    <w:basedOn w:val="DefaultParagraphFont"/>
    <w:link w:val="Header"/>
    <w:uiPriority w:val="99"/>
    <w:semiHidden/>
    <w:rsid w:val="00830379"/>
    <w:rPr>
      <w:rFonts w:ascii="Arial" w:hAnsi="Arial" w:cs="Arial"/>
      <w:szCs w:val="18"/>
      <w:lang w:bidi="he-IL"/>
    </w:rPr>
  </w:style>
  <w:style w:type="paragraph" w:styleId="Footer">
    <w:name w:val="footer"/>
    <w:basedOn w:val="Normal"/>
    <w:link w:val="FooterChar"/>
    <w:uiPriority w:val="99"/>
    <w:semiHidden/>
    <w:rsid w:val="00830379"/>
    <w:pPr>
      <w:tabs>
        <w:tab w:val="center" w:pos="4680"/>
        <w:tab w:val="right" w:pos="9360"/>
      </w:tabs>
      <w:spacing w:after="0"/>
    </w:pPr>
  </w:style>
  <w:style w:type="character" w:customStyle="1" w:styleId="FooterChar">
    <w:name w:val="Footer Char"/>
    <w:basedOn w:val="DefaultParagraphFont"/>
    <w:link w:val="Footer"/>
    <w:uiPriority w:val="99"/>
    <w:semiHidden/>
    <w:rsid w:val="00830379"/>
    <w:rPr>
      <w:rFonts w:ascii="Arial" w:hAnsi="Arial" w:cs="Arial"/>
      <w:szCs w:val="18"/>
      <w:lang w:bidi="he-IL"/>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830379"/>
    <w:pPr>
      <w:keepNext/>
      <w:keepLines/>
      <w:spacing w:before="120" w:after="120"/>
      <w:jc w:val="center"/>
    </w:pPr>
    <w:rPr>
      <w:color w:val="939393" w:themeColor="text1" w:themeTint="99"/>
    </w:rPr>
  </w:style>
  <w:style w:type="table" w:styleId="TableGrid">
    <w:name w:val="Table Grid"/>
    <w:basedOn w:val="TableNormal"/>
    <w:uiPriority w:val="59"/>
    <w:rsid w:val="0083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379"/>
    <w:pPr>
      <w:ind w:left="720"/>
      <w:contextualSpacing/>
    </w:pPr>
  </w:style>
  <w:style w:type="paragraph" w:customStyle="1" w:styleId="VerizonHeadline1">
    <w:name w:val="Verizon Headline 1"/>
    <w:basedOn w:val="Normal"/>
    <w:qFormat/>
    <w:rsid w:val="00830379"/>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830379"/>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830379"/>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83037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83037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83037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83037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830379"/>
    <w:pPr>
      <w:keepLines/>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before="40" w:after="40"/>
      <w:ind w:left="720"/>
    </w:pPr>
    <w:rPr>
      <w:rFonts w:ascii="Consolas" w:hAnsi="Consolas"/>
      <w:sz w:val="20"/>
      <w:szCs w:val="17"/>
    </w:rPr>
  </w:style>
  <w:style w:type="paragraph" w:customStyle="1" w:styleId="TableText">
    <w:name w:val="TableText"/>
    <w:basedOn w:val="Normal"/>
    <w:link w:val="TableTextChar"/>
    <w:qFormat/>
    <w:rsid w:val="00830379"/>
    <w:pPr>
      <w:spacing w:after="0"/>
    </w:pPr>
    <w:rPr>
      <w:sz w:val="18"/>
    </w:rPr>
  </w:style>
  <w:style w:type="character" w:customStyle="1" w:styleId="TableTextChar">
    <w:name w:val="TableText Char"/>
    <w:basedOn w:val="DefaultParagraphFont"/>
    <w:link w:val="TableText"/>
    <w:rsid w:val="00830379"/>
    <w:rPr>
      <w:rFonts w:ascii="Arial" w:hAnsi="Arial" w:cs="Arial"/>
      <w:sz w:val="18"/>
      <w:szCs w:val="18"/>
      <w:lang w:bidi="he-IL"/>
    </w:rPr>
  </w:style>
  <w:style w:type="character" w:customStyle="1" w:styleId="Heading5Char">
    <w:name w:val="Heading 5 Char"/>
    <w:basedOn w:val="DefaultParagraphFont"/>
    <w:link w:val="Heading5"/>
    <w:uiPriority w:val="9"/>
    <w:rsid w:val="00830379"/>
    <w:rPr>
      <w:rFonts w:ascii="Arial" w:eastAsiaTheme="majorEastAsia" w:hAnsi="Arial" w:cs="Arial"/>
      <w:b/>
      <w:i/>
      <w:iCs/>
      <w:color w:val="262626" w:themeColor="text1" w:themeShade="80"/>
      <w:szCs w:val="24"/>
      <w:lang w:bidi="he-IL"/>
    </w:rPr>
  </w:style>
  <w:style w:type="paragraph" w:customStyle="1" w:styleId="Body">
    <w:name w:val="Body"/>
    <w:qFormat/>
    <w:rsid w:val="00830379"/>
    <w:pPr>
      <w:spacing w:before="60" w:line="240" w:lineRule="auto"/>
    </w:pPr>
    <w:rPr>
      <w:rFonts w:ascii="Arial" w:hAnsi="Arial" w:cs="Arial"/>
      <w:szCs w:val="18"/>
      <w:lang w:bidi="he-IL"/>
    </w:rPr>
  </w:style>
  <w:style w:type="paragraph" w:styleId="TOC2">
    <w:name w:val="toc 2"/>
    <w:basedOn w:val="Normal"/>
    <w:next w:val="Normal"/>
    <w:uiPriority w:val="39"/>
    <w:unhideWhenUsed/>
    <w:rsid w:val="00830379"/>
    <w:pPr>
      <w:tabs>
        <w:tab w:val="left" w:pos="880"/>
        <w:tab w:val="right" w:leader="dot" w:pos="10790"/>
      </w:tabs>
      <w:spacing w:after="100"/>
      <w:ind w:left="220"/>
    </w:pPr>
    <w:rPr>
      <w:noProof/>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830379"/>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830379"/>
    <w:pPr>
      <w:spacing w:after="100"/>
      <w:ind w:left="440"/>
    </w:pPr>
  </w:style>
  <w:style w:type="character" w:styleId="Hyperlink">
    <w:name w:val="Hyperlink"/>
    <w:basedOn w:val="DefaultParagraphFont"/>
    <w:uiPriority w:val="99"/>
    <w:unhideWhenUsed/>
    <w:rsid w:val="00830379"/>
    <w:rPr>
      <w:color w:val="0000FF"/>
      <w:u w:val="single"/>
    </w:rPr>
  </w:style>
  <w:style w:type="paragraph" w:customStyle="1" w:styleId="bullet1">
    <w:name w:val="bullet1"/>
    <w:basedOn w:val="Body"/>
    <w:qFormat/>
    <w:rsid w:val="00830379"/>
    <w:pPr>
      <w:numPr>
        <w:numId w:val="23"/>
      </w:numPr>
      <w:spacing w:after="60"/>
    </w:pPr>
  </w:style>
  <w:style w:type="paragraph" w:customStyle="1" w:styleId="bullet2">
    <w:name w:val="bullet2"/>
    <w:basedOn w:val="bullet1"/>
    <w:qFormat/>
    <w:rsid w:val="00830379"/>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830379"/>
    <w:pPr>
      <w:numPr>
        <w:ilvl w:val="2"/>
      </w:numPr>
      <w:ind w:left="1440"/>
    </w:pPr>
  </w:style>
  <w:style w:type="paragraph" w:customStyle="1" w:styleId="bullet4">
    <w:name w:val="bullet4"/>
    <w:basedOn w:val="bullet3"/>
    <w:qFormat/>
    <w:rsid w:val="00830379"/>
    <w:pPr>
      <w:numPr>
        <w:ilvl w:val="3"/>
      </w:numPr>
      <w:ind w:left="1800"/>
    </w:pPr>
  </w:style>
  <w:style w:type="character" w:customStyle="1" w:styleId="Heading6Char">
    <w:name w:val="Heading 6 Char"/>
    <w:basedOn w:val="DefaultParagraphFont"/>
    <w:link w:val="Heading6"/>
    <w:uiPriority w:val="9"/>
    <w:rsid w:val="00830379"/>
    <w:rPr>
      <w:rFonts w:ascii="Arial" w:eastAsiaTheme="majorEastAsia" w:hAnsi="Arial" w:cstheme="majorBidi"/>
      <w:i/>
      <w:iCs/>
      <w:sz w:val="20"/>
      <w:szCs w:val="18"/>
      <w:lang w:bidi="he-IL"/>
    </w:rPr>
  </w:style>
  <w:style w:type="paragraph" w:customStyle="1" w:styleId="VzHeader1">
    <w:name w:val="Vz Header1"/>
    <w:basedOn w:val="Normal"/>
    <w:next w:val="Normal"/>
    <w:qFormat/>
    <w:rsid w:val="00830379"/>
    <w:pPr>
      <w:spacing w:after="0"/>
      <w:jc w:val="right"/>
    </w:pPr>
    <w:rPr>
      <w:rFonts w:ascii="IBM Plex Sans SemiBold" w:hAnsi="IBM Plex Sans SemiBold" w:cstheme="minorHAnsi"/>
      <w:b/>
      <w:sz w:val="28"/>
    </w:rPr>
  </w:style>
  <w:style w:type="paragraph" w:customStyle="1" w:styleId="VzHeader2">
    <w:name w:val="Vz Header2"/>
    <w:basedOn w:val="Normal"/>
    <w:qFormat/>
    <w:rsid w:val="00830379"/>
    <w:pPr>
      <w:spacing w:after="0"/>
      <w:jc w:val="right"/>
    </w:pPr>
    <w:rPr>
      <w:rFonts w:ascii="IBM Plex Sans Text" w:hAnsi="IBM Plex Sans Text" w:cstheme="minorHAnsi"/>
      <w:sz w:val="24"/>
    </w:rPr>
  </w:style>
  <w:style w:type="paragraph" w:customStyle="1" w:styleId="TOCheader">
    <w:name w:val="TOC header"/>
    <w:basedOn w:val="Normal"/>
    <w:next w:val="TOC1"/>
    <w:qFormat/>
    <w:rsid w:val="00830379"/>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Normal"/>
    <w:qFormat/>
    <w:rsid w:val="00830379"/>
    <w:pPr>
      <w:pageBreakBefore/>
      <w:outlineLvl w:val="1"/>
    </w:pPr>
    <w:rPr>
      <w:rFonts w:ascii="IBM Plex Sans SemiBold" w:hAnsi="IBM Plex Sans SemiBold"/>
      <w:caps/>
    </w:rPr>
  </w:style>
  <w:style w:type="paragraph" w:styleId="Title">
    <w:name w:val="Title"/>
    <w:basedOn w:val="Normal"/>
    <w:next w:val="Normal"/>
    <w:link w:val="TitleChar"/>
    <w:uiPriority w:val="10"/>
    <w:qFormat/>
    <w:rsid w:val="00830379"/>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rsid w:val="00830379"/>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830379"/>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830379"/>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830379"/>
    <w:pPr>
      <w:numPr>
        <w:numId w:val="34"/>
      </w:numPr>
      <w:spacing w:after="60"/>
    </w:pPr>
  </w:style>
  <w:style w:type="character" w:customStyle="1" w:styleId="numberlist1Char">
    <w:name w:val="numberlist1 Char"/>
    <w:basedOn w:val="DefaultParagraphFont"/>
    <w:link w:val="numberlist1"/>
    <w:rsid w:val="00830379"/>
    <w:rPr>
      <w:rFonts w:ascii="Arial" w:hAnsi="Arial" w:cs="Arial"/>
      <w:szCs w:val="18"/>
      <w:lang w:bidi="he-IL"/>
    </w:rPr>
  </w:style>
  <w:style w:type="paragraph" w:customStyle="1" w:styleId="numberlist2">
    <w:name w:val="numberlist2"/>
    <w:basedOn w:val="numberlist1"/>
    <w:link w:val="numberlist2Char"/>
    <w:qFormat/>
    <w:rsid w:val="00507784"/>
    <w:pPr>
      <w:numPr>
        <w:numId w:val="35"/>
      </w:numPr>
    </w:pPr>
  </w:style>
  <w:style w:type="character" w:customStyle="1" w:styleId="numberlist2Char">
    <w:name w:val="numberlist2 Char"/>
    <w:basedOn w:val="DefaultParagraphFont"/>
    <w:link w:val="numberlist2"/>
    <w:rsid w:val="00830379"/>
    <w:rPr>
      <w:rFonts w:ascii="Arial" w:hAnsi="Arial" w:cs="Arial"/>
      <w:szCs w:val="18"/>
      <w:lang w:bidi="he-IL"/>
    </w:rPr>
  </w:style>
  <w:style w:type="paragraph" w:styleId="ListNumber2">
    <w:name w:val="List Number 2"/>
    <w:basedOn w:val="Normal"/>
    <w:uiPriority w:val="99"/>
    <w:semiHidden/>
    <w:unhideWhenUsed/>
    <w:rsid w:val="00830379"/>
    <w:pPr>
      <w:numPr>
        <w:numId w:val="31"/>
      </w:numPr>
      <w:contextualSpacing/>
    </w:pPr>
  </w:style>
  <w:style w:type="paragraph" w:customStyle="1" w:styleId="numberlist3">
    <w:name w:val="numberlist3"/>
    <w:basedOn w:val="numberlist2"/>
    <w:link w:val="numberlist3Char"/>
    <w:qFormat/>
    <w:rsid w:val="00830379"/>
    <w:pPr>
      <w:numPr>
        <w:numId w:val="36"/>
      </w:numPr>
    </w:pPr>
  </w:style>
  <w:style w:type="character" w:customStyle="1" w:styleId="numberlist3Char">
    <w:name w:val="numberlist3 Char"/>
    <w:basedOn w:val="DefaultParagraphFont"/>
    <w:link w:val="numberlist3"/>
    <w:rsid w:val="00830379"/>
    <w:rPr>
      <w:rFonts w:ascii="Arial" w:hAnsi="Arial" w:cs="Arial"/>
      <w:szCs w:val="18"/>
      <w:lang w:bidi="he-IL"/>
    </w:rPr>
  </w:style>
  <w:style w:type="paragraph" w:styleId="ListNumber3">
    <w:name w:val="List Number 3"/>
    <w:basedOn w:val="Normal"/>
    <w:uiPriority w:val="99"/>
    <w:semiHidden/>
    <w:unhideWhenUsed/>
    <w:rsid w:val="00830379"/>
    <w:pPr>
      <w:numPr>
        <w:numId w:val="32"/>
      </w:numPr>
      <w:contextualSpacing/>
    </w:pPr>
  </w:style>
  <w:style w:type="paragraph" w:customStyle="1" w:styleId="numberlist4">
    <w:name w:val="numberlist4"/>
    <w:basedOn w:val="numberlist3"/>
    <w:link w:val="numberlist4Char"/>
    <w:qFormat/>
    <w:rsid w:val="00830379"/>
    <w:pPr>
      <w:numPr>
        <w:numId w:val="37"/>
      </w:numPr>
    </w:pPr>
  </w:style>
  <w:style w:type="character" w:customStyle="1" w:styleId="numberlist4Char">
    <w:name w:val="numberlist4 Char"/>
    <w:basedOn w:val="numberlist3Char"/>
    <w:link w:val="numberlist4"/>
    <w:rsid w:val="00830379"/>
    <w:rPr>
      <w:rFonts w:ascii="Arial" w:hAnsi="Arial" w:cs="Arial"/>
      <w:szCs w:val="18"/>
      <w:lang w:bidi="he-IL"/>
    </w:rPr>
  </w:style>
  <w:style w:type="paragraph" w:styleId="ListNumber4">
    <w:name w:val="List Number 4"/>
    <w:basedOn w:val="Normal"/>
    <w:uiPriority w:val="99"/>
    <w:semiHidden/>
    <w:unhideWhenUsed/>
    <w:rsid w:val="00830379"/>
    <w:pPr>
      <w:numPr>
        <w:numId w:val="33"/>
      </w:numPr>
      <w:contextualSpacing/>
    </w:pPr>
  </w:style>
  <w:style w:type="paragraph" w:customStyle="1" w:styleId="TableNum">
    <w:name w:val="TableNum"/>
    <w:basedOn w:val="TableText"/>
    <w:link w:val="TableNumChar"/>
    <w:qFormat/>
    <w:rsid w:val="00830379"/>
    <w:pPr>
      <w:numPr>
        <w:numId w:val="38"/>
      </w:numPr>
      <w:spacing w:before="20" w:after="40"/>
    </w:pPr>
  </w:style>
  <w:style w:type="character" w:customStyle="1" w:styleId="TableNumChar">
    <w:name w:val="TableNum Char"/>
    <w:basedOn w:val="TableTextChar"/>
    <w:link w:val="TableNum"/>
    <w:rsid w:val="00830379"/>
    <w:rPr>
      <w:rFonts w:ascii="Arial" w:hAnsi="Arial" w:cs="Arial"/>
      <w:sz w:val="18"/>
      <w:szCs w:val="18"/>
      <w:lang w:bidi="he-IL"/>
    </w:rPr>
  </w:style>
  <w:style w:type="paragraph" w:customStyle="1" w:styleId="TableBullet">
    <w:name w:val="TableBullet"/>
    <w:basedOn w:val="TableText"/>
    <w:qFormat/>
    <w:rsid w:val="00830379"/>
    <w:pPr>
      <w:spacing w:before="20" w:after="40"/>
      <w:ind w:left="392" w:hanging="270"/>
    </w:pPr>
  </w:style>
  <w:style w:type="paragraph" w:customStyle="1" w:styleId="TableTextBold">
    <w:name w:val="TableText Bold"/>
    <w:basedOn w:val="TableText"/>
    <w:qFormat/>
    <w:rsid w:val="00830379"/>
    <w:rPr>
      <w:b/>
      <w:lang w:val="en-GB" w:bidi="ar-SA"/>
    </w:rPr>
  </w:style>
  <w:style w:type="paragraph" w:customStyle="1" w:styleId="continue1">
    <w:name w:val="continue1"/>
    <w:basedOn w:val="Body"/>
    <w:link w:val="continue1Char"/>
    <w:qFormat/>
    <w:rsid w:val="00830379"/>
    <w:pPr>
      <w:spacing w:after="60"/>
      <w:ind w:left="720"/>
    </w:pPr>
  </w:style>
  <w:style w:type="character" w:customStyle="1" w:styleId="continue1Char">
    <w:name w:val="continue1 Char"/>
    <w:basedOn w:val="DefaultParagraphFont"/>
    <w:link w:val="continue1"/>
    <w:rsid w:val="00830379"/>
    <w:rPr>
      <w:rFonts w:ascii="Arial" w:hAnsi="Arial" w:cs="Arial"/>
      <w:szCs w:val="18"/>
      <w:lang w:bidi="he-IL"/>
    </w:rPr>
  </w:style>
  <w:style w:type="paragraph" w:customStyle="1" w:styleId="continue2">
    <w:name w:val="continue2"/>
    <w:basedOn w:val="Body"/>
    <w:link w:val="continue2Char"/>
    <w:qFormat/>
    <w:rsid w:val="00830379"/>
    <w:pPr>
      <w:spacing w:after="60"/>
      <w:ind w:left="1080"/>
    </w:pPr>
  </w:style>
  <w:style w:type="character" w:customStyle="1" w:styleId="continue2Char">
    <w:name w:val="continue2 Char"/>
    <w:basedOn w:val="DefaultParagraphFont"/>
    <w:link w:val="continue2"/>
    <w:rsid w:val="00830379"/>
    <w:rPr>
      <w:rFonts w:ascii="Arial" w:hAnsi="Arial" w:cs="Arial"/>
      <w:szCs w:val="18"/>
      <w:lang w:bidi="he-IL"/>
    </w:rPr>
  </w:style>
  <w:style w:type="paragraph" w:customStyle="1" w:styleId="continue3">
    <w:name w:val="continue3"/>
    <w:basedOn w:val="Body"/>
    <w:link w:val="continue3Char"/>
    <w:qFormat/>
    <w:rsid w:val="00830379"/>
    <w:pPr>
      <w:spacing w:after="60"/>
      <w:ind w:left="1440"/>
    </w:pPr>
  </w:style>
  <w:style w:type="character" w:customStyle="1" w:styleId="continue3Char">
    <w:name w:val="continue3 Char"/>
    <w:basedOn w:val="DefaultParagraphFont"/>
    <w:link w:val="continue3"/>
    <w:rsid w:val="00830379"/>
    <w:rPr>
      <w:rFonts w:ascii="Arial" w:hAnsi="Arial" w:cs="Arial"/>
      <w:szCs w:val="18"/>
      <w:lang w:bidi="he-IL"/>
    </w:rPr>
  </w:style>
  <w:style w:type="paragraph" w:customStyle="1" w:styleId="continue4">
    <w:name w:val="continue4"/>
    <w:basedOn w:val="Body"/>
    <w:qFormat/>
    <w:rsid w:val="00830379"/>
    <w:pPr>
      <w:spacing w:after="60"/>
      <w:ind w:left="1800"/>
    </w:pPr>
  </w:style>
  <w:style w:type="paragraph" w:customStyle="1" w:styleId="space">
    <w:name w:val="space"/>
    <w:basedOn w:val="Body"/>
    <w:qFormat/>
    <w:rsid w:val="00830379"/>
    <w:pPr>
      <w:spacing w:before="0" w:after="0"/>
    </w:pPr>
    <w:rPr>
      <w:sz w:val="16"/>
    </w:rPr>
  </w:style>
  <w:style w:type="paragraph" w:customStyle="1" w:styleId="DMSFooter">
    <w:name w:val="DMS Footer"/>
    <w:basedOn w:val="Normal"/>
    <w:qFormat/>
    <w:rsid w:val="00830379"/>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830379"/>
    <w:pPr>
      <w:keepNext/>
      <w:spacing w:before="120" w:after="120"/>
      <w:ind w:left="86"/>
    </w:pPr>
    <w:rPr>
      <w:b/>
      <w:sz w:val="20"/>
    </w:rPr>
  </w:style>
  <w:style w:type="paragraph" w:styleId="TableofFigures">
    <w:name w:val="table of figures"/>
    <w:basedOn w:val="Normal"/>
    <w:next w:val="Normal"/>
    <w:uiPriority w:val="99"/>
    <w:unhideWhenUsed/>
    <w:rsid w:val="00830379"/>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Topic">
    <w:name w:val="Topic"/>
    <w:basedOn w:val="Heading1"/>
    <w:next w:val="Body"/>
    <w:rsid w:val="00830379"/>
    <w:pPr>
      <w:numPr>
        <w:numId w:val="0"/>
      </w:numPr>
    </w:pPr>
  </w:style>
  <w:style w:type="paragraph" w:customStyle="1" w:styleId="copyright">
    <w:name w:val="copyright"/>
    <w:basedOn w:val="Body"/>
    <w:qFormat/>
    <w:rsid w:val="00830379"/>
    <w:pPr>
      <w:spacing w:after="120" w:line="280" w:lineRule="exact"/>
    </w:pPr>
    <w:rPr>
      <w:color w:val="262626" w:themeColor="text1" w:themeShade="80"/>
      <w:sz w:val="18"/>
    </w:rPr>
  </w:style>
  <w:style w:type="paragraph" w:styleId="NoSpacing">
    <w:name w:val="No Spacing"/>
    <w:uiPriority w:val="1"/>
    <w:qFormat/>
    <w:rsid w:val="00830379"/>
    <w:pPr>
      <w:spacing w:after="0" w:line="240" w:lineRule="auto"/>
    </w:pPr>
    <w:rPr>
      <w:sz w:val="16"/>
      <w:lang w:bidi="he-IL"/>
    </w:rPr>
  </w:style>
  <w:style w:type="character" w:styleId="FollowedHyperlink">
    <w:name w:val="FollowedHyperlink"/>
    <w:basedOn w:val="DefaultParagraphFont"/>
    <w:uiPriority w:val="99"/>
    <w:semiHidden/>
    <w:unhideWhenUsed/>
    <w:rsid w:val="00312792"/>
    <w:rPr>
      <w:color w:val="4C4C4C" w:themeColor="followedHyperlink"/>
      <w:u w:val="single"/>
    </w:rPr>
  </w:style>
  <w:style w:type="character" w:styleId="CommentReference">
    <w:name w:val="annotation reference"/>
    <w:basedOn w:val="DefaultParagraphFont"/>
    <w:uiPriority w:val="99"/>
    <w:semiHidden/>
    <w:unhideWhenUsed/>
    <w:rsid w:val="00CC6FAD"/>
    <w:rPr>
      <w:sz w:val="16"/>
      <w:szCs w:val="16"/>
    </w:rPr>
  </w:style>
  <w:style w:type="paragraph" w:styleId="CommentText">
    <w:name w:val="annotation text"/>
    <w:basedOn w:val="Normal"/>
    <w:link w:val="CommentTextChar"/>
    <w:uiPriority w:val="99"/>
    <w:semiHidden/>
    <w:unhideWhenUsed/>
    <w:rsid w:val="00CC6FAD"/>
    <w:rPr>
      <w:sz w:val="20"/>
      <w:szCs w:val="20"/>
    </w:rPr>
  </w:style>
  <w:style w:type="character" w:customStyle="1" w:styleId="CommentTextChar">
    <w:name w:val="Comment Text Char"/>
    <w:basedOn w:val="DefaultParagraphFont"/>
    <w:link w:val="CommentText"/>
    <w:uiPriority w:val="99"/>
    <w:semiHidden/>
    <w:rsid w:val="00CC6FAD"/>
    <w:rPr>
      <w:rFonts w:ascii="Arial" w:hAnsi="Arial" w:cs="Arial"/>
      <w:color w:val="000000"/>
      <w:sz w:val="20"/>
      <w:szCs w:val="20"/>
      <w:lang w:bidi="he-IL"/>
    </w:rPr>
  </w:style>
  <w:style w:type="paragraph" w:styleId="CommentSubject">
    <w:name w:val="annotation subject"/>
    <w:basedOn w:val="CommentText"/>
    <w:next w:val="CommentText"/>
    <w:link w:val="CommentSubjectChar"/>
    <w:uiPriority w:val="99"/>
    <w:semiHidden/>
    <w:unhideWhenUsed/>
    <w:rsid w:val="00CC6FAD"/>
    <w:rPr>
      <w:b/>
      <w:bCs/>
    </w:rPr>
  </w:style>
  <w:style w:type="character" w:customStyle="1" w:styleId="CommentSubjectChar">
    <w:name w:val="Comment Subject Char"/>
    <w:basedOn w:val="CommentTextChar"/>
    <w:link w:val="CommentSubject"/>
    <w:uiPriority w:val="99"/>
    <w:semiHidden/>
    <w:rsid w:val="00CC6FAD"/>
    <w:rPr>
      <w:rFonts w:ascii="Arial" w:hAnsi="Arial" w:cs="Arial"/>
      <w:b/>
      <w:bCs/>
      <w:color w:val="000000"/>
      <w:sz w:val="20"/>
      <w:szCs w:val="20"/>
      <w:lang w:bidi="he-IL"/>
    </w:rPr>
  </w:style>
  <w:style w:type="character" w:customStyle="1" w:styleId="Heading7Char">
    <w:name w:val="Heading 7 Char"/>
    <w:basedOn w:val="DefaultParagraphFont"/>
    <w:link w:val="Heading7"/>
    <w:uiPriority w:val="9"/>
    <w:semiHidden/>
    <w:rsid w:val="00830379"/>
    <w:rPr>
      <w:rFonts w:ascii="Arial" w:eastAsiaTheme="majorEastAsia" w:hAnsi="Arial" w:cstheme="majorBidi"/>
      <w:i/>
      <w:color w:val="383838" w:themeColor="text1" w:themeShade="BF"/>
      <w:sz w:val="20"/>
      <w:szCs w:val="18"/>
      <w:lang w:bidi="he-IL"/>
    </w:rPr>
  </w:style>
  <w:style w:type="paragraph" w:styleId="Revision">
    <w:name w:val="Revision"/>
    <w:hidden/>
    <w:uiPriority w:val="99"/>
    <w:semiHidden/>
    <w:rsid w:val="00917BF7"/>
    <w:pPr>
      <w:spacing w:after="0" w:line="240" w:lineRule="auto"/>
    </w:pPr>
    <w:rPr>
      <w:rFonts w:ascii="Arial" w:hAnsi="Arial" w:cs="Arial"/>
      <w:color w:val="000000"/>
      <w:szCs w:val="18"/>
      <w:lang w:bidi="he-IL"/>
    </w:rPr>
  </w:style>
  <w:style w:type="table" w:customStyle="1" w:styleId="TableGrid1">
    <w:name w:val="Table Grid1"/>
    <w:basedOn w:val="TableNormal"/>
    <w:next w:val="TableGrid"/>
    <w:uiPriority w:val="59"/>
    <w:rsid w:val="0083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Normal"/>
    <w:autoRedefine/>
    <w:uiPriority w:val="99"/>
    <w:qFormat/>
    <w:rsid w:val="00830379"/>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830379"/>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830379"/>
    <w:rPr>
      <w:rFonts w:ascii="Arial" w:eastAsia="Calibri" w:hAnsi="Arial" w:cs="Times New Roman"/>
      <w:sz w:val="18"/>
      <w:szCs w:val="20"/>
      <w:lang w:val="en-GB"/>
    </w:rPr>
  </w:style>
  <w:style w:type="character" w:customStyle="1" w:styleId="UnresolvedMention">
    <w:name w:val="Unresolved Mention"/>
    <w:basedOn w:val="DefaultParagraphFont"/>
    <w:uiPriority w:val="99"/>
    <w:semiHidden/>
    <w:unhideWhenUsed/>
    <w:rsid w:val="0088169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379"/>
    <w:pPr>
      <w:spacing w:before="60" w:line="240" w:lineRule="auto"/>
    </w:pPr>
    <w:rPr>
      <w:rFonts w:ascii="Arial" w:hAnsi="Arial" w:cs="Arial"/>
      <w:szCs w:val="18"/>
      <w:lang w:bidi="he-IL"/>
    </w:rPr>
  </w:style>
  <w:style w:type="paragraph" w:styleId="Heading1">
    <w:name w:val="heading 1"/>
    <w:basedOn w:val="Normal"/>
    <w:next w:val="Body"/>
    <w:link w:val="Heading1Char"/>
    <w:uiPriority w:val="9"/>
    <w:qFormat/>
    <w:rsid w:val="00830379"/>
    <w:pPr>
      <w:keepNext/>
      <w:keepLines/>
      <w:pageBreakBefore/>
      <w:numPr>
        <w:numId w:val="30"/>
      </w:numPr>
      <w:spacing w:before="240" w:after="120"/>
      <w:outlineLvl w:val="0"/>
    </w:pPr>
    <w:rPr>
      <w:rFonts w:ascii="IBM Plex Sans SemiBold" w:eastAsiaTheme="majorEastAsia" w:hAnsi="IBM Plex Sans SemiBold" w:cstheme="majorBidi"/>
      <w:b/>
      <w:bCs/>
      <w:smallCaps/>
      <w:sz w:val="36"/>
      <w:szCs w:val="32"/>
    </w:rPr>
  </w:style>
  <w:style w:type="paragraph" w:styleId="Heading2">
    <w:name w:val="heading 2"/>
    <w:basedOn w:val="Heading1"/>
    <w:next w:val="Body"/>
    <w:link w:val="Heading2Char"/>
    <w:uiPriority w:val="9"/>
    <w:unhideWhenUsed/>
    <w:qFormat/>
    <w:rsid w:val="00830379"/>
    <w:pPr>
      <w:pageBreakBefore w:val="0"/>
      <w:numPr>
        <w:ilvl w:val="1"/>
      </w:numPr>
      <w:outlineLvl w:val="1"/>
    </w:pPr>
    <w:rPr>
      <w:smallCaps w:val="0"/>
      <w:sz w:val="28"/>
      <w:szCs w:val="28"/>
    </w:rPr>
  </w:style>
  <w:style w:type="paragraph" w:styleId="Heading3">
    <w:name w:val="heading 3"/>
    <w:basedOn w:val="Heading2"/>
    <w:next w:val="Body"/>
    <w:link w:val="Heading3Char"/>
    <w:uiPriority w:val="9"/>
    <w:unhideWhenUsed/>
    <w:qFormat/>
    <w:rsid w:val="00830379"/>
    <w:pPr>
      <w:numPr>
        <w:ilvl w:val="2"/>
      </w:numPr>
      <w:outlineLvl w:val="2"/>
    </w:pPr>
    <w:rPr>
      <w:sz w:val="24"/>
      <w:szCs w:val="24"/>
    </w:rPr>
  </w:style>
  <w:style w:type="paragraph" w:styleId="Heading4">
    <w:name w:val="heading 4"/>
    <w:basedOn w:val="Heading3"/>
    <w:next w:val="Body"/>
    <w:link w:val="Heading4Char"/>
    <w:uiPriority w:val="9"/>
    <w:unhideWhenUsed/>
    <w:qFormat/>
    <w:rsid w:val="00830379"/>
    <w:pPr>
      <w:numPr>
        <w:ilvl w:val="3"/>
      </w:numPr>
      <w:outlineLvl w:val="3"/>
    </w:pPr>
    <w:rPr>
      <w:rFonts w:cs="Arial"/>
      <w:bCs w:val="0"/>
      <w:iCs/>
      <w:color w:val="262626" w:themeColor="text1" w:themeShade="80"/>
      <w:sz w:val="22"/>
    </w:rPr>
  </w:style>
  <w:style w:type="paragraph" w:styleId="Heading5">
    <w:name w:val="heading 5"/>
    <w:basedOn w:val="Heading4"/>
    <w:next w:val="Body"/>
    <w:link w:val="Heading5Char"/>
    <w:uiPriority w:val="9"/>
    <w:unhideWhenUsed/>
    <w:qFormat/>
    <w:rsid w:val="00830379"/>
    <w:pPr>
      <w:numPr>
        <w:ilvl w:val="4"/>
      </w:numPr>
      <w:outlineLvl w:val="4"/>
    </w:pPr>
    <w:rPr>
      <w:rFonts w:ascii="Arial" w:hAnsi="Arial"/>
      <w:i/>
    </w:rPr>
  </w:style>
  <w:style w:type="paragraph" w:styleId="Heading6">
    <w:name w:val="heading 6"/>
    <w:basedOn w:val="Normal"/>
    <w:next w:val="Normal"/>
    <w:link w:val="Heading6Char"/>
    <w:uiPriority w:val="9"/>
    <w:unhideWhenUsed/>
    <w:qFormat/>
    <w:rsid w:val="00830379"/>
    <w:pPr>
      <w:keepNext/>
      <w:keepLines/>
      <w:numPr>
        <w:ilvl w:val="5"/>
        <w:numId w:val="30"/>
      </w:numPr>
      <w:spacing w:before="200" w:after="0"/>
      <w:outlineLvl w:val="5"/>
    </w:pPr>
    <w:rPr>
      <w:rFonts w:eastAsiaTheme="majorEastAsia" w:cstheme="majorBidi"/>
      <w:i/>
      <w:iCs/>
      <w:sz w:val="20"/>
    </w:rPr>
  </w:style>
  <w:style w:type="paragraph" w:styleId="Heading7">
    <w:name w:val="heading 7"/>
    <w:basedOn w:val="Heading6"/>
    <w:next w:val="Normal"/>
    <w:link w:val="Heading7Char"/>
    <w:uiPriority w:val="9"/>
    <w:semiHidden/>
    <w:unhideWhenUsed/>
    <w:qFormat/>
    <w:rsid w:val="00830379"/>
    <w:pPr>
      <w:spacing w:before="40"/>
      <w:outlineLvl w:val="6"/>
    </w:pPr>
    <w:rPr>
      <w:iCs w:val="0"/>
      <w:color w:val="383838" w:themeColor="tex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30379"/>
    <w:pPr>
      <w:tabs>
        <w:tab w:val="center" w:pos="4680"/>
        <w:tab w:val="right" w:pos="9360"/>
      </w:tabs>
      <w:spacing w:after="0"/>
    </w:pPr>
  </w:style>
  <w:style w:type="character" w:customStyle="1" w:styleId="HeaderChar">
    <w:name w:val="Header Char"/>
    <w:basedOn w:val="DefaultParagraphFont"/>
    <w:link w:val="Header"/>
    <w:uiPriority w:val="99"/>
    <w:semiHidden/>
    <w:rsid w:val="00830379"/>
    <w:rPr>
      <w:rFonts w:ascii="Arial" w:hAnsi="Arial" w:cs="Arial"/>
      <w:szCs w:val="18"/>
      <w:lang w:bidi="he-IL"/>
    </w:rPr>
  </w:style>
  <w:style w:type="paragraph" w:styleId="Footer">
    <w:name w:val="footer"/>
    <w:basedOn w:val="Normal"/>
    <w:link w:val="FooterChar"/>
    <w:uiPriority w:val="99"/>
    <w:semiHidden/>
    <w:rsid w:val="00830379"/>
    <w:pPr>
      <w:tabs>
        <w:tab w:val="center" w:pos="4680"/>
        <w:tab w:val="right" w:pos="9360"/>
      </w:tabs>
      <w:spacing w:after="0"/>
    </w:pPr>
  </w:style>
  <w:style w:type="character" w:customStyle="1" w:styleId="FooterChar">
    <w:name w:val="Footer Char"/>
    <w:basedOn w:val="DefaultParagraphFont"/>
    <w:link w:val="Footer"/>
    <w:uiPriority w:val="99"/>
    <w:semiHidden/>
    <w:rsid w:val="00830379"/>
    <w:rPr>
      <w:rFonts w:ascii="Arial" w:hAnsi="Arial" w:cs="Arial"/>
      <w:szCs w:val="18"/>
      <w:lang w:bidi="he-IL"/>
    </w:rPr>
  </w:style>
  <w:style w:type="paragraph" w:styleId="BalloonText">
    <w:name w:val="Balloon Text"/>
    <w:basedOn w:val="Normal"/>
    <w:link w:val="BalloonTextChar"/>
    <w:uiPriority w:val="99"/>
    <w:semiHidden/>
    <w:unhideWhenUsed/>
    <w:rsid w:val="00FD02D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2D3"/>
    <w:rPr>
      <w:rFonts w:ascii="Tahoma" w:hAnsi="Tahoma" w:cs="Tahoma"/>
      <w:color w:val="262626" w:themeColor="text1" w:themeShade="80"/>
      <w:sz w:val="16"/>
      <w:szCs w:val="16"/>
      <w:lang w:bidi="he-IL"/>
    </w:rPr>
  </w:style>
  <w:style w:type="paragraph" w:customStyle="1" w:styleId="image">
    <w:name w:val="image"/>
    <w:basedOn w:val="Body"/>
    <w:qFormat/>
    <w:rsid w:val="00830379"/>
    <w:pPr>
      <w:keepNext/>
      <w:keepLines/>
      <w:spacing w:before="120" w:after="120"/>
      <w:jc w:val="center"/>
    </w:pPr>
    <w:rPr>
      <w:color w:val="939393" w:themeColor="text1" w:themeTint="99"/>
    </w:rPr>
  </w:style>
  <w:style w:type="table" w:styleId="TableGrid">
    <w:name w:val="Table Grid"/>
    <w:basedOn w:val="TableNormal"/>
    <w:uiPriority w:val="59"/>
    <w:rsid w:val="0083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379"/>
    <w:pPr>
      <w:ind w:left="720"/>
      <w:contextualSpacing/>
    </w:pPr>
  </w:style>
  <w:style w:type="paragraph" w:customStyle="1" w:styleId="VerizonHeadline1">
    <w:name w:val="Verizon Headline 1"/>
    <w:basedOn w:val="Normal"/>
    <w:qFormat/>
    <w:rsid w:val="00830379"/>
    <w:pPr>
      <w:autoSpaceDE w:val="0"/>
      <w:autoSpaceDN w:val="0"/>
      <w:adjustRightInd w:val="0"/>
      <w:spacing w:after="120"/>
    </w:pPr>
    <w:rPr>
      <w:bCs/>
      <w:i/>
      <w:iCs/>
      <w:color w:val="383838" w:themeColor="text1" w:themeShade="BF"/>
      <w:sz w:val="36"/>
      <w:szCs w:val="36"/>
    </w:rPr>
  </w:style>
  <w:style w:type="paragraph" w:customStyle="1" w:styleId="VerizonHeadline2">
    <w:name w:val="Verizon Headline 2"/>
    <w:basedOn w:val="Normal"/>
    <w:qFormat/>
    <w:rsid w:val="00830379"/>
    <w:pPr>
      <w:autoSpaceDE w:val="0"/>
      <w:autoSpaceDN w:val="0"/>
      <w:adjustRightInd w:val="0"/>
      <w:spacing w:before="240" w:after="240"/>
    </w:pPr>
    <w:rPr>
      <w:b/>
      <w:caps/>
      <w:color w:val="383838" w:themeColor="text1" w:themeShade="BF"/>
      <w:sz w:val="56"/>
      <w:szCs w:val="56"/>
    </w:rPr>
  </w:style>
  <w:style w:type="paragraph" w:customStyle="1" w:styleId="VerizonSubhead">
    <w:name w:val="Verizon Subhead"/>
    <w:basedOn w:val="Normal"/>
    <w:qFormat/>
    <w:rsid w:val="00830379"/>
    <w:pPr>
      <w:autoSpaceDE w:val="0"/>
      <w:autoSpaceDN w:val="0"/>
      <w:adjustRightInd w:val="0"/>
      <w:spacing w:after="600"/>
    </w:pPr>
    <w:rPr>
      <w:b/>
      <w:bCs/>
      <w:color w:val="383838" w:themeColor="text1" w:themeShade="BF"/>
      <w:sz w:val="23"/>
      <w:szCs w:val="23"/>
    </w:rPr>
  </w:style>
  <w:style w:type="character" w:customStyle="1" w:styleId="Heading1Char">
    <w:name w:val="Heading 1 Char"/>
    <w:basedOn w:val="DefaultParagraphFont"/>
    <w:link w:val="Heading1"/>
    <w:uiPriority w:val="9"/>
    <w:rsid w:val="00830379"/>
    <w:rPr>
      <w:rFonts w:ascii="IBM Plex Sans SemiBold" w:eastAsiaTheme="majorEastAsia" w:hAnsi="IBM Plex Sans SemiBold" w:cstheme="majorBidi"/>
      <w:b/>
      <w:bCs/>
      <w:smallCaps/>
      <w:sz w:val="36"/>
      <w:szCs w:val="32"/>
      <w:lang w:bidi="he-IL"/>
    </w:rPr>
  </w:style>
  <w:style w:type="character" w:customStyle="1" w:styleId="Heading2Char">
    <w:name w:val="Heading 2 Char"/>
    <w:basedOn w:val="DefaultParagraphFont"/>
    <w:link w:val="Heading2"/>
    <w:uiPriority w:val="9"/>
    <w:rsid w:val="00830379"/>
    <w:rPr>
      <w:rFonts w:ascii="IBM Plex Sans SemiBold" w:eastAsiaTheme="majorEastAsia" w:hAnsi="IBM Plex Sans SemiBold" w:cstheme="majorBidi"/>
      <w:b/>
      <w:bCs/>
      <w:sz w:val="28"/>
      <w:szCs w:val="28"/>
      <w:lang w:bidi="he-IL"/>
    </w:rPr>
  </w:style>
  <w:style w:type="character" w:customStyle="1" w:styleId="Heading3Char">
    <w:name w:val="Heading 3 Char"/>
    <w:basedOn w:val="DefaultParagraphFont"/>
    <w:link w:val="Heading3"/>
    <w:uiPriority w:val="9"/>
    <w:rsid w:val="00830379"/>
    <w:rPr>
      <w:rFonts w:ascii="IBM Plex Sans SemiBold" w:eastAsiaTheme="majorEastAsia" w:hAnsi="IBM Plex Sans SemiBold" w:cstheme="majorBidi"/>
      <w:b/>
      <w:bCs/>
      <w:sz w:val="24"/>
      <w:szCs w:val="24"/>
      <w:lang w:bidi="he-IL"/>
    </w:rPr>
  </w:style>
  <w:style w:type="character" w:customStyle="1" w:styleId="Heading4Char">
    <w:name w:val="Heading 4 Char"/>
    <w:basedOn w:val="DefaultParagraphFont"/>
    <w:link w:val="Heading4"/>
    <w:uiPriority w:val="9"/>
    <w:rsid w:val="00830379"/>
    <w:rPr>
      <w:rFonts w:ascii="IBM Plex Sans SemiBold" w:eastAsiaTheme="majorEastAsia" w:hAnsi="IBM Plex Sans SemiBold" w:cs="Arial"/>
      <w:b/>
      <w:iCs/>
      <w:color w:val="262626" w:themeColor="text1" w:themeShade="80"/>
      <w:szCs w:val="24"/>
      <w:lang w:bidi="he-IL"/>
    </w:rPr>
  </w:style>
  <w:style w:type="paragraph" w:customStyle="1" w:styleId="systemmessage">
    <w:name w:val="system_message"/>
    <w:basedOn w:val="Normal"/>
    <w:qFormat/>
    <w:rsid w:val="00830379"/>
    <w:pPr>
      <w:keepLines/>
      <w:pBdr>
        <w:top w:val="single" w:sz="4" w:space="1" w:color="A5A5A5" w:themeColor="text1" w:themeTint="80"/>
        <w:left w:val="single" w:sz="4" w:space="4" w:color="A5A5A5" w:themeColor="text1" w:themeTint="80"/>
        <w:bottom w:val="single" w:sz="4" w:space="1" w:color="A5A5A5" w:themeColor="text1" w:themeTint="80"/>
        <w:right w:val="single" w:sz="4" w:space="4" w:color="A5A5A5" w:themeColor="text1" w:themeTint="80"/>
      </w:pBdr>
      <w:shd w:val="clear" w:color="auto" w:fill="F2F2F2" w:themeFill="background1" w:themeFillShade="F2"/>
      <w:spacing w:before="40" w:after="40"/>
      <w:ind w:left="720"/>
    </w:pPr>
    <w:rPr>
      <w:rFonts w:ascii="Consolas" w:hAnsi="Consolas"/>
      <w:sz w:val="20"/>
      <w:szCs w:val="17"/>
    </w:rPr>
  </w:style>
  <w:style w:type="paragraph" w:customStyle="1" w:styleId="TableText">
    <w:name w:val="TableText"/>
    <w:basedOn w:val="Normal"/>
    <w:link w:val="TableTextChar"/>
    <w:qFormat/>
    <w:rsid w:val="00830379"/>
    <w:pPr>
      <w:spacing w:after="0"/>
    </w:pPr>
    <w:rPr>
      <w:sz w:val="18"/>
    </w:rPr>
  </w:style>
  <w:style w:type="character" w:customStyle="1" w:styleId="TableTextChar">
    <w:name w:val="TableText Char"/>
    <w:basedOn w:val="DefaultParagraphFont"/>
    <w:link w:val="TableText"/>
    <w:rsid w:val="00830379"/>
    <w:rPr>
      <w:rFonts w:ascii="Arial" w:hAnsi="Arial" w:cs="Arial"/>
      <w:sz w:val="18"/>
      <w:szCs w:val="18"/>
      <w:lang w:bidi="he-IL"/>
    </w:rPr>
  </w:style>
  <w:style w:type="character" w:customStyle="1" w:styleId="Heading5Char">
    <w:name w:val="Heading 5 Char"/>
    <w:basedOn w:val="DefaultParagraphFont"/>
    <w:link w:val="Heading5"/>
    <w:uiPriority w:val="9"/>
    <w:rsid w:val="00830379"/>
    <w:rPr>
      <w:rFonts w:ascii="Arial" w:eastAsiaTheme="majorEastAsia" w:hAnsi="Arial" w:cs="Arial"/>
      <w:b/>
      <w:i/>
      <w:iCs/>
      <w:color w:val="262626" w:themeColor="text1" w:themeShade="80"/>
      <w:szCs w:val="24"/>
      <w:lang w:bidi="he-IL"/>
    </w:rPr>
  </w:style>
  <w:style w:type="paragraph" w:customStyle="1" w:styleId="Body">
    <w:name w:val="Body"/>
    <w:qFormat/>
    <w:rsid w:val="00830379"/>
    <w:pPr>
      <w:spacing w:before="60" w:line="240" w:lineRule="auto"/>
    </w:pPr>
    <w:rPr>
      <w:rFonts w:ascii="Arial" w:hAnsi="Arial" w:cs="Arial"/>
      <w:szCs w:val="18"/>
      <w:lang w:bidi="he-IL"/>
    </w:rPr>
  </w:style>
  <w:style w:type="paragraph" w:styleId="TOC2">
    <w:name w:val="toc 2"/>
    <w:basedOn w:val="Normal"/>
    <w:next w:val="Normal"/>
    <w:uiPriority w:val="39"/>
    <w:unhideWhenUsed/>
    <w:rsid w:val="00830379"/>
    <w:pPr>
      <w:tabs>
        <w:tab w:val="left" w:pos="880"/>
        <w:tab w:val="right" w:leader="dot" w:pos="10790"/>
      </w:tabs>
      <w:spacing w:after="100"/>
      <w:ind w:left="220"/>
    </w:pPr>
    <w:rPr>
      <w:noProof/>
      <w14:scene3d>
        <w14:camera w14:prst="orthographicFront"/>
        <w14:lightRig w14:rig="threePt" w14:dir="t">
          <w14:rot w14:lat="0" w14:lon="0" w14:rev="0"/>
        </w14:lightRig>
      </w14:scene3d>
    </w:rPr>
  </w:style>
  <w:style w:type="paragraph" w:styleId="TOC1">
    <w:name w:val="toc 1"/>
    <w:basedOn w:val="Normal"/>
    <w:next w:val="Normal"/>
    <w:uiPriority w:val="39"/>
    <w:unhideWhenUsed/>
    <w:rsid w:val="00830379"/>
    <w:pPr>
      <w:spacing w:after="100"/>
    </w:pPr>
    <w:rPr>
      <w:rFonts w:ascii="IBM Plex Sans SemiBold" w:hAnsi="IBM Plex Sans SemiBold"/>
      <w:b/>
      <w:smallCaps/>
      <w:sz w:val="28"/>
    </w:rPr>
  </w:style>
  <w:style w:type="paragraph" w:styleId="TOC3">
    <w:name w:val="toc 3"/>
    <w:basedOn w:val="Normal"/>
    <w:next w:val="Normal"/>
    <w:autoRedefine/>
    <w:uiPriority w:val="39"/>
    <w:unhideWhenUsed/>
    <w:rsid w:val="00830379"/>
    <w:pPr>
      <w:spacing w:after="100"/>
      <w:ind w:left="440"/>
    </w:pPr>
  </w:style>
  <w:style w:type="character" w:styleId="Hyperlink">
    <w:name w:val="Hyperlink"/>
    <w:basedOn w:val="DefaultParagraphFont"/>
    <w:uiPriority w:val="99"/>
    <w:unhideWhenUsed/>
    <w:rsid w:val="00830379"/>
    <w:rPr>
      <w:color w:val="0000FF"/>
      <w:u w:val="single"/>
    </w:rPr>
  </w:style>
  <w:style w:type="paragraph" w:customStyle="1" w:styleId="bullet1">
    <w:name w:val="bullet1"/>
    <w:basedOn w:val="Body"/>
    <w:qFormat/>
    <w:rsid w:val="00830379"/>
    <w:pPr>
      <w:numPr>
        <w:numId w:val="23"/>
      </w:numPr>
      <w:spacing w:after="60"/>
    </w:pPr>
  </w:style>
  <w:style w:type="paragraph" w:customStyle="1" w:styleId="bullet2">
    <w:name w:val="bullet2"/>
    <w:basedOn w:val="bullet1"/>
    <w:qFormat/>
    <w:rsid w:val="00830379"/>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830379"/>
    <w:pPr>
      <w:numPr>
        <w:ilvl w:val="2"/>
      </w:numPr>
      <w:ind w:left="1440"/>
    </w:pPr>
  </w:style>
  <w:style w:type="paragraph" w:customStyle="1" w:styleId="bullet4">
    <w:name w:val="bullet4"/>
    <w:basedOn w:val="bullet3"/>
    <w:qFormat/>
    <w:rsid w:val="00830379"/>
    <w:pPr>
      <w:numPr>
        <w:ilvl w:val="3"/>
      </w:numPr>
      <w:ind w:left="1800"/>
    </w:pPr>
  </w:style>
  <w:style w:type="character" w:customStyle="1" w:styleId="Heading6Char">
    <w:name w:val="Heading 6 Char"/>
    <w:basedOn w:val="DefaultParagraphFont"/>
    <w:link w:val="Heading6"/>
    <w:uiPriority w:val="9"/>
    <w:rsid w:val="00830379"/>
    <w:rPr>
      <w:rFonts w:ascii="Arial" w:eastAsiaTheme="majorEastAsia" w:hAnsi="Arial" w:cstheme="majorBidi"/>
      <w:i/>
      <w:iCs/>
      <w:sz w:val="20"/>
      <w:szCs w:val="18"/>
      <w:lang w:bidi="he-IL"/>
    </w:rPr>
  </w:style>
  <w:style w:type="paragraph" w:customStyle="1" w:styleId="VzHeader1">
    <w:name w:val="Vz Header1"/>
    <w:basedOn w:val="Normal"/>
    <w:next w:val="Normal"/>
    <w:qFormat/>
    <w:rsid w:val="00830379"/>
    <w:pPr>
      <w:spacing w:after="0"/>
      <w:jc w:val="right"/>
    </w:pPr>
    <w:rPr>
      <w:rFonts w:ascii="IBM Plex Sans SemiBold" w:hAnsi="IBM Plex Sans SemiBold" w:cstheme="minorHAnsi"/>
      <w:b/>
      <w:sz w:val="28"/>
    </w:rPr>
  </w:style>
  <w:style w:type="paragraph" w:customStyle="1" w:styleId="VzHeader2">
    <w:name w:val="Vz Header2"/>
    <w:basedOn w:val="Normal"/>
    <w:qFormat/>
    <w:rsid w:val="00830379"/>
    <w:pPr>
      <w:spacing w:after="0"/>
      <w:jc w:val="right"/>
    </w:pPr>
    <w:rPr>
      <w:rFonts w:ascii="IBM Plex Sans Text" w:hAnsi="IBM Plex Sans Text" w:cstheme="minorHAnsi"/>
      <w:sz w:val="24"/>
    </w:rPr>
  </w:style>
  <w:style w:type="paragraph" w:customStyle="1" w:styleId="TOCheader">
    <w:name w:val="TOC header"/>
    <w:basedOn w:val="Normal"/>
    <w:next w:val="TOC1"/>
    <w:qFormat/>
    <w:rsid w:val="00830379"/>
    <w:pPr>
      <w:keepNext/>
      <w:keepLines/>
      <w:spacing w:before="120" w:after="240"/>
    </w:pPr>
    <w:rPr>
      <w:rFonts w:ascii="Arial Bold" w:eastAsiaTheme="majorEastAsia" w:hAnsi="Arial Bold" w:cstheme="majorBidi"/>
      <w:b/>
      <w:bCs/>
      <w:smallCaps/>
      <w:sz w:val="32"/>
      <w:szCs w:val="32"/>
    </w:rPr>
  </w:style>
  <w:style w:type="paragraph" w:customStyle="1" w:styleId="appendixheader">
    <w:name w:val="appendix header"/>
    <w:basedOn w:val="TOCheader"/>
    <w:next w:val="Normal"/>
    <w:qFormat/>
    <w:rsid w:val="00830379"/>
    <w:pPr>
      <w:pageBreakBefore/>
      <w:outlineLvl w:val="1"/>
    </w:pPr>
    <w:rPr>
      <w:rFonts w:ascii="IBM Plex Sans SemiBold" w:hAnsi="IBM Plex Sans SemiBold"/>
      <w:caps/>
    </w:rPr>
  </w:style>
  <w:style w:type="paragraph" w:styleId="Title">
    <w:name w:val="Title"/>
    <w:basedOn w:val="Normal"/>
    <w:next w:val="Normal"/>
    <w:link w:val="TitleChar"/>
    <w:uiPriority w:val="10"/>
    <w:qFormat/>
    <w:rsid w:val="00830379"/>
    <w:pPr>
      <w:spacing w:before="240" w:after="240"/>
      <w:contextualSpacing/>
    </w:pPr>
    <w:rPr>
      <w:rFonts w:ascii="Verizon Apex Bold" w:eastAsiaTheme="majorEastAsia" w:hAnsi="Verizon Apex Bold" w:cstheme="majorBidi"/>
      <w:smallCaps/>
      <w:color w:val="383838" w:themeColor="text2" w:themeShade="BF"/>
      <w:spacing w:val="5"/>
      <w:kern w:val="28"/>
      <w:sz w:val="52"/>
      <w:szCs w:val="52"/>
    </w:rPr>
  </w:style>
  <w:style w:type="character" w:customStyle="1" w:styleId="TitleChar">
    <w:name w:val="Title Char"/>
    <w:basedOn w:val="DefaultParagraphFont"/>
    <w:link w:val="Title"/>
    <w:uiPriority w:val="10"/>
    <w:rsid w:val="00830379"/>
    <w:rPr>
      <w:rFonts w:ascii="Verizon Apex Bold" w:eastAsiaTheme="majorEastAsia" w:hAnsi="Verizon Apex Bold" w:cstheme="majorBidi"/>
      <w:smallCaps/>
      <w:color w:val="383838" w:themeColor="text2" w:themeShade="BF"/>
      <w:spacing w:val="5"/>
      <w:kern w:val="28"/>
      <w:sz w:val="52"/>
      <w:szCs w:val="52"/>
      <w:lang w:bidi="he-IL"/>
    </w:rPr>
  </w:style>
  <w:style w:type="paragraph" w:customStyle="1" w:styleId="tableheading">
    <w:name w:val="tableheading"/>
    <w:basedOn w:val="Normal"/>
    <w:qFormat/>
    <w:rsid w:val="00830379"/>
    <w:pPr>
      <w:spacing w:before="40" w:after="40"/>
    </w:pPr>
    <w:rPr>
      <w:rFonts w:ascii="Arial Bold" w:eastAsia="Calibri" w:hAnsi="Arial Bold" w:cs="Times New Roman"/>
      <w:b/>
      <w:caps/>
      <w:color w:val="000000"/>
      <w:sz w:val="18"/>
      <w:lang w:val="en-GB" w:bidi="ar-SA"/>
    </w:rPr>
  </w:style>
  <w:style w:type="paragraph" w:customStyle="1" w:styleId="figureheading">
    <w:name w:val="figureheading"/>
    <w:basedOn w:val="Heading5"/>
    <w:next w:val="Normal"/>
    <w:qFormat/>
    <w:rsid w:val="00830379"/>
    <w:pPr>
      <w:keepNext w:val="0"/>
      <w:keepLines w:val="0"/>
      <w:numPr>
        <w:ilvl w:val="0"/>
        <w:numId w:val="0"/>
      </w:numPr>
      <w:spacing w:before="20" w:after="20"/>
      <w:outlineLvl w:val="9"/>
    </w:pPr>
    <w:rPr>
      <w:rFonts w:eastAsiaTheme="minorHAnsi" w:cstheme="minorBidi"/>
      <w:iCs w:val="0"/>
      <w:color w:val="auto"/>
      <w:sz w:val="20"/>
      <w:szCs w:val="22"/>
      <w:lang w:bidi="ar-SA"/>
    </w:rPr>
  </w:style>
  <w:style w:type="paragraph" w:customStyle="1" w:styleId="numberlist1">
    <w:name w:val="numberlist1"/>
    <w:basedOn w:val="Body"/>
    <w:link w:val="numberlist1Char"/>
    <w:qFormat/>
    <w:rsid w:val="00830379"/>
    <w:pPr>
      <w:numPr>
        <w:numId w:val="34"/>
      </w:numPr>
      <w:spacing w:after="60"/>
    </w:pPr>
  </w:style>
  <w:style w:type="character" w:customStyle="1" w:styleId="numberlist1Char">
    <w:name w:val="numberlist1 Char"/>
    <w:basedOn w:val="DefaultParagraphFont"/>
    <w:link w:val="numberlist1"/>
    <w:rsid w:val="00830379"/>
    <w:rPr>
      <w:rFonts w:ascii="Arial" w:hAnsi="Arial" w:cs="Arial"/>
      <w:szCs w:val="18"/>
      <w:lang w:bidi="he-IL"/>
    </w:rPr>
  </w:style>
  <w:style w:type="paragraph" w:customStyle="1" w:styleId="numberlist2">
    <w:name w:val="numberlist2"/>
    <w:basedOn w:val="numberlist1"/>
    <w:link w:val="numberlist2Char"/>
    <w:qFormat/>
    <w:rsid w:val="00507784"/>
    <w:pPr>
      <w:numPr>
        <w:numId w:val="35"/>
      </w:numPr>
    </w:pPr>
  </w:style>
  <w:style w:type="character" w:customStyle="1" w:styleId="numberlist2Char">
    <w:name w:val="numberlist2 Char"/>
    <w:basedOn w:val="DefaultParagraphFont"/>
    <w:link w:val="numberlist2"/>
    <w:rsid w:val="00830379"/>
    <w:rPr>
      <w:rFonts w:ascii="Arial" w:hAnsi="Arial" w:cs="Arial"/>
      <w:szCs w:val="18"/>
      <w:lang w:bidi="he-IL"/>
    </w:rPr>
  </w:style>
  <w:style w:type="paragraph" w:styleId="ListNumber2">
    <w:name w:val="List Number 2"/>
    <w:basedOn w:val="Normal"/>
    <w:uiPriority w:val="99"/>
    <w:semiHidden/>
    <w:unhideWhenUsed/>
    <w:rsid w:val="00830379"/>
    <w:pPr>
      <w:numPr>
        <w:numId w:val="31"/>
      </w:numPr>
      <w:contextualSpacing/>
    </w:pPr>
  </w:style>
  <w:style w:type="paragraph" w:customStyle="1" w:styleId="numberlist3">
    <w:name w:val="numberlist3"/>
    <w:basedOn w:val="numberlist2"/>
    <w:link w:val="numberlist3Char"/>
    <w:qFormat/>
    <w:rsid w:val="00830379"/>
    <w:pPr>
      <w:numPr>
        <w:numId w:val="36"/>
      </w:numPr>
    </w:pPr>
  </w:style>
  <w:style w:type="character" w:customStyle="1" w:styleId="numberlist3Char">
    <w:name w:val="numberlist3 Char"/>
    <w:basedOn w:val="DefaultParagraphFont"/>
    <w:link w:val="numberlist3"/>
    <w:rsid w:val="00830379"/>
    <w:rPr>
      <w:rFonts w:ascii="Arial" w:hAnsi="Arial" w:cs="Arial"/>
      <w:szCs w:val="18"/>
      <w:lang w:bidi="he-IL"/>
    </w:rPr>
  </w:style>
  <w:style w:type="paragraph" w:styleId="ListNumber3">
    <w:name w:val="List Number 3"/>
    <w:basedOn w:val="Normal"/>
    <w:uiPriority w:val="99"/>
    <w:semiHidden/>
    <w:unhideWhenUsed/>
    <w:rsid w:val="00830379"/>
    <w:pPr>
      <w:numPr>
        <w:numId w:val="32"/>
      </w:numPr>
      <w:contextualSpacing/>
    </w:pPr>
  </w:style>
  <w:style w:type="paragraph" w:customStyle="1" w:styleId="numberlist4">
    <w:name w:val="numberlist4"/>
    <w:basedOn w:val="numberlist3"/>
    <w:link w:val="numberlist4Char"/>
    <w:qFormat/>
    <w:rsid w:val="00830379"/>
    <w:pPr>
      <w:numPr>
        <w:numId w:val="37"/>
      </w:numPr>
    </w:pPr>
  </w:style>
  <w:style w:type="character" w:customStyle="1" w:styleId="numberlist4Char">
    <w:name w:val="numberlist4 Char"/>
    <w:basedOn w:val="numberlist3Char"/>
    <w:link w:val="numberlist4"/>
    <w:rsid w:val="00830379"/>
    <w:rPr>
      <w:rFonts w:ascii="Arial" w:hAnsi="Arial" w:cs="Arial"/>
      <w:szCs w:val="18"/>
      <w:lang w:bidi="he-IL"/>
    </w:rPr>
  </w:style>
  <w:style w:type="paragraph" w:styleId="ListNumber4">
    <w:name w:val="List Number 4"/>
    <w:basedOn w:val="Normal"/>
    <w:uiPriority w:val="99"/>
    <w:semiHidden/>
    <w:unhideWhenUsed/>
    <w:rsid w:val="00830379"/>
    <w:pPr>
      <w:numPr>
        <w:numId w:val="33"/>
      </w:numPr>
      <w:contextualSpacing/>
    </w:pPr>
  </w:style>
  <w:style w:type="paragraph" w:customStyle="1" w:styleId="TableNum">
    <w:name w:val="TableNum"/>
    <w:basedOn w:val="TableText"/>
    <w:link w:val="TableNumChar"/>
    <w:qFormat/>
    <w:rsid w:val="00830379"/>
    <w:pPr>
      <w:numPr>
        <w:numId w:val="38"/>
      </w:numPr>
      <w:spacing w:before="20" w:after="40"/>
    </w:pPr>
  </w:style>
  <w:style w:type="character" w:customStyle="1" w:styleId="TableNumChar">
    <w:name w:val="TableNum Char"/>
    <w:basedOn w:val="TableTextChar"/>
    <w:link w:val="TableNum"/>
    <w:rsid w:val="00830379"/>
    <w:rPr>
      <w:rFonts w:ascii="Arial" w:hAnsi="Arial" w:cs="Arial"/>
      <w:sz w:val="18"/>
      <w:szCs w:val="18"/>
      <w:lang w:bidi="he-IL"/>
    </w:rPr>
  </w:style>
  <w:style w:type="paragraph" w:customStyle="1" w:styleId="TableBullet">
    <w:name w:val="TableBullet"/>
    <w:basedOn w:val="TableText"/>
    <w:qFormat/>
    <w:rsid w:val="00830379"/>
    <w:pPr>
      <w:spacing w:before="20" w:after="40"/>
      <w:ind w:left="392" w:hanging="270"/>
    </w:pPr>
  </w:style>
  <w:style w:type="paragraph" w:customStyle="1" w:styleId="TableTextBold">
    <w:name w:val="TableText Bold"/>
    <w:basedOn w:val="TableText"/>
    <w:qFormat/>
    <w:rsid w:val="00830379"/>
    <w:rPr>
      <w:b/>
      <w:lang w:val="en-GB" w:bidi="ar-SA"/>
    </w:rPr>
  </w:style>
  <w:style w:type="paragraph" w:customStyle="1" w:styleId="continue1">
    <w:name w:val="continue1"/>
    <w:basedOn w:val="Body"/>
    <w:link w:val="continue1Char"/>
    <w:qFormat/>
    <w:rsid w:val="00830379"/>
    <w:pPr>
      <w:spacing w:after="60"/>
      <w:ind w:left="720"/>
    </w:pPr>
  </w:style>
  <w:style w:type="character" w:customStyle="1" w:styleId="continue1Char">
    <w:name w:val="continue1 Char"/>
    <w:basedOn w:val="DefaultParagraphFont"/>
    <w:link w:val="continue1"/>
    <w:rsid w:val="00830379"/>
    <w:rPr>
      <w:rFonts w:ascii="Arial" w:hAnsi="Arial" w:cs="Arial"/>
      <w:szCs w:val="18"/>
      <w:lang w:bidi="he-IL"/>
    </w:rPr>
  </w:style>
  <w:style w:type="paragraph" w:customStyle="1" w:styleId="continue2">
    <w:name w:val="continue2"/>
    <w:basedOn w:val="Body"/>
    <w:link w:val="continue2Char"/>
    <w:qFormat/>
    <w:rsid w:val="00830379"/>
    <w:pPr>
      <w:spacing w:after="60"/>
      <w:ind w:left="1080"/>
    </w:pPr>
  </w:style>
  <w:style w:type="character" w:customStyle="1" w:styleId="continue2Char">
    <w:name w:val="continue2 Char"/>
    <w:basedOn w:val="DefaultParagraphFont"/>
    <w:link w:val="continue2"/>
    <w:rsid w:val="00830379"/>
    <w:rPr>
      <w:rFonts w:ascii="Arial" w:hAnsi="Arial" w:cs="Arial"/>
      <w:szCs w:val="18"/>
      <w:lang w:bidi="he-IL"/>
    </w:rPr>
  </w:style>
  <w:style w:type="paragraph" w:customStyle="1" w:styleId="continue3">
    <w:name w:val="continue3"/>
    <w:basedOn w:val="Body"/>
    <w:link w:val="continue3Char"/>
    <w:qFormat/>
    <w:rsid w:val="00830379"/>
    <w:pPr>
      <w:spacing w:after="60"/>
      <w:ind w:left="1440"/>
    </w:pPr>
  </w:style>
  <w:style w:type="character" w:customStyle="1" w:styleId="continue3Char">
    <w:name w:val="continue3 Char"/>
    <w:basedOn w:val="DefaultParagraphFont"/>
    <w:link w:val="continue3"/>
    <w:rsid w:val="00830379"/>
    <w:rPr>
      <w:rFonts w:ascii="Arial" w:hAnsi="Arial" w:cs="Arial"/>
      <w:szCs w:val="18"/>
      <w:lang w:bidi="he-IL"/>
    </w:rPr>
  </w:style>
  <w:style w:type="paragraph" w:customStyle="1" w:styleId="continue4">
    <w:name w:val="continue4"/>
    <w:basedOn w:val="Body"/>
    <w:qFormat/>
    <w:rsid w:val="00830379"/>
    <w:pPr>
      <w:spacing w:after="60"/>
      <w:ind w:left="1800"/>
    </w:pPr>
  </w:style>
  <w:style w:type="paragraph" w:customStyle="1" w:styleId="space">
    <w:name w:val="space"/>
    <w:basedOn w:val="Body"/>
    <w:qFormat/>
    <w:rsid w:val="00830379"/>
    <w:pPr>
      <w:spacing w:before="0" w:after="0"/>
    </w:pPr>
    <w:rPr>
      <w:sz w:val="16"/>
    </w:rPr>
  </w:style>
  <w:style w:type="paragraph" w:customStyle="1" w:styleId="DMSFooter">
    <w:name w:val="DMS Footer"/>
    <w:basedOn w:val="Normal"/>
    <w:qFormat/>
    <w:rsid w:val="00830379"/>
    <w:pPr>
      <w:pBdr>
        <w:top w:val="single" w:sz="4" w:space="1" w:color="787878" w:themeColor="text1" w:themeTint="BF"/>
        <w:bottom w:val="single" w:sz="4" w:space="1" w:color="787878" w:themeColor="text1" w:themeTint="BF"/>
      </w:pBdr>
      <w:shd w:val="clear" w:color="auto" w:fill="F2F2F2" w:themeFill="background1" w:themeFillShade="F2"/>
      <w:tabs>
        <w:tab w:val="center" w:pos="4680"/>
        <w:tab w:val="right" w:pos="9360"/>
      </w:tabs>
      <w:spacing w:after="60"/>
      <w:jc w:val="center"/>
    </w:pPr>
    <w:rPr>
      <w:b/>
      <w:i/>
      <w:color w:val="383838" w:themeColor="text1" w:themeShade="BF"/>
      <w:sz w:val="16"/>
      <w:szCs w:val="22"/>
    </w:rPr>
  </w:style>
  <w:style w:type="paragraph" w:customStyle="1" w:styleId="TableTitleLine">
    <w:name w:val="TableTitleLine"/>
    <w:basedOn w:val="Body"/>
    <w:qFormat/>
    <w:rsid w:val="00830379"/>
    <w:pPr>
      <w:keepNext/>
      <w:spacing w:before="120" w:after="120"/>
      <w:ind w:left="86"/>
    </w:pPr>
    <w:rPr>
      <w:b/>
      <w:sz w:val="20"/>
    </w:rPr>
  </w:style>
  <w:style w:type="paragraph" w:styleId="TableofFigures">
    <w:name w:val="table of figures"/>
    <w:basedOn w:val="Normal"/>
    <w:next w:val="Normal"/>
    <w:uiPriority w:val="99"/>
    <w:unhideWhenUsed/>
    <w:rsid w:val="00830379"/>
    <w:pPr>
      <w:spacing w:after="0"/>
    </w:pPr>
  </w:style>
  <w:style w:type="paragraph" w:styleId="Caption">
    <w:name w:val="caption"/>
    <w:basedOn w:val="Normal"/>
    <w:next w:val="Normal"/>
    <w:uiPriority w:val="35"/>
    <w:unhideWhenUsed/>
    <w:qFormat/>
    <w:rsid w:val="00B1000A"/>
    <w:pPr>
      <w:spacing w:before="0"/>
    </w:pPr>
    <w:rPr>
      <w:b/>
      <w:bCs/>
      <w:sz w:val="20"/>
    </w:rPr>
  </w:style>
  <w:style w:type="paragraph" w:customStyle="1" w:styleId="Topic">
    <w:name w:val="Topic"/>
    <w:basedOn w:val="Heading1"/>
    <w:next w:val="Body"/>
    <w:rsid w:val="00830379"/>
    <w:pPr>
      <w:numPr>
        <w:numId w:val="0"/>
      </w:numPr>
    </w:pPr>
  </w:style>
  <w:style w:type="paragraph" w:customStyle="1" w:styleId="copyright">
    <w:name w:val="copyright"/>
    <w:basedOn w:val="Body"/>
    <w:qFormat/>
    <w:rsid w:val="00830379"/>
    <w:pPr>
      <w:spacing w:after="120" w:line="280" w:lineRule="exact"/>
    </w:pPr>
    <w:rPr>
      <w:color w:val="262626" w:themeColor="text1" w:themeShade="80"/>
      <w:sz w:val="18"/>
    </w:rPr>
  </w:style>
  <w:style w:type="paragraph" w:styleId="NoSpacing">
    <w:name w:val="No Spacing"/>
    <w:uiPriority w:val="1"/>
    <w:qFormat/>
    <w:rsid w:val="00830379"/>
    <w:pPr>
      <w:spacing w:after="0" w:line="240" w:lineRule="auto"/>
    </w:pPr>
    <w:rPr>
      <w:sz w:val="16"/>
      <w:lang w:bidi="he-IL"/>
    </w:rPr>
  </w:style>
  <w:style w:type="character" w:styleId="FollowedHyperlink">
    <w:name w:val="FollowedHyperlink"/>
    <w:basedOn w:val="DefaultParagraphFont"/>
    <w:uiPriority w:val="99"/>
    <w:semiHidden/>
    <w:unhideWhenUsed/>
    <w:rsid w:val="00312792"/>
    <w:rPr>
      <w:color w:val="4C4C4C" w:themeColor="followedHyperlink"/>
      <w:u w:val="single"/>
    </w:rPr>
  </w:style>
  <w:style w:type="character" w:styleId="CommentReference">
    <w:name w:val="annotation reference"/>
    <w:basedOn w:val="DefaultParagraphFont"/>
    <w:uiPriority w:val="99"/>
    <w:semiHidden/>
    <w:unhideWhenUsed/>
    <w:rsid w:val="00CC6FAD"/>
    <w:rPr>
      <w:sz w:val="16"/>
      <w:szCs w:val="16"/>
    </w:rPr>
  </w:style>
  <w:style w:type="paragraph" w:styleId="CommentText">
    <w:name w:val="annotation text"/>
    <w:basedOn w:val="Normal"/>
    <w:link w:val="CommentTextChar"/>
    <w:uiPriority w:val="99"/>
    <w:semiHidden/>
    <w:unhideWhenUsed/>
    <w:rsid w:val="00CC6FAD"/>
    <w:rPr>
      <w:sz w:val="20"/>
      <w:szCs w:val="20"/>
    </w:rPr>
  </w:style>
  <w:style w:type="character" w:customStyle="1" w:styleId="CommentTextChar">
    <w:name w:val="Comment Text Char"/>
    <w:basedOn w:val="DefaultParagraphFont"/>
    <w:link w:val="CommentText"/>
    <w:uiPriority w:val="99"/>
    <w:semiHidden/>
    <w:rsid w:val="00CC6FAD"/>
    <w:rPr>
      <w:rFonts w:ascii="Arial" w:hAnsi="Arial" w:cs="Arial"/>
      <w:color w:val="000000"/>
      <w:sz w:val="20"/>
      <w:szCs w:val="20"/>
      <w:lang w:bidi="he-IL"/>
    </w:rPr>
  </w:style>
  <w:style w:type="paragraph" w:styleId="CommentSubject">
    <w:name w:val="annotation subject"/>
    <w:basedOn w:val="CommentText"/>
    <w:next w:val="CommentText"/>
    <w:link w:val="CommentSubjectChar"/>
    <w:uiPriority w:val="99"/>
    <w:semiHidden/>
    <w:unhideWhenUsed/>
    <w:rsid w:val="00CC6FAD"/>
    <w:rPr>
      <w:b/>
      <w:bCs/>
    </w:rPr>
  </w:style>
  <w:style w:type="character" w:customStyle="1" w:styleId="CommentSubjectChar">
    <w:name w:val="Comment Subject Char"/>
    <w:basedOn w:val="CommentTextChar"/>
    <w:link w:val="CommentSubject"/>
    <w:uiPriority w:val="99"/>
    <w:semiHidden/>
    <w:rsid w:val="00CC6FAD"/>
    <w:rPr>
      <w:rFonts w:ascii="Arial" w:hAnsi="Arial" w:cs="Arial"/>
      <w:b/>
      <w:bCs/>
      <w:color w:val="000000"/>
      <w:sz w:val="20"/>
      <w:szCs w:val="20"/>
      <w:lang w:bidi="he-IL"/>
    </w:rPr>
  </w:style>
  <w:style w:type="character" w:customStyle="1" w:styleId="Heading7Char">
    <w:name w:val="Heading 7 Char"/>
    <w:basedOn w:val="DefaultParagraphFont"/>
    <w:link w:val="Heading7"/>
    <w:uiPriority w:val="9"/>
    <w:semiHidden/>
    <w:rsid w:val="00830379"/>
    <w:rPr>
      <w:rFonts w:ascii="Arial" w:eastAsiaTheme="majorEastAsia" w:hAnsi="Arial" w:cstheme="majorBidi"/>
      <w:i/>
      <w:color w:val="383838" w:themeColor="text1" w:themeShade="BF"/>
      <w:sz w:val="20"/>
      <w:szCs w:val="18"/>
      <w:lang w:bidi="he-IL"/>
    </w:rPr>
  </w:style>
  <w:style w:type="paragraph" w:styleId="Revision">
    <w:name w:val="Revision"/>
    <w:hidden/>
    <w:uiPriority w:val="99"/>
    <w:semiHidden/>
    <w:rsid w:val="00917BF7"/>
    <w:pPr>
      <w:spacing w:after="0" w:line="240" w:lineRule="auto"/>
    </w:pPr>
    <w:rPr>
      <w:rFonts w:ascii="Arial" w:hAnsi="Arial" w:cs="Arial"/>
      <w:color w:val="000000"/>
      <w:szCs w:val="18"/>
      <w:lang w:bidi="he-IL"/>
    </w:rPr>
  </w:style>
  <w:style w:type="table" w:customStyle="1" w:styleId="TableGrid1">
    <w:name w:val="Table Grid1"/>
    <w:basedOn w:val="TableNormal"/>
    <w:next w:val="TableGrid"/>
    <w:uiPriority w:val="59"/>
    <w:rsid w:val="0083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Normal"/>
    <w:autoRedefine/>
    <w:uiPriority w:val="99"/>
    <w:qFormat/>
    <w:rsid w:val="00830379"/>
    <w:pPr>
      <w:spacing w:before="40" w:after="40"/>
      <w:jc w:val="center"/>
    </w:pPr>
    <w:rPr>
      <w:rFonts w:ascii="Arial Bold" w:eastAsia="Calibri" w:hAnsi="Arial Bold" w:cs="Times New Roman"/>
      <w:b/>
      <w:caps/>
      <w:sz w:val="18"/>
      <w:lang w:val="en-GB" w:bidi="ar-SA"/>
    </w:rPr>
  </w:style>
  <w:style w:type="paragraph" w:customStyle="1" w:styleId="TableText0">
    <w:name w:val="Table Text"/>
    <w:link w:val="TableTextChar0"/>
    <w:autoRedefine/>
    <w:uiPriority w:val="99"/>
    <w:qFormat/>
    <w:rsid w:val="00830379"/>
    <w:pPr>
      <w:numPr>
        <w:ilvl w:val="12"/>
      </w:numPr>
      <w:overflowPunct w:val="0"/>
      <w:autoSpaceDE w:val="0"/>
      <w:autoSpaceDN w:val="0"/>
      <w:adjustRightInd w:val="0"/>
      <w:spacing w:before="40" w:after="40" w:line="240" w:lineRule="auto"/>
      <w:jc w:val="center"/>
      <w:textAlignment w:val="baseline"/>
    </w:pPr>
    <w:rPr>
      <w:rFonts w:ascii="Arial" w:eastAsia="Calibri" w:hAnsi="Arial" w:cs="Times New Roman"/>
      <w:sz w:val="18"/>
      <w:szCs w:val="20"/>
      <w:lang w:val="en-GB"/>
    </w:rPr>
  </w:style>
  <w:style w:type="character" w:customStyle="1" w:styleId="TableTextChar0">
    <w:name w:val="Table Text Char"/>
    <w:link w:val="TableText0"/>
    <w:uiPriority w:val="99"/>
    <w:locked/>
    <w:rsid w:val="00830379"/>
    <w:rPr>
      <w:rFonts w:ascii="Arial" w:eastAsia="Calibri" w:hAnsi="Arial" w:cs="Times New Roman"/>
      <w:sz w:val="18"/>
      <w:szCs w:val="20"/>
      <w:lang w:val="en-GB"/>
    </w:rPr>
  </w:style>
  <w:style w:type="character" w:customStyle="1" w:styleId="UnresolvedMention">
    <w:name w:val="Unresolved Mention"/>
    <w:basedOn w:val="DefaultParagraphFont"/>
    <w:uiPriority w:val="99"/>
    <w:semiHidden/>
    <w:unhideWhenUsed/>
    <w:rsid w:val="008816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208">
      <w:bodyDiv w:val="1"/>
      <w:marLeft w:val="0"/>
      <w:marRight w:val="0"/>
      <w:marTop w:val="0"/>
      <w:marBottom w:val="0"/>
      <w:divBdr>
        <w:top w:val="none" w:sz="0" w:space="0" w:color="auto"/>
        <w:left w:val="none" w:sz="0" w:space="0" w:color="auto"/>
        <w:bottom w:val="none" w:sz="0" w:space="0" w:color="auto"/>
        <w:right w:val="none" w:sz="0" w:space="0" w:color="auto"/>
      </w:divBdr>
    </w:div>
    <w:div w:id="276066098">
      <w:bodyDiv w:val="1"/>
      <w:marLeft w:val="0"/>
      <w:marRight w:val="0"/>
      <w:marTop w:val="0"/>
      <w:marBottom w:val="0"/>
      <w:divBdr>
        <w:top w:val="none" w:sz="0" w:space="0" w:color="auto"/>
        <w:left w:val="none" w:sz="0" w:space="0" w:color="auto"/>
        <w:bottom w:val="none" w:sz="0" w:space="0" w:color="auto"/>
        <w:right w:val="none" w:sz="0" w:space="0" w:color="auto"/>
      </w:divBdr>
    </w:div>
    <w:div w:id="451286067">
      <w:bodyDiv w:val="1"/>
      <w:marLeft w:val="0"/>
      <w:marRight w:val="0"/>
      <w:marTop w:val="0"/>
      <w:marBottom w:val="0"/>
      <w:divBdr>
        <w:top w:val="none" w:sz="0" w:space="0" w:color="auto"/>
        <w:left w:val="none" w:sz="0" w:space="0" w:color="auto"/>
        <w:bottom w:val="none" w:sz="0" w:space="0" w:color="auto"/>
        <w:right w:val="none" w:sz="0" w:space="0" w:color="auto"/>
      </w:divBdr>
    </w:div>
    <w:div w:id="588925667">
      <w:bodyDiv w:val="1"/>
      <w:marLeft w:val="0"/>
      <w:marRight w:val="0"/>
      <w:marTop w:val="0"/>
      <w:marBottom w:val="0"/>
      <w:divBdr>
        <w:top w:val="none" w:sz="0" w:space="0" w:color="auto"/>
        <w:left w:val="none" w:sz="0" w:space="0" w:color="auto"/>
        <w:bottom w:val="none" w:sz="0" w:space="0" w:color="auto"/>
        <w:right w:val="none" w:sz="0" w:space="0" w:color="auto"/>
      </w:divBdr>
    </w:div>
    <w:div w:id="590355205">
      <w:bodyDiv w:val="1"/>
      <w:marLeft w:val="0"/>
      <w:marRight w:val="0"/>
      <w:marTop w:val="0"/>
      <w:marBottom w:val="0"/>
      <w:divBdr>
        <w:top w:val="none" w:sz="0" w:space="0" w:color="auto"/>
        <w:left w:val="none" w:sz="0" w:space="0" w:color="auto"/>
        <w:bottom w:val="none" w:sz="0" w:space="0" w:color="auto"/>
        <w:right w:val="none" w:sz="0" w:space="0" w:color="auto"/>
      </w:divBdr>
      <w:divsChild>
        <w:div w:id="293877711">
          <w:marLeft w:val="0"/>
          <w:marRight w:val="0"/>
          <w:marTop w:val="0"/>
          <w:marBottom w:val="0"/>
          <w:divBdr>
            <w:top w:val="none" w:sz="0" w:space="0" w:color="auto"/>
            <w:left w:val="none" w:sz="0" w:space="0" w:color="auto"/>
            <w:bottom w:val="none" w:sz="0" w:space="0" w:color="auto"/>
            <w:right w:val="none" w:sz="0" w:space="0" w:color="auto"/>
          </w:divBdr>
          <w:divsChild>
            <w:div w:id="983704849">
              <w:marLeft w:val="0"/>
              <w:marRight w:val="0"/>
              <w:marTop w:val="0"/>
              <w:marBottom w:val="0"/>
              <w:divBdr>
                <w:top w:val="none" w:sz="0" w:space="0" w:color="auto"/>
                <w:left w:val="none" w:sz="0" w:space="0" w:color="auto"/>
                <w:bottom w:val="none" w:sz="0" w:space="0" w:color="auto"/>
                <w:right w:val="none" w:sz="0" w:space="0" w:color="auto"/>
              </w:divBdr>
              <w:divsChild>
                <w:div w:id="1151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0400">
      <w:bodyDiv w:val="1"/>
      <w:marLeft w:val="0"/>
      <w:marRight w:val="0"/>
      <w:marTop w:val="0"/>
      <w:marBottom w:val="0"/>
      <w:divBdr>
        <w:top w:val="none" w:sz="0" w:space="0" w:color="auto"/>
        <w:left w:val="none" w:sz="0" w:space="0" w:color="auto"/>
        <w:bottom w:val="none" w:sz="0" w:space="0" w:color="auto"/>
        <w:right w:val="none" w:sz="0" w:space="0" w:color="auto"/>
      </w:divBdr>
    </w:div>
    <w:div w:id="1443260648">
      <w:bodyDiv w:val="1"/>
      <w:marLeft w:val="0"/>
      <w:marRight w:val="0"/>
      <w:marTop w:val="0"/>
      <w:marBottom w:val="0"/>
      <w:divBdr>
        <w:top w:val="none" w:sz="0" w:space="0" w:color="auto"/>
        <w:left w:val="none" w:sz="0" w:space="0" w:color="auto"/>
        <w:bottom w:val="none" w:sz="0" w:space="0" w:color="auto"/>
        <w:right w:val="none" w:sz="0" w:space="0" w:color="auto"/>
      </w:divBdr>
    </w:div>
    <w:div w:id="1490751484">
      <w:bodyDiv w:val="1"/>
      <w:marLeft w:val="0"/>
      <w:marRight w:val="0"/>
      <w:marTop w:val="0"/>
      <w:marBottom w:val="0"/>
      <w:divBdr>
        <w:top w:val="none" w:sz="0" w:space="0" w:color="auto"/>
        <w:left w:val="none" w:sz="0" w:space="0" w:color="auto"/>
        <w:bottom w:val="none" w:sz="0" w:space="0" w:color="auto"/>
        <w:right w:val="none" w:sz="0" w:space="0" w:color="auto"/>
      </w:divBdr>
    </w:div>
    <w:div w:id="1694721497">
      <w:bodyDiv w:val="1"/>
      <w:marLeft w:val="0"/>
      <w:marRight w:val="0"/>
      <w:marTop w:val="0"/>
      <w:marBottom w:val="0"/>
      <w:divBdr>
        <w:top w:val="none" w:sz="0" w:space="0" w:color="auto"/>
        <w:left w:val="none" w:sz="0" w:space="0" w:color="auto"/>
        <w:bottom w:val="none" w:sz="0" w:space="0" w:color="auto"/>
        <w:right w:val="none" w:sz="0" w:space="0" w:color="auto"/>
      </w:divBdr>
    </w:div>
    <w:div w:id="1829981041">
      <w:bodyDiv w:val="1"/>
      <w:marLeft w:val="0"/>
      <w:marRight w:val="0"/>
      <w:marTop w:val="0"/>
      <w:marBottom w:val="0"/>
      <w:divBdr>
        <w:top w:val="none" w:sz="0" w:space="0" w:color="auto"/>
        <w:left w:val="none" w:sz="0" w:space="0" w:color="auto"/>
        <w:bottom w:val="none" w:sz="0" w:space="0" w:color="auto"/>
        <w:right w:val="none" w:sz="0" w:space="0" w:color="auto"/>
      </w:divBdr>
    </w:div>
    <w:div w:id="1833446396">
      <w:bodyDiv w:val="1"/>
      <w:marLeft w:val="0"/>
      <w:marRight w:val="0"/>
      <w:marTop w:val="0"/>
      <w:marBottom w:val="0"/>
      <w:divBdr>
        <w:top w:val="none" w:sz="0" w:space="0" w:color="auto"/>
        <w:left w:val="none" w:sz="0" w:space="0" w:color="auto"/>
        <w:bottom w:val="none" w:sz="0" w:space="0" w:color="auto"/>
        <w:right w:val="none" w:sz="0" w:space="0" w:color="auto"/>
      </w:divBdr>
    </w:div>
    <w:div w:id="20746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mia21654sps460.apps.tmrk.corp:35214/Quality%20Management/Public%20Documents/Security%20Management/SECM-00089%20Policy%20Management%20Process.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mailto:Requests@wwpdl.vnet.ibm.com" TargetMode="External"/><Relationship Id="rId33"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GTS_PCI_AUDIT_TEAM@wwpdl.vnet.ib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mailto:GCTS-Governance&amp;Compliance@wwpdl.vnet.ibm.com" TargetMode="External"/><Relationship Id="rId32"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GTS_PCI_AUDIT_TEAM@wwpdl.vent.ibm.com" TargetMode="External"/><Relationship Id="rId28"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mia21654sps460.apps.tmrk.corp:35214/Quality%20Management/Public%20Documents/Security%20Management/SECM-00089%20Policy%20Management%20Process.pdf" TargetMode="External"/><Relationship Id="rId27" Type="http://schemas.openxmlformats.org/officeDocument/2006/relationships/header" Target="header7.xml"/><Relationship Id="rId30" Type="http://schemas.openxmlformats.org/officeDocument/2006/relationships/theme" Target="theme/theme1.xml"/><Relationship Id="rId8"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Poe\Downloads\GRCQ-00050%20IBM%20Transition%20Word%20Template.dotx" TargetMode="External"/></Relationships>
</file>

<file path=word/theme/theme1.xml><?xml version="1.0" encoding="utf-8"?>
<a:theme xmlns:a="http://schemas.openxmlformats.org/drawingml/2006/main" name="Office Theme">
  <a:themeElements>
    <a:clrScheme name="Verizon marcom">
      <a:dk1>
        <a:srgbClr val="4C4C4C"/>
      </a:dk1>
      <a:lt1>
        <a:sysClr val="window" lastClr="FFFFFF"/>
      </a:lt1>
      <a:dk2>
        <a:srgbClr val="4C4C4C"/>
      </a:dk2>
      <a:lt2>
        <a:srgbClr val="FFFFFF"/>
      </a:lt2>
      <a:accent1>
        <a:srgbClr val="86BCB6"/>
      </a:accent1>
      <a:accent2>
        <a:srgbClr val="4C4C4C"/>
      </a:accent2>
      <a:accent3>
        <a:srgbClr val="4C4C4C"/>
      </a:accent3>
      <a:accent4>
        <a:srgbClr val="4C4C4C"/>
      </a:accent4>
      <a:accent5>
        <a:srgbClr val="4C4C4C"/>
      </a:accent5>
      <a:accent6>
        <a:srgbClr val="4C4C4C"/>
      </a:accent6>
      <a:hlink>
        <a:srgbClr val="86BCB6"/>
      </a:hlink>
      <a:folHlink>
        <a:srgbClr val="4C4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C21380D686B844838E47B8772714A3" ma:contentTypeVersion="5" ma:contentTypeDescription="Create a new document." ma:contentTypeScope="" ma:versionID="57ab6ed066d5b0ffcb72dca5d9952f0d">
  <xsd:schema xmlns:xsd="http://www.w3.org/2001/XMLSchema" xmlns:xs="http://www.w3.org/2001/XMLSchema" xmlns:p="http://schemas.microsoft.com/office/2006/metadata/properties" xmlns:ns2="http://schemas.microsoft.com/sharepoint/v3/fields" xmlns:ns3="5d6a04c1-1394-4a7e-9d70-8143b95db66c" xmlns:ns4="b597eddc-3f98-49b6-b4ed-014d141949cb" xmlns:ns5="c5020873-2467-449c-a7a5-0a9b21f0f121" targetNamespace="http://schemas.microsoft.com/office/2006/metadata/properties" ma:root="true" ma:fieldsID="350b6b14124f5bb8e2d6ae99e76880a6" ns2:_="" ns3:_="" ns4:_="" ns5:_="">
    <xsd:import namespace="http://schemas.microsoft.com/sharepoint/v3/fields"/>
    <xsd:import namespace="5d6a04c1-1394-4a7e-9d70-8143b95db66c"/>
    <xsd:import namespace="b597eddc-3f98-49b6-b4ed-014d141949cb"/>
    <xsd:import namespace="c5020873-2467-449c-a7a5-0a9b21f0f121"/>
    <xsd:element name="properties">
      <xsd:complexType>
        <xsd:sequence>
          <xsd:element name="documentManagement">
            <xsd:complexType>
              <xsd:all>
                <xsd:element ref="ns2:_Status" minOccurs="0"/>
                <xsd:element ref="ns3:_dlc_DocId" minOccurs="0"/>
                <xsd:element ref="ns3:_dlc_DocIdUrl" minOccurs="0"/>
                <xsd:element ref="ns3:_dlc_DocIdPersistId" minOccurs="0"/>
                <xsd:element ref="ns4:Document_x0020_Owner" minOccurs="0"/>
                <xsd:element ref="ns4:Status_x0020_Notes" minOccurs="0"/>
                <xsd:element ref="ns5:SharedWithUsers" minOccurs="0"/>
                <xsd:element ref="ns4:FL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8" nillable="true" ma:displayName="Status" ma:default="Draft" ma:format="Dropdown" ma:internalName="_Status">
      <xsd:simpleType>
        <xsd:union memberTypes="dms:Text">
          <xsd:simpleType>
            <xsd:restriction base="dms:Choice">
              <xsd:enumeration value="Not Started"/>
              <xsd:enumeration value="Draft"/>
              <xsd:enumeration value="Ready for SME Review"/>
              <xsd:enumeration value="Reviewed"/>
              <xsd:enumeration value="Accepted"/>
              <xsd:enumeration value="Published"/>
              <xsd:enumeration value="Expired"/>
              <xsd:enumeration value="On Hold"/>
              <xsd:enumeration value="Withdraw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d6a04c1-1394-4a7e-9d70-8143b95db66c"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597eddc-3f98-49b6-b4ed-014d141949cb" elementFormDefault="qualified">
    <xsd:import namespace="http://schemas.microsoft.com/office/2006/documentManagement/types"/>
    <xsd:import namespace="http://schemas.microsoft.com/office/infopath/2007/PartnerControls"/>
    <xsd:element name="Document_x0020_Owner" ma:index="12" nillable="true" ma:displayName="Document Owner" ma:list="UserInfo" ma:SearchPeopleOnly="false"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_x0020_Notes" ma:index="13" nillable="true" ma:displayName="Status Notes" ma:internalName="Status_x0020_Notes">
      <xsd:simpleType>
        <xsd:restriction base="dms:Text">
          <xsd:maxLength value="255"/>
        </xsd:restriction>
      </xsd:simpleType>
    </xsd:element>
    <xsd:element name="FLAG" ma:index="15" nillable="true" ma:displayName="FLAG" ma:internalName="FL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020873-2467-449c-a7a5-0a9b21f0f12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d6a04c1-1394-4a7e-9d70-8143b95db66c">TP2DVDTPC4NT-127-228</_dlc_DocId>
    <_dlc_DocIdUrl xmlns="5d6a04c1-1394-4a7e-9d70-8143b95db66c">
      <Url>http://blueoperationsportal.apps.tmrk.corp/Quality%20Management/_layouts/15/DocIdRedir.aspx?ID=TP2DVDTPC4NT-127-228</Url>
      <Description>TP2DVDTPC4NT-127-228</Description>
    </_dlc_DocIdUrl>
    <_Status xmlns="http://schemas.microsoft.com/sharepoint/v3/fields">Draft</_Status>
    <Document_x0020_Owner xmlns="b597eddc-3f98-49b6-b4ed-014d141949cb">
      <UserInfo>
        <DisplayName>dicje2u</DisplayName>
        <AccountId>9824</AccountId>
        <AccountType/>
      </UserInfo>
    </Document_x0020_Owner>
    <Status_x0020_Notes xmlns="b597eddc-3f98-49b6-b4ed-014d141949cb">GRCQ Scheduled for 7/16</Status_x0020_Notes>
    <FLAG xmlns="b597eddc-3f98-49b6-b4ed-014d141949cb">Template Updated</FLAG>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30BDD-32D7-40EB-B8B0-374A53462474}"/>
</file>

<file path=customXml/itemProps2.xml><?xml version="1.0" encoding="utf-8"?>
<ds:datastoreItem xmlns:ds="http://schemas.openxmlformats.org/officeDocument/2006/customXml" ds:itemID="{5DDBE017-480D-443F-A706-3D60A695AC12}"/>
</file>

<file path=customXml/itemProps3.xml><?xml version="1.0" encoding="utf-8"?>
<ds:datastoreItem xmlns:ds="http://schemas.openxmlformats.org/officeDocument/2006/customXml" ds:itemID="{94944C98-EC60-4113-A544-384B4BFD8FAD}"/>
</file>

<file path=customXml/itemProps4.xml><?xml version="1.0" encoding="utf-8"?>
<ds:datastoreItem xmlns:ds="http://schemas.openxmlformats.org/officeDocument/2006/customXml" ds:itemID="{EC01B34B-9328-4667-9B6B-6149D2D7701D}"/>
</file>

<file path=customXml/itemProps5.xml><?xml version="1.0" encoding="utf-8"?>
<ds:datastoreItem xmlns:ds="http://schemas.openxmlformats.org/officeDocument/2006/customXml" ds:itemID="{D1FF4AF2-1ACA-4FD9-9F55-60D33FE75D23}"/>
</file>

<file path=docProps/app.xml><?xml version="1.0" encoding="utf-8"?>
<Properties xmlns="http://schemas.openxmlformats.org/officeDocument/2006/extended-properties" xmlns:vt="http://schemas.openxmlformats.org/officeDocument/2006/docPropsVTypes">
  <Template>GRCQ-00050 IBM Transition Word Template</Template>
  <TotalTime>10</TotalTime>
  <Pages>20</Pages>
  <Words>3852</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AUDT-00017 Audit Policy</vt:lpstr>
    </vt:vector>
  </TitlesOfParts>
  <Company>IBM</Company>
  <LinksUpToDate>false</LinksUpToDate>
  <CharactersWithSpaces>25758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AUDT-00017 Audit Policy</dc:title>
  <dc:creator>Michelle Lane</dc:creator>
  <cp:lastModifiedBy>Poe, Penny L</cp:lastModifiedBy>
  <cp:revision>3</cp:revision>
  <cp:lastPrinted>2013-12-09T16:28:00Z</cp:lastPrinted>
  <dcterms:created xsi:type="dcterms:W3CDTF">2018-07-02T17:11:00Z</dcterms:created>
  <dcterms:modified xsi:type="dcterms:W3CDTF">2018-07-09T19:43:00Z</dcterms:modified>
  <cp:contentStatus>Accepted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0feaeb99-b1c2-4d24-a6c3-1e6f928d29e3</vt:lpwstr>
  </property>
  <property fmtid="{D5CDD505-2E9C-101B-9397-08002B2CF9AE}" pid="3" name="ContentTypeId">
    <vt:lpwstr>0x01010085C21380D686B844838E47B8772714A3</vt:lpwstr>
  </property>
  <property fmtid="{D5CDD505-2E9C-101B-9397-08002B2CF9AE}" pid="4" name="Document Status">
    <vt:lpwstr>Active</vt:lpwstr>
  </property>
</Properties>
</file>