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AA8" w:rsidRDefault="005D0E13" w:rsidP="000B05C9">
      <w:pPr>
        <w:spacing w:afterLines="100"/>
        <w:rPr>
          <w:rFonts w:eastAsia="標楷體" w:hint="eastAsia"/>
          <w:b/>
          <w:bCs/>
          <w:sz w:val="40"/>
          <w:szCs w:val="40"/>
        </w:rPr>
      </w:pPr>
      <w:proofErr w:type="gramStart"/>
      <w:r>
        <w:rPr>
          <w:rFonts w:eastAsia="標楷體" w:hint="eastAsia"/>
          <w:b/>
          <w:bCs/>
          <w:sz w:val="40"/>
          <w:szCs w:val="40"/>
        </w:rPr>
        <w:t>臺</w:t>
      </w:r>
      <w:proofErr w:type="gramEnd"/>
      <w:r>
        <w:rPr>
          <w:rFonts w:eastAsia="標楷體" w:hint="eastAsia"/>
          <w:b/>
          <w:bCs/>
          <w:sz w:val="40"/>
          <w:szCs w:val="40"/>
        </w:rPr>
        <w:t>中市騎樓開放空間綠美化設施及街道傢俱設置管理辦法</w:t>
      </w:r>
    </w:p>
    <w:p w:rsidR="000B05C9" w:rsidRPr="00251AA8" w:rsidRDefault="000B05C9" w:rsidP="000B05C9">
      <w:pPr>
        <w:spacing w:afterLines="100"/>
        <w:ind w:firstLineChars="1150" w:firstLine="2300"/>
        <w:jc w:val="right"/>
        <w:rPr>
          <w:rFonts w:eastAsia="標楷體" w:hint="eastAsia"/>
          <w:b/>
          <w:bCs/>
          <w:sz w:val="40"/>
          <w:szCs w:val="40"/>
        </w:rPr>
      </w:pPr>
      <w:smartTag w:uri="urn:schemas-microsoft-com:office:smarttags" w:element="chsdate">
        <w:smartTagPr>
          <w:attr w:name="IsROCDate" w:val="True"/>
          <w:attr w:name="IsLunarDate" w:val="False"/>
          <w:attr w:name="Day" w:val="7"/>
          <w:attr w:name="Month" w:val="5"/>
          <w:attr w:name="Year" w:val="2012"/>
        </w:smartTagPr>
        <w:r>
          <w:rPr>
            <w:rFonts w:ascii="標楷體" w:eastAsia="標楷體" w:hAnsi="標楷體" w:hint="eastAsia"/>
            <w:sz w:val="20"/>
          </w:rPr>
          <w:t>中華民國</w:t>
        </w:r>
        <w:proofErr w:type="gramStart"/>
        <w:r>
          <w:rPr>
            <w:rFonts w:ascii="標楷體" w:eastAsia="標楷體" w:hAnsi="標楷體" w:hint="eastAsia"/>
            <w:sz w:val="20"/>
          </w:rPr>
          <w:t>101年5月7日</w:t>
        </w:r>
      </w:smartTag>
      <w:r>
        <w:rPr>
          <w:rFonts w:ascii="標楷體" w:eastAsia="標楷體" w:hAnsi="標楷體" w:hint="eastAsia"/>
          <w:sz w:val="20"/>
        </w:rPr>
        <w:t>府授法規</w:t>
      </w:r>
      <w:proofErr w:type="gramEnd"/>
      <w:r>
        <w:rPr>
          <w:rFonts w:ascii="標楷體" w:eastAsia="標楷體" w:hAnsi="標楷體" w:hint="eastAsia"/>
          <w:sz w:val="20"/>
        </w:rPr>
        <w:t>字第10100730315號令訂定發布</w:t>
      </w:r>
    </w:p>
    <w:p w:rsidR="000B05C9" w:rsidRPr="00251AA8" w:rsidRDefault="000B05C9" w:rsidP="000B05C9">
      <w:pPr>
        <w:spacing w:afterLines="100"/>
        <w:ind w:firstLineChars="1150" w:firstLine="2300"/>
        <w:jc w:val="right"/>
        <w:rPr>
          <w:rFonts w:eastAsia="標楷體" w:hint="eastAsia"/>
          <w:b/>
          <w:bCs/>
          <w:sz w:val="40"/>
          <w:szCs w:val="40"/>
        </w:rPr>
      </w:pPr>
      <w:r>
        <w:rPr>
          <w:rFonts w:ascii="標楷體" w:eastAsia="標楷體" w:hAnsi="標楷體" w:hint="eastAsia"/>
          <w:sz w:val="20"/>
        </w:rPr>
        <w:t>中華民國105年5月16日府授法規字第1050100046號令修正發布</w:t>
      </w:r>
    </w:p>
    <w:p w:rsidR="005D0E13" w:rsidRDefault="005D0E13">
      <w:pPr>
        <w:pStyle w:val="ab"/>
        <w:spacing w:line="460" w:lineRule="exact"/>
        <w:ind w:left="840" w:hangingChars="300" w:hanging="840"/>
        <w:rPr>
          <w:color w:val="auto"/>
          <w:sz w:val="28"/>
        </w:rPr>
      </w:pPr>
      <w:r>
        <w:rPr>
          <w:rFonts w:hint="eastAsia"/>
          <w:color w:val="auto"/>
          <w:sz w:val="28"/>
        </w:rPr>
        <w:t>第一條　　本辦法依</w:t>
      </w:r>
      <w:proofErr w:type="gramStart"/>
      <w:r>
        <w:rPr>
          <w:rFonts w:hint="eastAsia"/>
          <w:color w:val="auto"/>
          <w:sz w:val="28"/>
        </w:rPr>
        <w:t>臺</w:t>
      </w:r>
      <w:proofErr w:type="gramEnd"/>
      <w:r>
        <w:rPr>
          <w:rFonts w:hint="eastAsia"/>
          <w:color w:val="auto"/>
          <w:sz w:val="28"/>
        </w:rPr>
        <w:t>中市建築管理自治條例第</w:t>
      </w:r>
      <w:r w:rsidRPr="00C33E6D">
        <w:rPr>
          <w:rFonts w:hint="eastAsia"/>
          <w:color w:val="auto"/>
          <w:sz w:val="28"/>
        </w:rPr>
        <w:t>十八</w:t>
      </w:r>
      <w:r>
        <w:rPr>
          <w:rFonts w:hint="eastAsia"/>
          <w:color w:val="auto"/>
          <w:sz w:val="28"/>
        </w:rPr>
        <w:t>條規定訂定之。</w:t>
      </w:r>
    </w:p>
    <w:p w:rsidR="005D0E13" w:rsidRDefault="005D0E13">
      <w:pPr>
        <w:pStyle w:val="ab"/>
        <w:spacing w:line="460" w:lineRule="exact"/>
        <w:ind w:left="840" w:hangingChars="300" w:hanging="840"/>
        <w:rPr>
          <w:color w:val="auto"/>
          <w:sz w:val="28"/>
        </w:rPr>
      </w:pPr>
      <w:r>
        <w:rPr>
          <w:rFonts w:hint="eastAsia"/>
          <w:color w:val="auto"/>
          <w:sz w:val="28"/>
        </w:rPr>
        <w:t>第二條　　本辦法之主管機關為</w:t>
      </w:r>
      <w:proofErr w:type="gramStart"/>
      <w:r>
        <w:rPr>
          <w:rFonts w:hint="eastAsia"/>
          <w:color w:val="auto"/>
          <w:sz w:val="28"/>
        </w:rPr>
        <w:t>臺</w:t>
      </w:r>
      <w:proofErr w:type="gramEnd"/>
      <w:r>
        <w:rPr>
          <w:rFonts w:hint="eastAsia"/>
          <w:color w:val="auto"/>
          <w:sz w:val="28"/>
        </w:rPr>
        <w:t>中市政府都市發展局(以下簡稱都發局)。</w:t>
      </w:r>
    </w:p>
    <w:p w:rsidR="005D0E13" w:rsidRDefault="005D0E13">
      <w:pPr>
        <w:pStyle w:val="ab"/>
        <w:spacing w:line="460" w:lineRule="exact"/>
        <w:ind w:left="840" w:hangingChars="300" w:hanging="840"/>
        <w:rPr>
          <w:color w:val="auto"/>
          <w:sz w:val="28"/>
        </w:rPr>
      </w:pPr>
      <w:r>
        <w:rPr>
          <w:rFonts w:hint="eastAsia"/>
          <w:color w:val="auto"/>
          <w:sz w:val="28"/>
        </w:rPr>
        <w:t>第三條　　本辦法之用詞，定義如下：</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一、開放空間：指</w:t>
      </w:r>
      <w:proofErr w:type="gramStart"/>
      <w:r>
        <w:rPr>
          <w:rFonts w:hint="eastAsia"/>
          <w:color w:val="auto"/>
          <w:sz w:val="28"/>
        </w:rPr>
        <w:t>無遮簷</w:t>
      </w:r>
      <w:proofErr w:type="gramEnd"/>
      <w:r>
        <w:rPr>
          <w:rFonts w:hint="eastAsia"/>
          <w:color w:val="auto"/>
          <w:sz w:val="28"/>
        </w:rPr>
        <w:t>人行道、迴廊及帶狀開放空間。</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二、綠美化設施：</w:t>
      </w:r>
      <w:proofErr w:type="gramStart"/>
      <w:r>
        <w:rPr>
          <w:rFonts w:hint="eastAsia"/>
          <w:color w:val="auto"/>
          <w:sz w:val="28"/>
        </w:rPr>
        <w:t>指定著</w:t>
      </w:r>
      <w:proofErr w:type="gramEnd"/>
      <w:r>
        <w:rPr>
          <w:rFonts w:hint="eastAsia"/>
          <w:color w:val="auto"/>
          <w:sz w:val="28"/>
        </w:rPr>
        <w:t>於地面、牆或</w:t>
      </w:r>
      <w:proofErr w:type="gramStart"/>
      <w:r>
        <w:rPr>
          <w:rFonts w:hint="eastAsia"/>
          <w:color w:val="auto"/>
          <w:sz w:val="28"/>
        </w:rPr>
        <w:t>樑</w:t>
      </w:r>
      <w:proofErr w:type="gramEnd"/>
      <w:r>
        <w:rPr>
          <w:rFonts w:hint="eastAsia"/>
          <w:color w:val="auto"/>
          <w:sz w:val="28"/>
        </w:rPr>
        <w:t>柱上固定之</w:t>
      </w:r>
      <w:r>
        <w:rPr>
          <w:color w:val="auto"/>
          <w:sz w:val="28"/>
        </w:rPr>
        <w:t>喬木、灌木、地被、植穴、花槽</w:t>
      </w:r>
      <w:r>
        <w:rPr>
          <w:rFonts w:hint="eastAsia"/>
          <w:color w:val="auto"/>
          <w:sz w:val="28"/>
        </w:rPr>
        <w:t>、</w:t>
      </w:r>
      <w:proofErr w:type="gramStart"/>
      <w:r>
        <w:rPr>
          <w:rFonts w:hint="eastAsia"/>
          <w:color w:val="auto"/>
          <w:sz w:val="28"/>
        </w:rPr>
        <w:t>花</w:t>
      </w:r>
      <w:r>
        <w:rPr>
          <w:color w:val="auto"/>
          <w:sz w:val="28"/>
        </w:rPr>
        <w:t>缽</w:t>
      </w:r>
      <w:proofErr w:type="gramEnd"/>
      <w:r>
        <w:rPr>
          <w:rFonts w:hint="eastAsia"/>
          <w:color w:val="auto"/>
          <w:sz w:val="28"/>
        </w:rPr>
        <w:t>、</w:t>
      </w:r>
      <w:r>
        <w:rPr>
          <w:color w:val="auto"/>
          <w:sz w:val="28"/>
        </w:rPr>
        <w:t>景觀照明、水景</w:t>
      </w:r>
      <w:r>
        <w:rPr>
          <w:rFonts w:hint="eastAsia"/>
          <w:color w:val="auto"/>
          <w:sz w:val="28"/>
        </w:rPr>
        <w:t>及</w:t>
      </w:r>
      <w:r>
        <w:rPr>
          <w:color w:val="auto"/>
          <w:sz w:val="28"/>
        </w:rPr>
        <w:t>景觀</w:t>
      </w:r>
      <w:r>
        <w:rPr>
          <w:rFonts w:hint="eastAsia"/>
          <w:color w:val="auto"/>
          <w:sz w:val="28"/>
        </w:rPr>
        <w:t>等</w:t>
      </w:r>
      <w:r>
        <w:rPr>
          <w:color w:val="auto"/>
          <w:sz w:val="28"/>
        </w:rPr>
        <w:t>相關設施或經</w:t>
      </w:r>
      <w:proofErr w:type="gramStart"/>
      <w:r>
        <w:rPr>
          <w:color w:val="auto"/>
          <w:sz w:val="28"/>
        </w:rPr>
        <w:t>臺</w:t>
      </w:r>
      <w:proofErr w:type="gramEnd"/>
      <w:r>
        <w:rPr>
          <w:color w:val="auto"/>
          <w:sz w:val="28"/>
        </w:rPr>
        <w:t>中市政府</w:t>
      </w:r>
      <w:r>
        <w:rPr>
          <w:rFonts w:hint="eastAsia"/>
          <w:color w:val="auto"/>
          <w:sz w:val="28"/>
        </w:rPr>
        <w:t>(以下簡稱本府)建造執照預審審議委員會或都市設計審查委員會認定之設施</w:t>
      </w:r>
      <w:r>
        <w:rPr>
          <w:color w:val="auto"/>
          <w:sz w:val="28"/>
        </w:rPr>
        <w:t>。</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三、街道傢俱：</w:t>
      </w:r>
      <w:proofErr w:type="gramStart"/>
      <w:r>
        <w:rPr>
          <w:rFonts w:hint="eastAsia"/>
          <w:color w:val="auto"/>
          <w:sz w:val="28"/>
        </w:rPr>
        <w:t>指定著</w:t>
      </w:r>
      <w:proofErr w:type="gramEnd"/>
      <w:r>
        <w:rPr>
          <w:rFonts w:hint="eastAsia"/>
          <w:color w:val="auto"/>
          <w:sz w:val="28"/>
        </w:rPr>
        <w:t>於地面、牆或</w:t>
      </w:r>
      <w:proofErr w:type="gramStart"/>
      <w:r>
        <w:rPr>
          <w:rFonts w:hint="eastAsia"/>
          <w:color w:val="auto"/>
          <w:sz w:val="28"/>
        </w:rPr>
        <w:t>樑</w:t>
      </w:r>
      <w:proofErr w:type="gramEnd"/>
      <w:r>
        <w:rPr>
          <w:rFonts w:hint="eastAsia"/>
          <w:color w:val="auto"/>
          <w:sz w:val="28"/>
        </w:rPr>
        <w:t>柱上固定之桌</w:t>
      </w:r>
      <w:r>
        <w:rPr>
          <w:color w:val="auto"/>
          <w:sz w:val="28"/>
        </w:rPr>
        <w:t>椅</w:t>
      </w:r>
      <w:r>
        <w:rPr>
          <w:rFonts w:hint="eastAsia"/>
          <w:color w:val="auto"/>
          <w:sz w:val="28"/>
        </w:rPr>
        <w:t>、</w:t>
      </w:r>
      <w:r>
        <w:rPr>
          <w:color w:val="auto"/>
          <w:sz w:val="28"/>
        </w:rPr>
        <w:t>藝術</w:t>
      </w:r>
      <w:r>
        <w:rPr>
          <w:rFonts w:hint="eastAsia"/>
          <w:color w:val="auto"/>
          <w:sz w:val="28"/>
        </w:rPr>
        <w:t>裝置</w:t>
      </w:r>
      <w:r>
        <w:rPr>
          <w:color w:val="auto"/>
          <w:sz w:val="28"/>
        </w:rPr>
        <w:t>品</w:t>
      </w:r>
      <w:r>
        <w:rPr>
          <w:rFonts w:hint="eastAsia"/>
          <w:color w:val="auto"/>
          <w:sz w:val="28"/>
        </w:rPr>
        <w:t>等相關</w:t>
      </w:r>
      <w:r>
        <w:rPr>
          <w:color w:val="auto"/>
          <w:sz w:val="28"/>
        </w:rPr>
        <w:t>設施或經本府</w:t>
      </w:r>
      <w:r>
        <w:rPr>
          <w:rFonts w:hint="eastAsia"/>
          <w:color w:val="auto"/>
          <w:sz w:val="28"/>
        </w:rPr>
        <w:t>建造執照預審審議委員會或都市設計審查委員會認定之設施</w:t>
      </w:r>
      <w:r>
        <w:rPr>
          <w:color w:val="auto"/>
          <w:sz w:val="28"/>
        </w:rPr>
        <w:t>。</w:t>
      </w:r>
    </w:p>
    <w:p w:rsidR="005D0E13" w:rsidRDefault="005D0E13">
      <w:pPr>
        <w:pStyle w:val="ab"/>
        <w:spacing w:line="460" w:lineRule="exact"/>
        <w:ind w:left="840" w:hangingChars="300" w:hanging="840"/>
        <w:rPr>
          <w:color w:val="auto"/>
          <w:sz w:val="28"/>
        </w:rPr>
      </w:pPr>
      <w:r>
        <w:rPr>
          <w:rFonts w:hint="eastAsia"/>
          <w:color w:val="auto"/>
          <w:sz w:val="28"/>
        </w:rPr>
        <w:t>第四條　　建築物之騎樓及開放空間設置綠美化設施或街道傢俱，應依本辦法向都發局提出申請。但經本府建造執照預審委員會或都市設計審查委員會審議通過者，不在此限。</w:t>
      </w:r>
    </w:p>
    <w:p w:rsidR="005D0E13" w:rsidRDefault="005D0E13">
      <w:pPr>
        <w:pStyle w:val="aa"/>
        <w:snapToGrid w:val="0"/>
        <w:spacing w:line="460" w:lineRule="exact"/>
        <w:ind w:leftChars="350" w:left="840" w:firstLineChars="200" w:firstLine="560"/>
        <w:jc w:val="both"/>
        <w:rPr>
          <w:rFonts w:eastAsia="標楷體"/>
          <w:sz w:val="28"/>
        </w:rPr>
      </w:pPr>
      <w:r>
        <w:rPr>
          <w:rFonts w:eastAsia="標楷體" w:hint="eastAsia"/>
          <w:sz w:val="28"/>
        </w:rPr>
        <w:t>前項申請，都發局應提經本府建造執照預審委員會審查通過後始得許可設置。</w:t>
      </w:r>
    </w:p>
    <w:p w:rsidR="005D0E13" w:rsidRDefault="005D0E13">
      <w:pPr>
        <w:pStyle w:val="ab"/>
        <w:spacing w:line="460" w:lineRule="exact"/>
        <w:ind w:left="840" w:hangingChars="300" w:hanging="840"/>
        <w:rPr>
          <w:color w:val="auto"/>
          <w:sz w:val="28"/>
        </w:rPr>
      </w:pPr>
      <w:r>
        <w:rPr>
          <w:rFonts w:hint="eastAsia"/>
          <w:color w:val="auto"/>
          <w:sz w:val="28"/>
        </w:rPr>
        <w:t xml:space="preserve">第五條　　</w:t>
      </w:r>
      <w:r w:rsidR="00C33E6D" w:rsidRPr="00C33E6D">
        <w:rPr>
          <w:rFonts w:hint="eastAsia"/>
          <w:color w:val="auto"/>
          <w:sz w:val="28"/>
        </w:rPr>
        <w:t>於建築物騎樓或開放空間設置綠美化設施或街道傢俱者，應依下列規定辦理：</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一、新建者，由起造人於申請建造執照時一併申請，並納入建築設計圖說。</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二、領有使用執照或其他合法建築物者：</w:t>
      </w:r>
    </w:p>
    <w:p w:rsidR="005D0E13" w:rsidRDefault="005D0E13" w:rsidP="00017D67">
      <w:pPr>
        <w:pStyle w:val="ab"/>
        <w:snapToGrid w:val="0"/>
        <w:spacing w:line="460" w:lineRule="exact"/>
        <w:ind w:leftChars="767" w:left="2549" w:hangingChars="253" w:hanging="708"/>
        <w:rPr>
          <w:color w:val="auto"/>
          <w:sz w:val="28"/>
        </w:rPr>
      </w:pPr>
      <w:r>
        <w:rPr>
          <w:rFonts w:hint="eastAsia"/>
          <w:color w:val="auto"/>
          <w:sz w:val="28"/>
        </w:rPr>
        <w:t>（一）</w:t>
      </w:r>
      <w:r w:rsidR="00C33E6D" w:rsidRPr="00C33E6D">
        <w:rPr>
          <w:rFonts w:hint="eastAsia"/>
          <w:color w:val="auto"/>
          <w:sz w:val="28"/>
        </w:rPr>
        <w:t>公寓大廈應由公寓大廈管理委員會或管理負責人提出申請。涉及共用部分者，應檢附區分所有權人會議決議文件；位於約定共用範圍者，應檢附區分所有權人會議決議文件，並經設置地點區分所有權人同意</w:t>
      </w:r>
      <w:r w:rsidR="00017D67" w:rsidRPr="00017D67">
        <w:rPr>
          <w:rFonts w:hint="eastAsia"/>
          <w:color w:val="auto"/>
          <w:sz w:val="28"/>
        </w:rPr>
        <w:t>。</w:t>
      </w:r>
    </w:p>
    <w:p w:rsidR="005D0E13" w:rsidRDefault="005D0E13" w:rsidP="00017D67">
      <w:pPr>
        <w:pStyle w:val="ab"/>
        <w:snapToGrid w:val="0"/>
        <w:spacing w:line="460" w:lineRule="exact"/>
        <w:ind w:leftChars="767" w:left="2689" w:hangingChars="303" w:hanging="848"/>
        <w:rPr>
          <w:color w:val="auto"/>
          <w:sz w:val="28"/>
        </w:rPr>
      </w:pPr>
      <w:r>
        <w:rPr>
          <w:rFonts w:hint="eastAsia"/>
          <w:color w:val="auto"/>
          <w:sz w:val="28"/>
        </w:rPr>
        <w:t>（二）公寓大廈以外之建築物應由所有權人提出申請。</w:t>
      </w:r>
    </w:p>
    <w:p w:rsidR="005D0E13" w:rsidRDefault="005D0E13">
      <w:pPr>
        <w:pStyle w:val="ab"/>
        <w:spacing w:line="460" w:lineRule="exact"/>
        <w:ind w:left="840" w:hangingChars="300" w:hanging="840"/>
        <w:rPr>
          <w:color w:val="auto"/>
          <w:sz w:val="28"/>
        </w:rPr>
      </w:pPr>
      <w:r>
        <w:rPr>
          <w:rFonts w:hint="eastAsia"/>
          <w:color w:val="auto"/>
          <w:sz w:val="28"/>
        </w:rPr>
        <w:t>第六條　　前條第二款之申請人，應填具申請書並檢附下列文件向都發局提出，變更時亦同：</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一、土地使用權利證明文件；公寓大廈涉及共用部分者，並應檢附前條第二款第一目規定文件。</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二、使用執照或合法建築物證明文件及原核准圖說。</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三、申請範圍現況圖、位置圖及配置圖。</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四、設施平面圖、立面圖、剖面圖及細部構造材料圖。</w:t>
      </w:r>
    </w:p>
    <w:p w:rsidR="005D0E13" w:rsidRDefault="005D0E13">
      <w:pPr>
        <w:pStyle w:val="ab"/>
        <w:snapToGrid w:val="0"/>
        <w:spacing w:line="460" w:lineRule="exact"/>
        <w:ind w:leftChars="600" w:left="2000" w:hangingChars="200" w:hanging="560"/>
        <w:rPr>
          <w:color w:val="auto"/>
          <w:sz w:val="28"/>
        </w:rPr>
      </w:pPr>
      <w:r>
        <w:rPr>
          <w:rFonts w:hint="eastAsia"/>
          <w:color w:val="auto"/>
          <w:sz w:val="28"/>
        </w:rPr>
        <w:t>五、其他經都發局認定必要之圖說。</w:t>
      </w:r>
    </w:p>
    <w:p w:rsidR="005D0E13" w:rsidRDefault="005D0E13">
      <w:pPr>
        <w:pStyle w:val="ab"/>
        <w:spacing w:line="460" w:lineRule="exact"/>
        <w:ind w:left="840" w:hangingChars="300" w:hanging="840"/>
        <w:rPr>
          <w:color w:val="auto"/>
          <w:sz w:val="28"/>
        </w:rPr>
      </w:pPr>
      <w:r>
        <w:rPr>
          <w:rFonts w:hint="eastAsia"/>
          <w:color w:val="auto"/>
          <w:sz w:val="28"/>
        </w:rPr>
        <w:t>第七條　　騎樓或開放空間設置綠美化設施或街道傢俱，其可供通行之空間淨寬度不得小於</w:t>
      </w:r>
      <w:smartTag w:uri="urn:schemas-microsoft-com:office:smarttags" w:element="chmetcnv">
        <w:smartTagPr>
          <w:attr w:name="TCSC" w:val="1"/>
          <w:attr w:name="NumberType" w:val="3"/>
          <w:attr w:name="Negative" w:val="False"/>
          <w:attr w:name="HasSpace" w:val="False"/>
          <w:attr w:name="SourceValue" w:val="2.5"/>
          <w:attr w:name="UnitName" w:val="公尺"/>
        </w:smartTagPr>
        <w:r>
          <w:rPr>
            <w:rFonts w:hint="eastAsia"/>
            <w:color w:val="auto"/>
            <w:sz w:val="28"/>
          </w:rPr>
          <w:t>二點五公尺</w:t>
        </w:r>
      </w:smartTag>
      <w:r>
        <w:rPr>
          <w:rFonts w:hint="eastAsia"/>
          <w:color w:val="auto"/>
          <w:sz w:val="28"/>
        </w:rPr>
        <w:t>，並應連貫、順平、止滑，不得妨礙行人及行動不便者之通行。</w:t>
      </w:r>
    </w:p>
    <w:p w:rsidR="005D0E13" w:rsidRDefault="005D0E13">
      <w:pPr>
        <w:pStyle w:val="aa"/>
        <w:snapToGrid w:val="0"/>
        <w:spacing w:line="460" w:lineRule="exact"/>
        <w:ind w:leftChars="350" w:left="840" w:firstLineChars="200" w:firstLine="560"/>
        <w:jc w:val="both"/>
        <w:rPr>
          <w:rFonts w:eastAsia="標楷體"/>
          <w:sz w:val="28"/>
        </w:rPr>
      </w:pPr>
      <w:r>
        <w:rPr>
          <w:rFonts w:eastAsia="標楷體" w:hint="eastAsia"/>
          <w:sz w:val="28"/>
        </w:rPr>
        <w:t>依建築技術規則建築設計施工編第二百八十三條規定留設沿街步道式開放空間時，其可供通行之空間淨寬度不得小於一點五公尺。</w:t>
      </w:r>
    </w:p>
    <w:p w:rsidR="005D0E13" w:rsidRDefault="005D0E13">
      <w:pPr>
        <w:pStyle w:val="aa"/>
        <w:snapToGrid w:val="0"/>
        <w:spacing w:line="460" w:lineRule="exact"/>
        <w:ind w:leftChars="350" w:left="840" w:firstLineChars="200" w:firstLine="560"/>
        <w:jc w:val="both"/>
        <w:rPr>
          <w:rFonts w:eastAsia="標楷體"/>
          <w:sz w:val="28"/>
        </w:rPr>
      </w:pPr>
      <w:r>
        <w:rPr>
          <w:rFonts w:eastAsia="標楷體" w:hint="eastAsia"/>
          <w:sz w:val="28"/>
        </w:rPr>
        <w:t>騎樓或開放空間臨接建築線部分應</w:t>
      </w:r>
      <w:proofErr w:type="gramStart"/>
      <w:r>
        <w:rPr>
          <w:rFonts w:eastAsia="標楷體" w:hint="eastAsia"/>
          <w:sz w:val="28"/>
        </w:rPr>
        <w:t>留設臨接</w:t>
      </w:r>
      <w:proofErr w:type="gramEnd"/>
      <w:r>
        <w:rPr>
          <w:rFonts w:eastAsia="標楷體" w:hint="eastAsia"/>
          <w:sz w:val="28"/>
        </w:rPr>
        <w:t>長度四分之一之出口，</w:t>
      </w:r>
      <w:proofErr w:type="gramStart"/>
      <w:r>
        <w:rPr>
          <w:rFonts w:eastAsia="標楷體" w:hint="eastAsia"/>
          <w:sz w:val="28"/>
        </w:rPr>
        <w:t>每處淨寬</w:t>
      </w:r>
      <w:proofErr w:type="gramEnd"/>
      <w:r>
        <w:rPr>
          <w:rFonts w:eastAsia="標楷體" w:hint="eastAsia"/>
          <w:sz w:val="28"/>
        </w:rPr>
        <w:t>不得小於一點三公尺，立面於</w:t>
      </w:r>
      <w:proofErr w:type="gramStart"/>
      <w:r>
        <w:rPr>
          <w:rFonts w:eastAsia="標楷體" w:hint="eastAsia"/>
          <w:sz w:val="28"/>
        </w:rPr>
        <w:t>樑</w:t>
      </w:r>
      <w:proofErr w:type="gramEnd"/>
      <w:r>
        <w:rPr>
          <w:rFonts w:eastAsia="標楷體" w:hint="eastAsia"/>
          <w:sz w:val="28"/>
        </w:rPr>
        <w:t>下透空部分應大於原開口面積三分之二。</w:t>
      </w:r>
    </w:p>
    <w:p w:rsidR="005D0E13" w:rsidRDefault="005D0E13">
      <w:pPr>
        <w:pStyle w:val="ab"/>
        <w:spacing w:line="460" w:lineRule="exact"/>
        <w:ind w:left="840" w:hangingChars="300" w:hanging="840"/>
        <w:rPr>
          <w:color w:val="auto"/>
          <w:sz w:val="28"/>
        </w:rPr>
      </w:pPr>
      <w:r>
        <w:rPr>
          <w:rFonts w:hint="eastAsia"/>
          <w:color w:val="auto"/>
          <w:sz w:val="28"/>
        </w:rPr>
        <w:t>第八條　　騎樓或開放空間與</w:t>
      </w:r>
      <w:r>
        <w:rPr>
          <w:color w:val="auto"/>
          <w:sz w:val="28"/>
        </w:rPr>
        <w:t>行人穿越道連接處，不得</w:t>
      </w:r>
      <w:r>
        <w:rPr>
          <w:rFonts w:hint="eastAsia"/>
          <w:color w:val="auto"/>
          <w:sz w:val="28"/>
        </w:rPr>
        <w:t>設置綠美化設施或街道傢俱</w:t>
      </w:r>
      <w:r>
        <w:rPr>
          <w:color w:val="auto"/>
          <w:sz w:val="28"/>
        </w:rPr>
        <w:t>。</w:t>
      </w:r>
    </w:p>
    <w:p w:rsidR="005D0E13" w:rsidRDefault="005D0E13">
      <w:pPr>
        <w:pStyle w:val="aa"/>
        <w:snapToGrid w:val="0"/>
        <w:spacing w:line="460" w:lineRule="exact"/>
        <w:ind w:leftChars="350" w:left="840" w:firstLineChars="200" w:firstLine="560"/>
        <w:jc w:val="both"/>
        <w:rPr>
          <w:rFonts w:eastAsia="標楷體"/>
          <w:sz w:val="28"/>
        </w:rPr>
      </w:pPr>
      <w:r>
        <w:rPr>
          <w:rFonts w:eastAsia="標楷體"/>
          <w:sz w:val="28"/>
        </w:rPr>
        <w:t>道路交叉口</w:t>
      </w:r>
      <w:proofErr w:type="gramStart"/>
      <w:r>
        <w:rPr>
          <w:rFonts w:eastAsia="標楷體" w:hint="eastAsia"/>
          <w:sz w:val="28"/>
        </w:rPr>
        <w:t>截角線內側</w:t>
      </w:r>
      <w:proofErr w:type="gramEnd"/>
      <w:r>
        <w:rPr>
          <w:rFonts w:eastAsia="標楷體" w:hint="eastAsia"/>
          <w:sz w:val="28"/>
        </w:rPr>
        <w:t>之騎樓或開放空間，其設置綠美化設施或街道傢俱，不得</w:t>
      </w:r>
      <w:r>
        <w:rPr>
          <w:rFonts w:eastAsia="標楷體"/>
          <w:sz w:val="28"/>
        </w:rPr>
        <w:t>妨礙行車視線</w:t>
      </w:r>
      <w:r>
        <w:rPr>
          <w:rFonts w:eastAsia="標楷體" w:hint="eastAsia"/>
          <w:sz w:val="28"/>
        </w:rPr>
        <w:t>。</w:t>
      </w:r>
    </w:p>
    <w:p w:rsidR="005D0E13" w:rsidRDefault="005D0E13">
      <w:pPr>
        <w:pStyle w:val="ab"/>
        <w:spacing w:line="460" w:lineRule="exact"/>
        <w:ind w:left="840" w:hangingChars="300" w:hanging="840"/>
        <w:rPr>
          <w:color w:val="auto"/>
          <w:sz w:val="28"/>
        </w:rPr>
      </w:pPr>
      <w:r>
        <w:rPr>
          <w:rFonts w:hint="eastAsia"/>
          <w:color w:val="auto"/>
          <w:sz w:val="28"/>
        </w:rPr>
        <w:t>第九條　　騎樓或開放空間申請設置綠美化設施或街道傢俱者，其建築</w:t>
      </w:r>
      <w:proofErr w:type="gramStart"/>
      <w:r>
        <w:rPr>
          <w:rFonts w:hint="eastAsia"/>
          <w:color w:val="auto"/>
          <w:sz w:val="28"/>
        </w:rPr>
        <w:t>基地應</w:t>
      </w:r>
      <w:r>
        <w:rPr>
          <w:color w:val="auto"/>
          <w:sz w:val="28"/>
        </w:rPr>
        <w:t>臨接</w:t>
      </w:r>
      <w:proofErr w:type="gramEnd"/>
      <w:r>
        <w:rPr>
          <w:color w:val="auto"/>
          <w:sz w:val="28"/>
        </w:rPr>
        <w:t>寬度</w:t>
      </w:r>
      <w:smartTag w:uri="urn:schemas-microsoft-com:office:smarttags" w:element="chmetcnv">
        <w:smartTagPr>
          <w:attr w:name="TCSC" w:val="1"/>
          <w:attr w:name="NumberType" w:val="3"/>
          <w:attr w:name="Negative" w:val="False"/>
          <w:attr w:name="HasSpace" w:val="False"/>
          <w:attr w:name="SourceValue" w:val="7"/>
          <w:attr w:name="UnitName" w:val="公尺"/>
        </w:smartTagPr>
        <w:r>
          <w:rPr>
            <w:color w:val="auto"/>
            <w:sz w:val="28"/>
          </w:rPr>
          <w:t>七公尺</w:t>
        </w:r>
      </w:smartTag>
      <w:r>
        <w:rPr>
          <w:color w:val="auto"/>
          <w:sz w:val="28"/>
        </w:rPr>
        <w:t>以上之道路，</w:t>
      </w:r>
      <w:r>
        <w:rPr>
          <w:rFonts w:hint="eastAsia"/>
          <w:color w:val="auto"/>
          <w:sz w:val="28"/>
        </w:rPr>
        <w:t>且</w:t>
      </w:r>
      <w:r>
        <w:rPr>
          <w:color w:val="auto"/>
          <w:sz w:val="28"/>
        </w:rPr>
        <w:t>連續臨接</w:t>
      </w:r>
      <w:r>
        <w:rPr>
          <w:rFonts w:hint="eastAsia"/>
          <w:color w:val="auto"/>
          <w:sz w:val="28"/>
        </w:rPr>
        <w:t>道路</w:t>
      </w:r>
      <w:r>
        <w:rPr>
          <w:color w:val="auto"/>
          <w:sz w:val="28"/>
        </w:rPr>
        <w:t>長度在</w:t>
      </w:r>
      <w:smartTag w:uri="urn:schemas-microsoft-com:office:smarttags" w:element="chmetcnv">
        <w:smartTagPr>
          <w:attr w:name="TCSC" w:val="1"/>
          <w:attr w:name="NumberType" w:val="3"/>
          <w:attr w:name="Negative" w:val="False"/>
          <w:attr w:name="HasSpace" w:val="False"/>
          <w:attr w:name="SourceValue" w:val="20"/>
          <w:attr w:name="UnitName" w:val="公尺"/>
        </w:smartTagPr>
        <w:r>
          <w:rPr>
            <w:color w:val="auto"/>
            <w:sz w:val="28"/>
          </w:rPr>
          <w:t>二十公尺</w:t>
        </w:r>
      </w:smartTag>
      <w:r>
        <w:rPr>
          <w:color w:val="auto"/>
          <w:sz w:val="28"/>
        </w:rPr>
        <w:t>以上</w:t>
      </w:r>
      <w:r>
        <w:rPr>
          <w:rFonts w:hint="eastAsia"/>
          <w:color w:val="auto"/>
          <w:sz w:val="28"/>
        </w:rPr>
        <w:t>。</w:t>
      </w:r>
    </w:p>
    <w:p w:rsidR="005D0E13" w:rsidRDefault="005D0E13">
      <w:pPr>
        <w:pStyle w:val="ab"/>
        <w:spacing w:line="460" w:lineRule="exact"/>
        <w:ind w:left="840" w:hangingChars="300" w:hanging="840"/>
        <w:rPr>
          <w:color w:val="auto"/>
          <w:sz w:val="28"/>
        </w:rPr>
      </w:pPr>
      <w:r>
        <w:rPr>
          <w:rFonts w:hint="eastAsia"/>
          <w:color w:val="auto"/>
          <w:sz w:val="28"/>
        </w:rPr>
        <w:t>第十條　　依第五條第二款規定申請之案件，應於都發局許可後始得施工，並於完工報請勘驗合格後，由都發局發給使用許可證明。</w:t>
      </w:r>
    </w:p>
    <w:p w:rsidR="005D0E13" w:rsidRDefault="005D0E13">
      <w:pPr>
        <w:pStyle w:val="ab"/>
        <w:spacing w:line="460" w:lineRule="exact"/>
        <w:ind w:left="1120" w:hangingChars="400" w:hanging="1120"/>
        <w:rPr>
          <w:color w:val="auto"/>
          <w:sz w:val="28"/>
        </w:rPr>
      </w:pPr>
      <w:r>
        <w:rPr>
          <w:rFonts w:hint="eastAsia"/>
          <w:color w:val="auto"/>
          <w:sz w:val="28"/>
        </w:rPr>
        <w:t>第十一條　　綠美化設施或街道傢俱，應提供公眾使用，申請人並應於明顯位置設置標示牌，其數量、規格及設置地點由都發局另定之。</w:t>
      </w:r>
    </w:p>
    <w:p w:rsidR="005D0E13" w:rsidRDefault="005D0E13">
      <w:pPr>
        <w:pStyle w:val="ab"/>
        <w:spacing w:line="460" w:lineRule="exact"/>
        <w:ind w:left="1120" w:hangingChars="400" w:hanging="1120"/>
        <w:rPr>
          <w:color w:val="auto"/>
          <w:sz w:val="28"/>
        </w:rPr>
      </w:pPr>
      <w:r>
        <w:rPr>
          <w:rFonts w:hint="eastAsia"/>
          <w:color w:val="auto"/>
          <w:sz w:val="28"/>
        </w:rPr>
        <w:t>第十二條　　綠美化設施及街道傢俱，應由建築物所有權人、公寓大廈管理委員會或管理負責人管理維護。</w:t>
      </w:r>
    </w:p>
    <w:p w:rsidR="005D0E13" w:rsidRDefault="005D0E13">
      <w:pPr>
        <w:pStyle w:val="ab"/>
        <w:spacing w:line="460" w:lineRule="exact"/>
        <w:ind w:left="1120" w:hangingChars="400" w:hanging="1120"/>
        <w:rPr>
          <w:color w:val="auto"/>
          <w:sz w:val="28"/>
        </w:rPr>
      </w:pPr>
      <w:r>
        <w:rPr>
          <w:rFonts w:hint="eastAsia"/>
          <w:color w:val="auto"/>
          <w:sz w:val="28"/>
        </w:rPr>
        <w:t>第十三條　　綠美化設施或街道傢俱之使用許可，都發局得因情事變更、公共利益或公共安全需要，保留廢止許可</w:t>
      </w:r>
      <w:proofErr w:type="gramStart"/>
      <w:r>
        <w:rPr>
          <w:rFonts w:hint="eastAsia"/>
          <w:color w:val="auto"/>
          <w:sz w:val="28"/>
        </w:rPr>
        <w:t>之附款</w:t>
      </w:r>
      <w:proofErr w:type="gramEnd"/>
      <w:r>
        <w:rPr>
          <w:rFonts w:hint="eastAsia"/>
          <w:color w:val="auto"/>
          <w:sz w:val="28"/>
        </w:rPr>
        <w:t>。</w:t>
      </w:r>
    </w:p>
    <w:p w:rsidR="005D0E13" w:rsidRDefault="005D0E13">
      <w:pPr>
        <w:pStyle w:val="ab"/>
        <w:spacing w:line="460" w:lineRule="exact"/>
        <w:ind w:left="1120" w:hangingChars="400" w:hanging="1120"/>
        <w:rPr>
          <w:color w:val="auto"/>
          <w:sz w:val="28"/>
        </w:rPr>
      </w:pPr>
      <w:r>
        <w:rPr>
          <w:rFonts w:hint="eastAsia"/>
          <w:color w:val="auto"/>
          <w:sz w:val="28"/>
        </w:rPr>
        <w:t>第十四條　　本辦法自發布日施行。</w:t>
      </w:r>
    </w:p>
    <w:p w:rsidR="005D0E13" w:rsidRDefault="005D0E13">
      <w:pPr>
        <w:pStyle w:val="ab"/>
        <w:spacing w:line="460" w:lineRule="exact"/>
        <w:ind w:left="1120" w:hangingChars="400" w:hanging="1120"/>
        <w:rPr>
          <w:color w:val="auto"/>
          <w:sz w:val="28"/>
        </w:rPr>
      </w:pPr>
    </w:p>
    <w:p w:rsidR="005D0E13" w:rsidRDefault="005D0E13">
      <w:pPr>
        <w:tabs>
          <w:tab w:val="right" w:pos="8788"/>
        </w:tabs>
        <w:snapToGrid w:val="0"/>
        <w:jc w:val="both"/>
        <w:rPr>
          <w:rFonts w:ascii="標楷體" w:eastAsia="標楷體" w:hAnsi="標楷體"/>
          <w:sz w:val="28"/>
          <w:szCs w:val="28"/>
        </w:rPr>
      </w:pPr>
      <w:r>
        <w:rPr>
          <w:b/>
          <w:bCs/>
        </w:rPr>
        <w:br w:type="page"/>
      </w:r>
      <w:r>
        <w:rPr>
          <w:rFonts w:ascii="標楷體" w:eastAsia="標楷體" w:hAnsi="標楷體" w:hint="eastAsia"/>
          <w:sz w:val="28"/>
          <w:szCs w:val="28"/>
        </w:rPr>
        <w:t>附件：標示牌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2037"/>
        <w:gridCol w:w="2010"/>
        <w:gridCol w:w="1140"/>
        <w:gridCol w:w="8"/>
        <w:gridCol w:w="2583"/>
      </w:tblGrid>
      <w:tr w:rsidR="005D0E13">
        <w:trPr>
          <w:cantSplit/>
        </w:trPr>
        <w:tc>
          <w:tcPr>
            <w:tcW w:w="7778" w:type="dxa"/>
            <w:gridSpan w:val="5"/>
          </w:tcPr>
          <w:p w:rsidR="005D0E13" w:rsidRDefault="003773E4">
            <w:pPr>
              <w:jc w:val="center"/>
              <w:rPr>
                <w:rFonts w:ascii="標楷體" w:eastAsia="標楷體" w:hAnsi="標楷體"/>
                <w:szCs w:val="24"/>
              </w:rPr>
            </w:pPr>
            <w:r w:rsidRPr="003773E4">
              <w:rPr>
                <w:rFonts w:ascii="標楷體" w:eastAsia="標楷體" w:hAnsi="標楷體"/>
                <w:noProof/>
                <w:sz w:val="20"/>
                <w:szCs w:val="24"/>
              </w:rPr>
              <w:pict>
                <v:line id="_x0000_s1077" style="position:absolute;left:0;text-align:left;z-index:251661312" from="425.9pt,-2.25pt" to="426pt,287.3pt" strokeweight="1pt">
                  <v:stroke startarrow="block" startarrowlength="long" endarrow="block" endarrowlength="long"/>
                </v:line>
              </w:pict>
            </w:r>
            <w:r>
              <w:rPr>
                <w:rFonts w:ascii="標楷體" w:eastAsia="標楷體" w:hAnsi="標楷體"/>
                <w:noProof/>
                <w:szCs w:val="24"/>
              </w:rPr>
              <w:pict>
                <v:line id="_x0000_s1070" style="position:absolute;left:0;text-align:left;z-index:251654144" from="400.5pt,-.55pt" to="443.55pt,-.55pt"/>
              </w:pict>
            </w:r>
            <w:proofErr w:type="gramStart"/>
            <w:r w:rsidR="005D0E13">
              <w:rPr>
                <w:rFonts w:ascii="標楷體" w:eastAsia="標楷體" w:hAnsi="標楷體" w:hint="eastAsia"/>
                <w:szCs w:val="24"/>
              </w:rPr>
              <w:t>臺</w:t>
            </w:r>
            <w:proofErr w:type="gramEnd"/>
            <w:r w:rsidR="005D0E13">
              <w:rPr>
                <w:rFonts w:ascii="標楷體" w:eastAsia="標楷體" w:hAnsi="標楷體" w:hint="eastAsia"/>
                <w:szCs w:val="24"/>
              </w:rPr>
              <w:t>中市</w:t>
            </w:r>
            <w:r w:rsidR="005D0E13">
              <w:rPr>
                <w:rFonts w:ascii="標楷體" w:eastAsia="標楷體" w:hAnsi="標楷體" w:hint="eastAsia"/>
                <w:bCs/>
                <w:szCs w:val="24"/>
              </w:rPr>
              <w:t>騎樓開放空間設置綠美化設施及街道傢俱</w:t>
            </w:r>
            <w:r w:rsidR="005D0E13">
              <w:rPr>
                <w:rFonts w:ascii="標楷體" w:eastAsia="標楷體" w:hAnsi="標楷體" w:hint="eastAsia"/>
                <w:szCs w:val="24"/>
              </w:rPr>
              <w:t>標示牌</w:t>
            </w:r>
          </w:p>
        </w:tc>
      </w:tr>
      <w:tr w:rsidR="005D0E13">
        <w:trPr>
          <w:trHeight w:val="625"/>
        </w:trPr>
        <w:tc>
          <w:tcPr>
            <w:tcW w:w="2037" w:type="dxa"/>
            <w:vAlign w:val="center"/>
          </w:tcPr>
          <w:p w:rsidR="005D0E13" w:rsidRDefault="005D0E13">
            <w:pPr>
              <w:jc w:val="center"/>
              <w:rPr>
                <w:rFonts w:ascii="標楷體" w:eastAsia="標楷體" w:hAnsi="標楷體"/>
                <w:szCs w:val="24"/>
              </w:rPr>
            </w:pPr>
            <w:r>
              <w:rPr>
                <w:rFonts w:ascii="標楷體" w:eastAsia="標楷體" w:hAnsi="標楷體" w:hint="eastAsia"/>
                <w:szCs w:val="24"/>
              </w:rPr>
              <w:t>管理維護單位</w:t>
            </w:r>
          </w:p>
        </w:tc>
        <w:tc>
          <w:tcPr>
            <w:tcW w:w="2010" w:type="dxa"/>
          </w:tcPr>
          <w:p w:rsidR="005D0E13" w:rsidRDefault="005D0E13">
            <w:pPr>
              <w:jc w:val="both"/>
              <w:rPr>
                <w:rFonts w:ascii="標楷體" w:eastAsia="標楷體" w:hAnsi="標楷體"/>
                <w:szCs w:val="24"/>
              </w:rPr>
            </w:pPr>
          </w:p>
        </w:tc>
        <w:tc>
          <w:tcPr>
            <w:tcW w:w="1148" w:type="dxa"/>
            <w:gridSpan w:val="2"/>
            <w:vAlign w:val="center"/>
          </w:tcPr>
          <w:p w:rsidR="005D0E13" w:rsidRDefault="005D0E13">
            <w:pPr>
              <w:jc w:val="center"/>
              <w:rPr>
                <w:rFonts w:ascii="標楷體" w:eastAsia="標楷體" w:hAnsi="標楷體"/>
                <w:szCs w:val="24"/>
              </w:rPr>
            </w:pPr>
            <w:r>
              <w:rPr>
                <w:rFonts w:ascii="標楷體" w:eastAsia="標楷體" w:hAnsi="標楷體" w:hint="eastAsia"/>
                <w:szCs w:val="24"/>
              </w:rPr>
              <w:t>查報專線</w:t>
            </w:r>
          </w:p>
        </w:tc>
        <w:tc>
          <w:tcPr>
            <w:tcW w:w="2583" w:type="dxa"/>
          </w:tcPr>
          <w:p w:rsidR="005D0E13" w:rsidRDefault="005D0E13">
            <w:pPr>
              <w:jc w:val="both"/>
              <w:rPr>
                <w:rFonts w:ascii="標楷體" w:eastAsia="標楷體" w:hAnsi="標楷體"/>
                <w:szCs w:val="24"/>
              </w:rPr>
            </w:pPr>
            <w:proofErr w:type="gramStart"/>
            <w:r>
              <w:rPr>
                <w:rFonts w:ascii="標楷體" w:eastAsia="標楷體" w:hAnsi="標楷體" w:hint="eastAsia"/>
                <w:szCs w:val="24"/>
              </w:rPr>
              <w:t>臺</w:t>
            </w:r>
            <w:proofErr w:type="gramEnd"/>
            <w:r>
              <w:rPr>
                <w:rFonts w:ascii="標楷體" w:eastAsia="標楷體" w:hAnsi="標楷體" w:hint="eastAsia"/>
                <w:szCs w:val="24"/>
              </w:rPr>
              <w:t>中市政府都市發展局</w:t>
            </w:r>
          </w:p>
          <w:p w:rsidR="005D0E13" w:rsidRDefault="005D0E13">
            <w:pPr>
              <w:jc w:val="center"/>
              <w:rPr>
                <w:rFonts w:ascii="標楷體" w:eastAsia="標楷體" w:hAnsi="標楷體"/>
                <w:szCs w:val="24"/>
              </w:rPr>
            </w:pPr>
            <w:r>
              <w:rPr>
                <w:rFonts w:ascii="標楷體" w:eastAsia="標楷體" w:hAnsi="標楷體" w:hint="eastAsia"/>
                <w:szCs w:val="24"/>
              </w:rPr>
              <w:t>22289111分機64101</w:t>
            </w:r>
          </w:p>
        </w:tc>
      </w:tr>
      <w:tr w:rsidR="005D0E13">
        <w:trPr>
          <w:cantSplit/>
          <w:trHeight w:val="510"/>
        </w:trPr>
        <w:tc>
          <w:tcPr>
            <w:tcW w:w="2037" w:type="dxa"/>
            <w:vAlign w:val="center"/>
          </w:tcPr>
          <w:p w:rsidR="005D0E13" w:rsidRDefault="005D0E13">
            <w:pPr>
              <w:jc w:val="center"/>
              <w:rPr>
                <w:rFonts w:ascii="標楷體" w:eastAsia="標楷體" w:hAnsi="標楷體"/>
                <w:szCs w:val="24"/>
              </w:rPr>
            </w:pPr>
            <w:r>
              <w:rPr>
                <w:rFonts w:ascii="標楷體" w:eastAsia="標楷體" w:hAnsi="標楷體" w:hint="eastAsia"/>
                <w:szCs w:val="24"/>
              </w:rPr>
              <w:t>管理維護電話</w:t>
            </w:r>
          </w:p>
        </w:tc>
        <w:tc>
          <w:tcPr>
            <w:tcW w:w="2010" w:type="dxa"/>
            <w:vAlign w:val="center"/>
          </w:tcPr>
          <w:p w:rsidR="005D0E13" w:rsidRDefault="005D0E13">
            <w:pPr>
              <w:jc w:val="center"/>
              <w:rPr>
                <w:rFonts w:ascii="標楷體" w:eastAsia="標楷體" w:hAnsi="標楷體"/>
                <w:szCs w:val="24"/>
              </w:rPr>
            </w:pPr>
          </w:p>
        </w:tc>
        <w:tc>
          <w:tcPr>
            <w:tcW w:w="1140" w:type="dxa"/>
            <w:vMerge w:val="restart"/>
            <w:vAlign w:val="center"/>
          </w:tcPr>
          <w:p w:rsidR="005D0E13" w:rsidRDefault="005D0E13">
            <w:pPr>
              <w:jc w:val="center"/>
              <w:rPr>
                <w:rFonts w:ascii="標楷體" w:eastAsia="標楷體" w:hAnsi="標楷體"/>
                <w:szCs w:val="24"/>
              </w:rPr>
            </w:pPr>
            <w:r>
              <w:rPr>
                <w:rFonts w:ascii="標楷體" w:eastAsia="標楷體" w:hAnsi="標楷體" w:hint="eastAsia"/>
                <w:szCs w:val="24"/>
              </w:rPr>
              <w:t>設置依據</w:t>
            </w:r>
          </w:p>
        </w:tc>
        <w:tc>
          <w:tcPr>
            <w:tcW w:w="2591" w:type="dxa"/>
            <w:gridSpan w:val="2"/>
            <w:vMerge w:val="restart"/>
          </w:tcPr>
          <w:p w:rsidR="005D0E13" w:rsidRDefault="005D0E13">
            <w:pPr>
              <w:jc w:val="both"/>
              <w:rPr>
                <w:rFonts w:ascii="標楷體" w:eastAsia="標楷體" w:hAnsi="標楷體"/>
                <w:szCs w:val="24"/>
              </w:rPr>
            </w:pPr>
            <w:proofErr w:type="gramStart"/>
            <w:r>
              <w:rPr>
                <w:rFonts w:ascii="標楷體" w:eastAsia="標楷體" w:hAnsi="標楷體" w:hint="eastAsia"/>
                <w:bCs/>
                <w:szCs w:val="24"/>
              </w:rPr>
              <w:t>臺</w:t>
            </w:r>
            <w:proofErr w:type="gramEnd"/>
            <w:r>
              <w:rPr>
                <w:rFonts w:ascii="標楷體" w:eastAsia="標楷體" w:hAnsi="標楷體" w:hint="eastAsia"/>
                <w:bCs/>
                <w:szCs w:val="24"/>
              </w:rPr>
              <w:t>中市騎樓開放空間綠美化設施及街道傢俱設置管理辦法</w:t>
            </w:r>
          </w:p>
        </w:tc>
      </w:tr>
      <w:tr w:rsidR="005D0E13">
        <w:trPr>
          <w:cantSplit/>
          <w:trHeight w:val="510"/>
        </w:trPr>
        <w:tc>
          <w:tcPr>
            <w:tcW w:w="2037" w:type="dxa"/>
            <w:vAlign w:val="center"/>
          </w:tcPr>
          <w:p w:rsidR="005D0E13" w:rsidRDefault="005D0E13">
            <w:pPr>
              <w:jc w:val="center"/>
              <w:rPr>
                <w:rFonts w:ascii="標楷體" w:eastAsia="標楷體" w:hAnsi="標楷體"/>
                <w:szCs w:val="24"/>
              </w:rPr>
            </w:pPr>
            <w:r>
              <w:rPr>
                <w:rFonts w:ascii="標楷體" w:eastAsia="標楷體" w:hAnsi="標楷體" w:hint="eastAsia"/>
                <w:szCs w:val="24"/>
              </w:rPr>
              <w:t>許可證字號</w:t>
            </w:r>
          </w:p>
        </w:tc>
        <w:tc>
          <w:tcPr>
            <w:tcW w:w="2010" w:type="dxa"/>
            <w:vAlign w:val="center"/>
          </w:tcPr>
          <w:p w:rsidR="005D0E13" w:rsidRDefault="005D0E13">
            <w:pPr>
              <w:jc w:val="center"/>
              <w:rPr>
                <w:rFonts w:ascii="標楷體" w:eastAsia="標楷體" w:hAnsi="標楷體"/>
                <w:szCs w:val="24"/>
              </w:rPr>
            </w:pPr>
          </w:p>
        </w:tc>
        <w:tc>
          <w:tcPr>
            <w:tcW w:w="1140" w:type="dxa"/>
            <w:vMerge/>
          </w:tcPr>
          <w:p w:rsidR="005D0E13" w:rsidRDefault="005D0E13">
            <w:pPr>
              <w:jc w:val="both"/>
              <w:rPr>
                <w:rFonts w:ascii="標楷體" w:eastAsia="標楷體" w:hAnsi="標楷體"/>
                <w:szCs w:val="24"/>
              </w:rPr>
            </w:pPr>
          </w:p>
        </w:tc>
        <w:tc>
          <w:tcPr>
            <w:tcW w:w="2591" w:type="dxa"/>
            <w:gridSpan w:val="2"/>
            <w:vMerge/>
          </w:tcPr>
          <w:p w:rsidR="005D0E13" w:rsidRDefault="005D0E13">
            <w:pPr>
              <w:jc w:val="both"/>
              <w:rPr>
                <w:rFonts w:ascii="標楷體" w:eastAsia="標楷體" w:hAnsi="標楷體"/>
                <w:bCs/>
                <w:szCs w:val="24"/>
              </w:rPr>
            </w:pPr>
          </w:p>
        </w:tc>
      </w:tr>
      <w:tr w:rsidR="005D0E13">
        <w:trPr>
          <w:cantSplit/>
          <w:trHeight w:val="606"/>
        </w:trPr>
        <w:tc>
          <w:tcPr>
            <w:tcW w:w="2037" w:type="dxa"/>
            <w:vAlign w:val="center"/>
          </w:tcPr>
          <w:p w:rsidR="005D0E13" w:rsidRDefault="005D0E13">
            <w:pPr>
              <w:jc w:val="center"/>
              <w:rPr>
                <w:rFonts w:ascii="標楷體" w:eastAsia="標楷體" w:hAnsi="標楷體"/>
                <w:szCs w:val="24"/>
              </w:rPr>
            </w:pPr>
            <w:r>
              <w:rPr>
                <w:rFonts w:ascii="標楷體" w:eastAsia="標楷體" w:hAnsi="標楷體" w:hint="eastAsia"/>
                <w:szCs w:val="24"/>
              </w:rPr>
              <w:t>設施數量及種類</w:t>
            </w:r>
          </w:p>
        </w:tc>
        <w:tc>
          <w:tcPr>
            <w:tcW w:w="5741" w:type="dxa"/>
            <w:gridSpan w:val="4"/>
          </w:tcPr>
          <w:p w:rsidR="005D0E13" w:rsidRDefault="005D0E13">
            <w:pPr>
              <w:jc w:val="both"/>
              <w:rPr>
                <w:rFonts w:ascii="標楷體" w:eastAsia="標楷體" w:hAnsi="標楷體"/>
                <w:szCs w:val="24"/>
              </w:rPr>
            </w:pPr>
          </w:p>
        </w:tc>
      </w:tr>
      <w:tr w:rsidR="005D0E13">
        <w:trPr>
          <w:cantSplit/>
          <w:trHeight w:val="2725"/>
        </w:trPr>
        <w:tc>
          <w:tcPr>
            <w:tcW w:w="7778" w:type="dxa"/>
            <w:gridSpan w:val="5"/>
            <w:vAlign w:val="center"/>
          </w:tcPr>
          <w:p w:rsidR="005D0E13" w:rsidRDefault="005D0E13">
            <w:pPr>
              <w:jc w:val="center"/>
              <w:rPr>
                <w:rFonts w:ascii="標楷體" w:eastAsia="標楷體" w:hAnsi="標楷體"/>
                <w:szCs w:val="24"/>
              </w:rPr>
            </w:pPr>
            <w:r>
              <w:rPr>
                <w:rFonts w:ascii="標楷體" w:eastAsia="標楷體" w:hAnsi="標楷體" w:hint="eastAsia"/>
                <w:szCs w:val="24"/>
              </w:rPr>
              <w:t>設施內容及範圍示意圖</w:t>
            </w: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tbl>
            <w:tblPr>
              <w:tblpPr w:leftFromText="180" w:rightFromText="180" w:vertAnchor="text" w:horzAnchor="margin" w:tblpY="206"/>
              <w:tblOverlap w:val="never"/>
              <w:tblW w:w="2416" w:type="pct"/>
              <w:tblCellSpacing w:w="15" w:type="dxa"/>
              <w:tblCellMar>
                <w:top w:w="15" w:type="dxa"/>
                <w:left w:w="15" w:type="dxa"/>
                <w:bottom w:w="15" w:type="dxa"/>
                <w:right w:w="15" w:type="dxa"/>
              </w:tblCellMar>
              <w:tblLook w:val="0000"/>
            </w:tblPr>
            <w:tblGrid>
              <w:gridCol w:w="3731"/>
            </w:tblGrid>
            <w:tr w:rsidR="005D0E13">
              <w:trPr>
                <w:tblCellSpacing w:w="15" w:type="dxa"/>
              </w:trPr>
              <w:tc>
                <w:tcPr>
                  <w:tcW w:w="4920" w:type="pct"/>
                </w:tcPr>
                <w:p w:rsidR="005D0E13" w:rsidRDefault="005535CC">
                  <w:pPr>
                    <w:widowControl/>
                    <w:jc w:val="both"/>
                    <w:rPr>
                      <w:rFonts w:ascii="標楷體" w:eastAsia="標楷體" w:hAnsi="標楷體" w:cs="新細明體"/>
                      <w:kern w:val="0"/>
                      <w:szCs w:val="24"/>
                    </w:rPr>
                  </w:pPr>
                  <w:r>
                    <w:rPr>
                      <w:rFonts w:ascii="標楷體" w:eastAsia="標楷體" w:hAnsi="標楷體" w:cs="新細明體"/>
                      <w:noProof/>
                      <w:color w:val="000080"/>
                      <w:kern w:val="0"/>
                      <w:szCs w:val="24"/>
                    </w:rPr>
                    <w:drawing>
                      <wp:inline distT="0" distB="0" distL="0" distR="0">
                        <wp:extent cx="485775" cy="485775"/>
                        <wp:effectExtent l="19050" t="0" r="9525" b="0"/>
                        <wp:docPr id="1" name="圖片 1" descr="a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2284"/>
                                <pic:cNvPicPr>
                                  <a:picLocks noChangeAspect="1" noChangeArrowheads="1"/>
                                </pic:cNvPicPr>
                              </pic:nvPicPr>
                              <pic:blipFill>
                                <a:blip r:embed="rId7" cstate="print"/>
                                <a:srcRect/>
                                <a:stretch>
                                  <a:fillRect/>
                                </a:stretch>
                              </pic:blipFill>
                              <pic:spPr bwMode="auto">
                                <a:xfrm>
                                  <a:off x="0" y="0"/>
                                  <a:ext cx="485775" cy="485775"/>
                                </a:xfrm>
                                <a:prstGeom prst="rect">
                                  <a:avLst/>
                                </a:prstGeom>
                                <a:noFill/>
                                <a:ln w="9525">
                                  <a:noFill/>
                                  <a:miter lim="800000"/>
                                  <a:headEnd/>
                                  <a:tailEnd/>
                                </a:ln>
                              </pic:spPr>
                            </pic:pic>
                          </a:graphicData>
                        </a:graphic>
                      </wp:inline>
                    </w:drawing>
                  </w:r>
                  <w:r w:rsidR="005D0E13">
                    <w:rPr>
                      <w:rFonts w:ascii="標楷體" w:eastAsia="標楷體" w:hAnsi="標楷體" w:hint="eastAsia"/>
                      <w:b/>
                      <w:position w:val="28"/>
                      <w:szCs w:val="24"/>
                    </w:rPr>
                    <w:t>本許可範圍禁止機車進入</w:t>
                  </w:r>
                </w:p>
              </w:tc>
            </w:tr>
          </w:tbl>
          <w:p w:rsidR="005D0E13" w:rsidRDefault="003773E4">
            <w:pPr>
              <w:jc w:val="center"/>
              <w:rPr>
                <w:rFonts w:ascii="標楷體" w:eastAsia="標楷體" w:hAnsi="標楷體"/>
                <w:szCs w:val="24"/>
              </w:rPr>
            </w:pPr>
            <w:r>
              <w:rPr>
                <w:rFonts w:ascii="標楷體" w:eastAsia="標楷體" w:hAnsi="標楷體"/>
                <w:noProof/>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71" type="#_x0000_t136" style="position:absolute;left:0;text-align:left;margin-left:224.1pt;margin-top:-71.55pt;width:42.75pt;height:19.05pt;rotation:90;z-index:251655168;mso-position-horizontal-relative:text;mso-position-vertical-relative:text">
                  <v:shadow color="#868686"/>
                  <v:textpath style="font-family:&quot;新細明體&quot;;font-size:10pt;v-text-reverse:t;v-text-kern:t" trim="t" fitpath="t" string="40cm以上"/>
                </v:shape>
              </w:pict>
            </w: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p w:rsidR="005D0E13" w:rsidRDefault="005D0E13">
            <w:pPr>
              <w:jc w:val="center"/>
              <w:rPr>
                <w:rFonts w:ascii="標楷體" w:eastAsia="標楷體" w:hAnsi="標楷體"/>
                <w:szCs w:val="24"/>
              </w:rPr>
            </w:pPr>
          </w:p>
        </w:tc>
      </w:tr>
    </w:tbl>
    <w:p w:rsidR="005D0E13" w:rsidRDefault="003773E4">
      <w:pPr>
        <w:jc w:val="both"/>
        <w:rPr>
          <w:sz w:val="28"/>
          <w:szCs w:val="28"/>
        </w:rPr>
      </w:pPr>
      <w:r w:rsidRPr="003773E4">
        <w:rPr>
          <w:noProof/>
          <w:sz w:val="20"/>
          <w:szCs w:val="28"/>
        </w:rPr>
        <w:pict>
          <v:line id="_x0000_s1075" style="position:absolute;left:0;text-align:left;z-index:251659264;mso-position-horizontal-relative:text;mso-position-vertical-relative:text" from="401.8pt,.6pt" to="444.85pt,.6pt"/>
        </w:pict>
      </w:r>
      <w:r w:rsidRPr="003773E4">
        <w:rPr>
          <w:noProof/>
          <w:sz w:val="20"/>
          <w:szCs w:val="28"/>
        </w:rPr>
        <w:pict>
          <v:shape id="_x0000_s1076" type="#_x0000_t136" style="position:absolute;left:0;text-align:left;margin-left:172.2pt;margin-top:6.3pt;width:43.05pt;height:21.7pt;z-index:251660288;mso-position-horizontal-relative:text;mso-position-vertical-relative:text">
            <v:shadow color="#868686"/>
            <v:textpath style="font-family:&quot;新細明體&quot;;font-size:10pt;v-text-reverse:t;v-text-kern:t" trim="t" fitpath="t" string="50cm以上"/>
          </v:shape>
        </w:pict>
      </w:r>
      <w:r w:rsidRPr="003773E4">
        <w:rPr>
          <w:noProof/>
          <w:sz w:val="20"/>
          <w:szCs w:val="28"/>
        </w:rPr>
        <w:pict>
          <v:line id="_x0000_s1074" style="position:absolute;left:0;text-align:left;z-index:251658240;mso-position-horizontal-relative:text;mso-position-vertical-relative:text" from="0,28.7pt" to="387.45pt,28.7pt" strokeweight="1pt">
            <v:stroke startarrow="block" startarrowlength="long" endarrow="block" endarrowlength="long"/>
          </v:line>
        </w:pict>
      </w:r>
      <w:r w:rsidRPr="003773E4">
        <w:rPr>
          <w:noProof/>
          <w:sz w:val="20"/>
          <w:szCs w:val="28"/>
        </w:rPr>
        <w:pict>
          <v:line id="_x0000_s1073" style="position:absolute;left:0;text-align:left;z-index:251657216;mso-position-horizontal-relative:text;mso-position-vertical-relative:text" from="387.45pt,6.95pt" to="387.45pt,50.45pt"/>
        </w:pict>
      </w:r>
      <w:r w:rsidRPr="003773E4">
        <w:rPr>
          <w:noProof/>
          <w:sz w:val="20"/>
          <w:szCs w:val="28"/>
        </w:rPr>
        <w:pict>
          <v:line id="_x0000_s1072" style="position:absolute;left:0;text-align:left;z-index:251656192;mso-position-horizontal-relative:text;mso-position-vertical-relative:text" from="0,6.95pt" to="0,50.45pt"/>
        </w:pict>
      </w:r>
    </w:p>
    <w:p w:rsidR="005D0E13" w:rsidRDefault="005D0E13" w:rsidP="000B05C9">
      <w:pPr>
        <w:spacing w:beforeLines="50" w:afterLines="50"/>
        <w:ind w:left="280" w:hangingChars="100" w:hanging="280"/>
        <w:jc w:val="both"/>
        <w:rPr>
          <w:sz w:val="28"/>
          <w:szCs w:val="28"/>
        </w:rPr>
      </w:pPr>
    </w:p>
    <w:p w:rsidR="005D0E13" w:rsidRDefault="005D0E13">
      <w:pPr>
        <w:rPr>
          <w:rFonts w:eastAsia="標楷體"/>
          <w:bCs/>
          <w:sz w:val="28"/>
        </w:rPr>
      </w:pPr>
    </w:p>
    <w:p w:rsidR="005D0E13" w:rsidRDefault="005D0E13">
      <w:pPr>
        <w:rPr>
          <w:rFonts w:eastAsia="標楷體"/>
          <w:bCs/>
          <w:sz w:val="28"/>
        </w:rPr>
      </w:pPr>
    </w:p>
    <w:p w:rsidR="005D0E13" w:rsidRPr="00AA480C" w:rsidRDefault="005D0E13" w:rsidP="000B05C9">
      <w:pPr>
        <w:pStyle w:val="ab"/>
        <w:spacing w:afterLines="100" w:line="460" w:lineRule="exact"/>
        <w:ind w:left="0" w:firstLineChars="0" w:firstLine="0"/>
        <w:jc w:val="left"/>
        <w:rPr>
          <w:sz w:val="40"/>
          <w:szCs w:val="40"/>
        </w:rPr>
      </w:pPr>
    </w:p>
    <w:p w:rsidR="005D0E13" w:rsidRPr="008A56E1" w:rsidRDefault="005D0E13" w:rsidP="008A56E1">
      <w:pPr>
        <w:rPr>
          <w:rFonts w:eastAsia="標楷體"/>
          <w:bCs/>
          <w:sz w:val="28"/>
        </w:rPr>
      </w:pPr>
    </w:p>
    <w:sectPr w:rsidR="005D0E13" w:rsidRPr="008A56E1" w:rsidSect="003773E4">
      <w:footerReference w:type="even" r:id="rId8"/>
      <w:footerReference w:type="default" r:id="rId9"/>
      <w:pgSz w:w="11907" w:h="16840" w:code="9"/>
      <w:pgMar w:top="1418" w:right="1418" w:bottom="1418" w:left="1701"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5BDA" w:rsidRDefault="00A35BDA">
      <w:r>
        <w:separator/>
      </w:r>
    </w:p>
  </w:endnote>
  <w:endnote w:type="continuationSeparator" w:id="0">
    <w:p w:rsidR="00A35BDA" w:rsidRDefault="00A35B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3D4C" w:rsidRDefault="003773E4" w:rsidP="005C7FFD">
    <w:pPr>
      <w:pStyle w:val="a4"/>
      <w:framePr w:wrap="around" w:vAnchor="text" w:hAnchor="margin" w:xAlign="right" w:y="1"/>
      <w:rPr>
        <w:rStyle w:val="a5"/>
      </w:rPr>
    </w:pPr>
    <w:r>
      <w:rPr>
        <w:rStyle w:val="a5"/>
      </w:rPr>
      <w:fldChar w:fldCharType="begin"/>
    </w:r>
    <w:r w:rsidR="00573D4C">
      <w:rPr>
        <w:rStyle w:val="a5"/>
      </w:rPr>
      <w:instrText xml:space="preserve">PAGE  </w:instrText>
    </w:r>
    <w:r>
      <w:rPr>
        <w:rStyle w:val="a5"/>
      </w:rPr>
      <w:fldChar w:fldCharType="separate"/>
    </w:r>
    <w:r w:rsidR="00573D4C">
      <w:rPr>
        <w:rStyle w:val="a5"/>
        <w:noProof/>
      </w:rPr>
      <w:t>1</w:t>
    </w:r>
    <w:r>
      <w:rPr>
        <w:rStyle w:val="a5"/>
      </w:rPr>
      <w:fldChar w:fldCharType="end"/>
    </w:r>
  </w:p>
  <w:p w:rsidR="00573D4C" w:rsidRDefault="00573D4C" w:rsidP="005C7FFD">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FFD" w:rsidRDefault="003773E4" w:rsidP="0077707D">
    <w:pPr>
      <w:pStyle w:val="a4"/>
      <w:framePr w:wrap="around" w:vAnchor="text" w:hAnchor="margin" w:xAlign="right" w:y="1"/>
      <w:rPr>
        <w:rStyle w:val="a5"/>
      </w:rPr>
    </w:pPr>
    <w:r>
      <w:rPr>
        <w:rStyle w:val="a5"/>
      </w:rPr>
      <w:fldChar w:fldCharType="begin"/>
    </w:r>
    <w:r w:rsidR="005C7FFD">
      <w:rPr>
        <w:rStyle w:val="a5"/>
      </w:rPr>
      <w:instrText xml:space="preserve">PAGE  </w:instrText>
    </w:r>
    <w:r>
      <w:rPr>
        <w:rStyle w:val="a5"/>
      </w:rPr>
      <w:fldChar w:fldCharType="separate"/>
    </w:r>
    <w:r w:rsidR="000B05C9">
      <w:rPr>
        <w:rStyle w:val="a5"/>
        <w:noProof/>
      </w:rPr>
      <w:t>1</w:t>
    </w:r>
    <w:r>
      <w:rPr>
        <w:rStyle w:val="a5"/>
      </w:rPr>
      <w:fldChar w:fldCharType="end"/>
    </w:r>
  </w:p>
  <w:p w:rsidR="005C7FFD" w:rsidRDefault="005C7FFD" w:rsidP="005C7FFD">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5BDA" w:rsidRDefault="00A35BDA">
      <w:r>
        <w:separator/>
      </w:r>
    </w:p>
  </w:footnote>
  <w:footnote w:type="continuationSeparator" w:id="0">
    <w:p w:rsidR="00A35BDA" w:rsidRDefault="00A35B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57CE4"/>
    <w:multiLevelType w:val="hybridMultilevel"/>
    <w:tmpl w:val="7C5A13E0"/>
    <w:lvl w:ilvl="0" w:tplc="A5DA46D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42067C2"/>
    <w:multiLevelType w:val="hybridMultilevel"/>
    <w:tmpl w:val="D088AF30"/>
    <w:lvl w:ilvl="0" w:tplc="9746F1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38C50D02"/>
    <w:multiLevelType w:val="hybridMultilevel"/>
    <w:tmpl w:val="EBB8872E"/>
    <w:lvl w:ilvl="0" w:tplc="810AE5D6">
      <w:start w:val="2"/>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4CDB3FB6"/>
    <w:multiLevelType w:val="hybridMultilevel"/>
    <w:tmpl w:val="8DA0D84E"/>
    <w:lvl w:ilvl="0" w:tplc="7AFCA572">
      <w:start w:val="7"/>
      <w:numFmt w:val="taiwaneseCountingThousand"/>
      <w:lvlText w:val="第%1條"/>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SystemFonts/>
  <w:bordersDoNotSurroundHeader/>
  <w:bordersDoNotSurroundFooter/>
  <w:proofState w:spelling="clean" w:grammar="clean"/>
  <w:stylePaneFormatFilter w:val="3F01"/>
  <w:defaultTabStop w:val="454"/>
  <w:drawingGridHorizontalSpacing w:val="120"/>
  <w:drawingGridVerticalSpacing w:val="163"/>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AA480C"/>
    <w:rsid w:val="00017D67"/>
    <w:rsid w:val="000954D7"/>
    <w:rsid w:val="000B05C9"/>
    <w:rsid w:val="000F7E70"/>
    <w:rsid w:val="001A4EB6"/>
    <w:rsid w:val="001E0451"/>
    <w:rsid w:val="00251AA8"/>
    <w:rsid w:val="00286063"/>
    <w:rsid w:val="002E52C0"/>
    <w:rsid w:val="003773E4"/>
    <w:rsid w:val="00481053"/>
    <w:rsid w:val="004C3209"/>
    <w:rsid w:val="00507F2C"/>
    <w:rsid w:val="005535CC"/>
    <w:rsid w:val="00573D4C"/>
    <w:rsid w:val="005C7FFD"/>
    <w:rsid w:val="005D0E13"/>
    <w:rsid w:val="005E7A12"/>
    <w:rsid w:val="0077707D"/>
    <w:rsid w:val="00797112"/>
    <w:rsid w:val="007A226D"/>
    <w:rsid w:val="007D21D6"/>
    <w:rsid w:val="008A56E1"/>
    <w:rsid w:val="00950BBA"/>
    <w:rsid w:val="009963E1"/>
    <w:rsid w:val="00997E77"/>
    <w:rsid w:val="00A35BDA"/>
    <w:rsid w:val="00AA480C"/>
    <w:rsid w:val="00B91CCC"/>
    <w:rsid w:val="00BD4BB4"/>
    <w:rsid w:val="00C33E6D"/>
    <w:rsid w:val="00C93DA2"/>
    <w:rsid w:val="00DB1C37"/>
    <w:rsid w:val="00E43477"/>
    <w:rsid w:val="00FE032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3773E4"/>
    <w:pPr>
      <w:widowControl w:val="0"/>
    </w:pPr>
    <w:rPr>
      <w:kern w:val="2"/>
      <w:sz w:val="24"/>
    </w:rPr>
  </w:style>
  <w:style w:type="paragraph" w:styleId="1">
    <w:name w:val="heading 1"/>
    <w:basedOn w:val="a"/>
    <w:next w:val="a"/>
    <w:qFormat/>
    <w:rsid w:val="003773E4"/>
    <w:pPr>
      <w:keepNext/>
      <w:jc w:val="both"/>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3773E4"/>
    <w:pPr>
      <w:ind w:left="120"/>
    </w:pPr>
    <w:rPr>
      <w:sz w:val="28"/>
    </w:rPr>
  </w:style>
  <w:style w:type="paragraph" w:styleId="2">
    <w:name w:val="Body Text Indent 2"/>
    <w:basedOn w:val="a"/>
    <w:rsid w:val="003773E4"/>
    <w:pPr>
      <w:ind w:left="240"/>
    </w:pPr>
    <w:rPr>
      <w:sz w:val="28"/>
    </w:rPr>
  </w:style>
  <w:style w:type="paragraph" w:styleId="a4">
    <w:name w:val="footer"/>
    <w:basedOn w:val="a"/>
    <w:rsid w:val="003773E4"/>
    <w:pPr>
      <w:tabs>
        <w:tab w:val="center" w:pos="4153"/>
        <w:tab w:val="right" w:pos="8306"/>
      </w:tabs>
      <w:snapToGrid w:val="0"/>
    </w:pPr>
    <w:rPr>
      <w:sz w:val="20"/>
    </w:rPr>
  </w:style>
  <w:style w:type="character" w:styleId="a5">
    <w:name w:val="page number"/>
    <w:basedOn w:val="a0"/>
    <w:rsid w:val="003773E4"/>
  </w:style>
  <w:style w:type="paragraph" w:styleId="3">
    <w:name w:val="Body Text Indent 3"/>
    <w:basedOn w:val="a"/>
    <w:rsid w:val="003773E4"/>
    <w:pPr>
      <w:ind w:left="720" w:hanging="720"/>
      <w:jc w:val="both"/>
    </w:pPr>
  </w:style>
  <w:style w:type="paragraph" w:customStyle="1" w:styleId="a6">
    <w:name w:val="文三"/>
    <w:basedOn w:val="a"/>
    <w:rsid w:val="003773E4"/>
    <w:pPr>
      <w:snapToGrid w:val="0"/>
      <w:spacing w:line="400" w:lineRule="atLeast"/>
      <w:ind w:leftChars="500" w:left="3408" w:hangingChars="690" w:hanging="2208"/>
      <w:jc w:val="both"/>
    </w:pPr>
    <w:rPr>
      <w:rFonts w:ascii="標楷體" w:eastAsia="標楷體"/>
      <w:sz w:val="32"/>
      <w:szCs w:val="24"/>
    </w:rPr>
  </w:style>
  <w:style w:type="paragraph" w:styleId="a7">
    <w:name w:val="Body Text"/>
    <w:basedOn w:val="a"/>
    <w:rsid w:val="003773E4"/>
    <w:rPr>
      <w:rFonts w:ascii="標楷體" w:eastAsia="標楷體" w:hAnsi="標楷體"/>
      <w:b/>
      <w:bCs/>
      <w:color w:val="993366"/>
      <w:sz w:val="20"/>
      <w:u w:val="single"/>
    </w:rPr>
  </w:style>
  <w:style w:type="paragraph" w:styleId="20">
    <w:name w:val="Body Text 2"/>
    <w:basedOn w:val="a"/>
    <w:rsid w:val="003773E4"/>
    <w:pPr>
      <w:spacing w:line="0" w:lineRule="atLeast"/>
      <w:jc w:val="both"/>
    </w:pPr>
    <w:rPr>
      <w:rFonts w:ascii="標楷體" w:eastAsia="標楷體" w:hAnsi="標楷體"/>
      <w:sz w:val="20"/>
    </w:rPr>
  </w:style>
  <w:style w:type="paragraph" w:styleId="HTML">
    <w:name w:val="HTML Preformatted"/>
    <w:basedOn w:val="a"/>
    <w:rsid w:val="003773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Arial Unicode MS" w:hint="eastAsia"/>
      <w:kern w:val="0"/>
      <w:sz w:val="20"/>
    </w:rPr>
  </w:style>
  <w:style w:type="paragraph" w:styleId="a8">
    <w:name w:val="header"/>
    <w:basedOn w:val="a"/>
    <w:rsid w:val="003773E4"/>
    <w:pPr>
      <w:tabs>
        <w:tab w:val="center" w:pos="4153"/>
        <w:tab w:val="right" w:pos="8306"/>
      </w:tabs>
      <w:snapToGrid w:val="0"/>
    </w:pPr>
    <w:rPr>
      <w:sz w:val="20"/>
    </w:rPr>
  </w:style>
  <w:style w:type="character" w:styleId="a9">
    <w:name w:val="Strong"/>
    <w:qFormat/>
    <w:rsid w:val="003773E4"/>
    <w:rPr>
      <w:b/>
      <w:bCs/>
    </w:rPr>
  </w:style>
  <w:style w:type="paragraph" w:styleId="aa">
    <w:name w:val="Plain Text"/>
    <w:basedOn w:val="a"/>
    <w:rsid w:val="003773E4"/>
    <w:rPr>
      <w:rFonts w:ascii="細明體" w:eastAsia="細明體" w:hAnsi="Courier New"/>
    </w:rPr>
  </w:style>
  <w:style w:type="character" w:customStyle="1" w:styleId="10">
    <w:name w:val="字元 字元1"/>
    <w:rsid w:val="003773E4"/>
    <w:rPr>
      <w:rFonts w:ascii="細明體" w:eastAsia="細明體" w:hAnsi="Courier New"/>
      <w:kern w:val="2"/>
      <w:sz w:val="24"/>
    </w:rPr>
  </w:style>
  <w:style w:type="paragraph" w:customStyle="1" w:styleId="ab">
    <w:name w:val="草案條文"/>
    <w:basedOn w:val="a"/>
    <w:qFormat/>
    <w:rsid w:val="003773E4"/>
    <w:pPr>
      <w:ind w:left="283" w:hangingChars="118" w:hanging="283"/>
      <w:jc w:val="both"/>
    </w:pPr>
    <w:rPr>
      <w:rFonts w:ascii="標楷體" w:eastAsia="標楷體" w:hAnsi="標楷體"/>
      <w:color w:val="000000"/>
      <w:szCs w:val="24"/>
    </w:rPr>
  </w:style>
  <w:style w:type="paragraph" w:styleId="ac">
    <w:name w:val="Balloon Text"/>
    <w:basedOn w:val="a"/>
    <w:rsid w:val="003773E4"/>
    <w:rPr>
      <w:rFonts w:ascii="Cambria" w:hAnsi="Cambria"/>
      <w:sz w:val="18"/>
      <w:szCs w:val="18"/>
    </w:rPr>
  </w:style>
  <w:style w:type="character" w:customStyle="1" w:styleId="ad">
    <w:name w:val="字元 字元"/>
    <w:rsid w:val="003773E4"/>
    <w:rPr>
      <w:rFonts w:ascii="Cambria" w:eastAsia="新細明體" w:hAnsi="Cambria" w:cs="Times New Roman"/>
      <w:kern w:val="2"/>
      <w:sz w:val="18"/>
      <w:szCs w:val="18"/>
    </w:rPr>
  </w:style>
  <w:style w:type="character" w:customStyle="1" w:styleId="21">
    <w:name w:val="字元 字元2"/>
    <w:rsid w:val="003773E4"/>
    <w:rPr>
      <w:kern w:val="2"/>
    </w:rPr>
  </w:style>
  <w:style w:type="paragraph" w:styleId="30">
    <w:name w:val="Body Text 3"/>
    <w:basedOn w:val="a"/>
    <w:rsid w:val="003773E4"/>
    <w:pPr>
      <w:spacing w:line="500" w:lineRule="exact"/>
      <w:jc w:val="both"/>
    </w:pPr>
    <w:rPr>
      <w:rFonts w:eastAsia="標楷體"/>
      <w:b/>
      <w:sz w:val="40"/>
      <w:szCs w:val="4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244</Words>
  <Characters>1395</Characters>
  <Application>Microsoft Office Word</Application>
  <DocSecurity>0</DocSecurity>
  <Lines>11</Lines>
  <Paragraphs>3</Paragraphs>
  <ScaleCrop>false</ScaleCrop>
  <Company>Hewlett-Packard Company</Company>
  <LinksUpToDate>false</LinksUpToDate>
  <CharactersWithSpaces>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creator>a</dc:creator>
  <cp:lastModifiedBy>m71209</cp:lastModifiedBy>
  <cp:revision>3</cp:revision>
  <cp:lastPrinted>2011-09-01T08:25:00Z</cp:lastPrinted>
  <dcterms:created xsi:type="dcterms:W3CDTF">2016-05-17T02:13:00Z</dcterms:created>
  <dcterms:modified xsi:type="dcterms:W3CDTF">2016-05-19T05:10:00Z</dcterms:modified>
</cp:coreProperties>
</file>