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0E8" w:rsidRDefault="0042746F">
      <w:pPr>
        <w:jc w:val="center"/>
        <w:rPr>
          <w:rFonts w:ascii="標楷體" w:eastAsia="標楷體" w:hAnsi="標楷體" w:cs="標楷體"/>
          <w:b/>
          <w:color w:val="000000"/>
          <w:sz w:val="32"/>
          <w:szCs w:val="32"/>
        </w:rPr>
      </w:pPr>
      <w:bookmarkStart w:id="0" w:name="_GoBack"/>
      <w:r>
        <w:rPr>
          <w:rFonts w:ascii="標楷體" w:eastAsia="標楷體" w:hAnsi="標楷體" w:cs="標楷體" w:hint="eastAsia"/>
          <w:b/>
          <w:color w:val="000000"/>
          <w:sz w:val="32"/>
          <w:szCs w:val="32"/>
        </w:rPr>
        <w:t>臺中市</w:t>
      </w:r>
      <w:r w:rsidR="008B002D">
        <w:rPr>
          <w:rFonts w:ascii="標楷體" w:eastAsia="標楷體" w:hAnsi="標楷體" w:cs="標楷體"/>
          <w:b/>
          <w:color w:val="000000"/>
          <w:sz w:val="32"/>
          <w:szCs w:val="32"/>
        </w:rPr>
        <w:t>公共工程</w:t>
      </w:r>
      <w:r w:rsidR="00CA2A2C">
        <w:rPr>
          <w:rFonts w:ascii="標楷體" w:eastAsia="標楷體" w:hAnsi="標楷體" w:cs="標楷體" w:hint="eastAsia"/>
          <w:b/>
          <w:color w:val="000000"/>
          <w:sz w:val="32"/>
          <w:szCs w:val="32"/>
        </w:rPr>
        <w:t>營建</w:t>
      </w:r>
      <w:r w:rsidR="005F552B">
        <w:rPr>
          <w:rFonts w:ascii="標楷體" w:eastAsia="標楷體" w:hAnsi="標楷體" w:cs="標楷體"/>
          <w:b/>
          <w:color w:val="000000"/>
          <w:sz w:val="32"/>
          <w:szCs w:val="32"/>
        </w:rPr>
        <w:t>賸</w:t>
      </w:r>
      <w:r w:rsidR="008B002D">
        <w:rPr>
          <w:rFonts w:ascii="標楷體" w:eastAsia="標楷體" w:hAnsi="標楷體" w:cs="標楷體"/>
          <w:b/>
          <w:color w:val="000000"/>
          <w:sz w:val="32"/>
          <w:szCs w:val="32"/>
        </w:rPr>
        <w:t>餘土石方考核表</w:t>
      </w:r>
    </w:p>
    <w:bookmarkEnd w:id="0"/>
    <w:tbl>
      <w:tblPr>
        <w:tblW w:w="9191" w:type="dxa"/>
        <w:jc w:val="center"/>
        <w:tblLook w:val="0000" w:firstRow="0" w:lastRow="0" w:firstColumn="0" w:lastColumn="0" w:noHBand="0" w:noVBand="0"/>
      </w:tblPr>
      <w:tblGrid>
        <w:gridCol w:w="5010"/>
        <w:gridCol w:w="4181"/>
      </w:tblGrid>
      <w:tr w:rsidR="00C620E8">
        <w:trPr>
          <w:jc w:val="center"/>
        </w:trPr>
        <w:tc>
          <w:tcPr>
            <w:tcW w:w="5010" w:type="dxa"/>
            <w:shd w:val="clear" w:color="auto" w:fill="auto"/>
          </w:tcPr>
          <w:p w:rsidR="00C620E8" w:rsidRDefault="00C620E8">
            <w:pPr>
              <w:snapToGrid w:val="0"/>
              <w:rPr>
                <w:rFonts w:ascii="標楷體" w:eastAsia="標楷體" w:hAnsi="標楷體" w:cs="標楷體"/>
                <w:color w:val="000000"/>
                <w:sz w:val="20"/>
                <w:szCs w:val="20"/>
              </w:rPr>
            </w:pPr>
          </w:p>
        </w:tc>
        <w:tc>
          <w:tcPr>
            <w:tcW w:w="4181"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日期：    年    月    日</w:t>
            </w:r>
          </w:p>
        </w:tc>
      </w:tr>
      <w:tr w:rsidR="00C620E8">
        <w:trPr>
          <w:jc w:val="center"/>
        </w:trPr>
        <w:tc>
          <w:tcPr>
            <w:tcW w:w="5010"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工程主辦（管）機關：</w:t>
            </w:r>
          </w:p>
        </w:tc>
        <w:tc>
          <w:tcPr>
            <w:tcW w:w="4181"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工程名稱：</w:t>
            </w:r>
          </w:p>
        </w:tc>
      </w:tr>
      <w:tr w:rsidR="00C620E8">
        <w:trPr>
          <w:jc w:val="center"/>
        </w:trPr>
        <w:tc>
          <w:tcPr>
            <w:tcW w:w="5010"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工程所在地點：</w:t>
            </w:r>
          </w:p>
        </w:tc>
        <w:tc>
          <w:tcPr>
            <w:tcW w:w="4181"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承攬廠商：</w:t>
            </w:r>
          </w:p>
        </w:tc>
      </w:tr>
      <w:tr w:rsidR="00C620E8">
        <w:trPr>
          <w:jc w:val="center"/>
        </w:trPr>
        <w:tc>
          <w:tcPr>
            <w:tcW w:w="5010"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收容處理場所：</w:t>
            </w:r>
          </w:p>
        </w:tc>
        <w:tc>
          <w:tcPr>
            <w:tcW w:w="4181" w:type="dxa"/>
            <w:shd w:val="clear" w:color="auto" w:fill="auto"/>
          </w:tcPr>
          <w:p w:rsidR="00C620E8" w:rsidRDefault="008B002D">
            <w:pPr>
              <w:rPr>
                <w:rFonts w:ascii="標楷體" w:eastAsia="標楷體" w:hAnsi="標楷體" w:cs="標楷體"/>
                <w:color w:val="000000"/>
                <w:sz w:val="20"/>
                <w:szCs w:val="20"/>
              </w:rPr>
            </w:pPr>
            <w:r>
              <w:rPr>
                <w:rFonts w:ascii="標楷體" w:eastAsia="標楷體" w:hAnsi="標楷體" w:cs="標楷體"/>
                <w:color w:val="000000"/>
                <w:sz w:val="20"/>
                <w:szCs w:val="20"/>
              </w:rPr>
              <w:t>收容處理場所所在直轄市、縣（市）：</w:t>
            </w:r>
          </w:p>
        </w:tc>
      </w:tr>
    </w:tbl>
    <w:p w:rsidR="00C620E8" w:rsidRDefault="00C620E8">
      <w:pPr>
        <w:jc w:val="center"/>
        <w:rPr>
          <w:rFonts w:ascii="標楷體" w:eastAsia="標楷體" w:hAnsi="標楷體" w:cs="標楷體"/>
          <w:color w:val="000000"/>
          <w:sz w:val="20"/>
          <w:szCs w:val="20"/>
        </w:rPr>
      </w:pPr>
    </w:p>
    <w:tbl>
      <w:tblPr>
        <w:tblW w:w="9660" w:type="dxa"/>
        <w:jc w:val="center"/>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2167"/>
        <w:gridCol w:w="2062"/>
        <w:gridCol w:w="616"/>
        <w:gridCol w:w="596"/>
        <w:gridCol w:w="596"/>
        <w:gridCol w:w="405"/>
        <w:gridCol w:w="15"/>
        <w:gridCol w:w="1459"/>
        <w:gridCol w:w="1744"/>
      </w:tblGrid>
      <w:tr w:rsidR="00037B6C" w:rsidTr="00037B6C">
        <w:trPr>
          <w:cantSplit/>
          <w:tblHeader/>
          <w:jc w:val="center"/>
        </w:trPr>
        <w:tc>
          <w:tcPr>
            <w:tcW w:w="2167" w:type="dxa"/>
            <w:vMerge w:val="restart"/>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pPr>
              <w:snapToGrid w:val="0"/>
              <w:jc w:val="center"/>
              <w:rPr>
                <w:rFonts w:ascii="標楷體" w:eastAsia="標楷體" w:hAnsi="標楷體" w:cs="標楷體"/>
                <w:color w:val="000000"/>
                <w:sz w:val="20"/>
                <w:szCs w:val="20"/>
              </w:rPr>
            </w:pPr>
          </w:p>
        </w:tc>
        <w:tc>
          <w:tcPr>
            <w:tcW w:w="2062" w:type="dxa"/>
            <w:vMerge w:val="restart"/>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pPr>
              <w:jc w:val="center"/>
              <w:rPr>
                <w:rFonts w:ascii="標楷體" w:eastAsia="標楷體" w:hAnsi="標楷體" w:cs="標楷體"/>
                <w:color w:val="000000"/>
                <w:sz w:val="20"/>
                <w:szCs w:val="20"/>
              </w:rPr>
            </w:pPr>
            <w:r>
              <w:rPr>
                <w:rFonts w:ascii="標楷體" w:eastAsia="標楷體" w:hAnsi="標楷體" w:cs="標楷體"/>
                <w:color w:val="000000"/>
                <w:sz w:val="20"/>
                <w:szCs w:val="20"/>
              </w:rPr>
              <w:t>督導考核項目</w:t>
            </w:r>
          </w:p>
        </w:tc>
        <w:tc>
          <w:tcPr>
            <w:tcW w:w="1808" w:type="dxa"/>
            <w:gridSpan w:val="3"/>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pPr>
              <w:jc w:val="center"/>
              <w:rPr>
                <w:rFonts w:ascii="標楷體" w:eastAsia="標楷體" w:hAnsi="標楷體" w:cs="標楷體"/>
                <w:color w:val="000000"/>
                <w:sz w:val="20"/>
                <w:szCs w:val="20"/>
              </w:rPr>
            </w:pPr>
            <w:r>
              <w:rPr>
                <w:rFonts w:ascii="標楷體" w:eastAsia="標楷體" w:hAnsi="標楷體" w:cs="標楷體"/>
                <w:color w:val="000000"/>
                <w:sz w:val="20"/>
                <w:szCs w:val="20"/>
              </w:rPr>
              <w:t>辦理情形（勾選）</w:t>
            </w:r>
          </w:p>
        </w:tc>
        <w:tc>
          <w:tcPr>
            <w:tcW w:w="420" w:type="dxa"/>
            <w:gridSpan w:val="2"/>
            <w:vMerge w:val="restart"/>
            <w:tcBorders>
              <w:top w:val="single" w:sz="4" w:space="0" w:color="000000"/>
              <w:left w:val="single" w:sz="4" w:space="0" w:color="000000"/>
              <w:bottom w:val="single" w:sz="4" w:space="0" w:color="000000"/>
              <w:right w:val="single" w:sz="4" w:space="0" w:color="auto"/>
            </w:tcBorders>
            <w:shd w:val="clear" w:color="auto" w:fill="auto"/>
            <w:tcMar>
              <w:left w:w="103" w:type="dxa"/>
            </w:tcMar>
            <w:vAlign w:val="center"/>
          </w:tcPr>
          <w:p w:rsidR="00037B6C" w:rsidRDefault="00037B6C" w:rsidP="00037B6C">
            <w:pPr>
              <w:jc w:val="center"/>
              <w:rPr>
                <w:rFonts w:ascii="標楷體" w:eastAsia="標楷體" w:hAnsi="標楷體" w:cs="標楷體"/>
                <w:color w:val="000000"/>
                <w:sz w:val="20"/>
                <w:szCs w:val="20"/>
              </w:rPr>
            </w:pPr>
            <w:r>
              <w:rPr>
                <w:rFonts w:ascii="標楷體" w:eastAsia="標楷體" w:hAnsi="標楷體" w:cs="標楷體" w:hint="eastAsia"/>
                <w:color w:val="000000"/>
                <w:sz w:val="20"/>
                <w:szCs w:val="20"/>
              </w:rPr>
              <w:t>不需辦理</w:t>
            </w:r>
          </w:p>
        </w:tc>
        <w:tc>
          <w:tcPr>
            <w:tcW w:w="1459" w:type="dxa"/>
            <w:vMerge w:val="restart"/>
            <w:tcBorders>
              <w:top w:val="single" w:sz="4" w:space="0" w:color="000000"/>
              <w:left w:val="single" w:sz="4" w:space="0" w:color="auto"/>
              <w:bottom w:val="single" w:sz="4" w:space="0" w:color="000000"/>
            </w:tcBorders>
            <w:shd w:val="clear" w:color="auto" w:fill="auto"/>
            <w:vAlign w:val="center"/>
          </w:tcPr>
          <w:p w:rsidR="00037B6C" w:rsidRDefault="00037B6C" w:rsidP="00037B6C">
            <w:pPr>
              <w:jc w:val="center"/>
              <w:rPr>
                <w:rFonts w:ascii="標楷體" w:eastAsia="標楷體" w:hAnsi="標楷體" w:cs="標楷體"/>
                <w:color w:val="000000"/>
                <w:sz w:val="20"/>
                <w:szCs w:val="20"/>
              </w:rPr>
            </w:pPr>
            <w:r>
              <w:rPr>
                <w:rFonts w:ascii="標楷體" w:eastAsia="標楷體" w:hAnsi="標楷體" w:cs="標楷體"/>
                <w:color w:val="000000"/>
                <w:sz w:val="20"/>
                <w:szCs w:val="20"/>
              </w:rPr>
              <w:t>督導情形</w:t>
            </w:r>
          </w:p>
        </w:tc>
        <w:tc>
          <w:tcPr>
            <w:tcW w:w="1744" w:type="dxa"/>
            <w:vMerge w:val="restart"/>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rsidR="00037B6C" w:rsidRDefault="00037B6C">
            <w:pPr>
              <w:jc w:val="center"/>
              <w:rPr>
                <w:rFonts w:ascii="標楷體" w:eastAsia="標楷體" w:hAnsi="標楷體" w:cs="標楷體"/>
                <w:color w:val="000000"/>
                <w:sz w:val="20"/>
                <w:szCs w:val="20"/>
              </w:rPr>
            </w:pPr>
            <w:r>
              <w:rPr>
                <w:rFonts w:ascii="標楷體" w:eastAsia="標楷體" w:hAnsi="標楷體" w:cs="標楷體"/>
                <w:color w:val="000000"/>
                <w:sz w:val="20"/>
                <w:szCs w:val="20"/>
              </w:rPr>
              <w:t>待改善或</w:t>
            </w:r>
          </w:p>
          <w:p w:rsidR="00037B6C" w:rsidRDefault="00037B6C">
            <w:pPr>
              <w:jc w:val="center"/>
              <w:rPr>
                <w:rFonts w:ascii="標楷體" w:eastAsia="標楷體" w:hAnsi="標楷體" w:cs="標楷體"/>
                <w:color w:val="000000"/>
                <w:sz w:val="20"/>
                <w:szCs w:val="20"/>
              </w:rPr>
            </w:pPr>
            <w:r>
              <w:rPr>
                <w:rFonts w:ascii="標楷體" w:eastAsia="標楷體" w:hAnsi="標楷體" w:cs="標楷體"/>
                <w:color w:val="000000"/>
                <w:sz w:val="20"/>
                <w:szCs w:val="20"/>
              </w:rPr>
              <w:t>建議事項</w:t>
            </w:r>
          </w:p>
        </w:tc>
      </w:tr>
      <w:tr w:rsidR="00037B6C" w:rsidTr="00037B6C">
        <w:trPr>
          <w:cantSplit/>
          <w:trHeight w:val="1134"/>
          <w:tblHeader/>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tc>
        <w:tc>
          <w:tcPr>
            <w:tcW w:w="2062" w:type="dxa"/>
            <w:vMerge/>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tc>
        <w:tc>
          <w:tcPr>
            <w:tcW w:w="616" w:type="dxa"/>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rsidP="00037B6C">
            <w:pPr>
              <w:jc w:val="both"/>
              <w:rPr>
                <w:rFonts w:ascii="標楷體" w:eastAsia="標楷體" w:hAnsi="標楷體" w:cs="標楷體"/>
                <w:color w:val="000000"/>
                <w:sz w:val="20"/>
                <w:szCs w:val="20"/>
              </w:rPr>
            </w:pPr>
            <w:r>
              <w:rPr>
                <w:rFonts w:ascii="標楷體" w:eastAsia="標楷體" w:hAnsi="標楷體" w:cs="標楷體"/>
                <w:color w:val="000000"/>
                <w:sz w:val="20"/>
                <w:szCs w:val="20"/>
              </w:rPr>
              <w:t>完整</w:t>
            </w:r>
          </w:p>
        </w:tc>
        <w:tc>
          <w:tcPr>
            <w:tcW w:w="596" w:type="dxa"/>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rsidP="00037B6C">
            <w:pPr>
              <w:jc w:val="both"/>
              <w:rPr>
                <w:rFonts w:ascii="標楷體" w:eastAsia="標楷體" w:hAnsi="標楷體" w:cs="標楷體"/>
                <w:color w:val="000000"/>
                <w:sz w:val="20"/>
                <w:szCs w:val="20"/>
              </w:rPr>
            </w:pPr>
            <w:r>
              <w:rPr>
                <w:rFonts w:ascii="標楷體" w:eastAsia="標楷體" w:hAnsi="標楷體" w:cs="標楷體"/>
                <w:color w:val="000000"/>
                <w:sz w:val="20"/>
                <w:szCs w:val="20"/>
              </w:rPr>
              <w:t>尚可</w:t>
            </w:r>
          </w:p>
        </w:tc>
        <w:tc>
          <w:tcPr>
            <w:tcW w:w="596" w:type="dxa"/>
            <w:tcBorders>
              <w:top w:val="single" w:sz="4" w:space="0" w:color="000000"/>
              <w:left w:val="single" w:sz="4" w:space="0" w:color="000000"/>
              <w:bottom w:val="single" w:sz="4" w:space="0" w:color="000000"/>
            </w:tcBorders>
            <w:shd w:val="clear" w:color="auto" w:fill="auto"/>
            <w:tcMar>
              <w:left w:w="103" w:type="dxa"/>
            </w:tcMar>
            <w:vAlign w:val="center"/>
          </w:tcPr>
          <w:p w:rsidR="00037B6C" w:rsidRDefault="00037B6C" w:rsidP="00037B6C">
            <w:pPr>
              <w:jc w:val="both"/>
              <w:rPr>
                <w:rFonts w:ascii="標楷體" w:eastAsia="標楷體" w:hAnsi="標楷體" w:cs="標楷體"/>
                <w:color w:val="000000"/>
                <w:sz w:val="20"/>
                <w:szCs w:val="20"/>
              </w:rPr>
            </w:pPr>
            <w:r>
              <w:rPr>
                <w:rFonts w:ascii="標楷體" w:eastAsia="標楷體" w:hAnsi="標楷體" w:cs="標楷體"/>
                <w:color w:val="000000"/>
                <w:sz w:val="20"/>
                <w:szCs w:val="20"/>
              </w:rPr>
              <w:t>待改善</w:t>
            </w:r>
          </w:p>
        </w:tc>
        <w:tc>
          <w:tcPr>
            <w:tcW w:w="420" w:type="dxa"/>
            <w:gridSpan w:val="2"/>
            <w:vMerge/>
            <w:tcBorders>
              <w:top w:val="single" w:sz="4" w:space="0" w:color="000000"/>
              <w:left w:val="single" w:sz="4" w:space="0" w:color="000000"/>
              <w:bottom w:val="single" w:sz="4" w:space="0" w:color="000000"/>
              <w:right w:val="single" w:sz="4" w:space="0" w:color="auto"/>
            </w:tcBorders>
            <w:shd w:val="clear" w:color="auto" w:fill="auto"/>
            <w:tcMar>
              <w:left w:w="103" w:type="dxa"/>
            </w:tcMar>
            <w:vAlign w:val="center"/>
          </w:tcPr>
          <w:p w:rsidR="00037B6C" w:rsidRDefault="00037B6C"/>
        </w:tc>
        <w:tc>
          <w:tcPr>
            <w:tcW w:w="1459" w:type="dxa"/>
            <w:vMerge/>
            <w:tcBorders>
              <w:top w:val="single" w:sz="4" w:space="0" w:color="000000"/>
              <w:left w:val="single" w:sz="4" w:space="0" w:color="auto"/>
              <w:bottom w:val="single" w:sz="4" w:space="0" w:color="000000"/>
            </w:tcBorders>
            <w:shd w:val="clear" w:color="auto" w:fill="auto"/>
            <w:vAlign w:val="center"/>
          </w:tcPr>
          <w:p w:rsidR="00037B6C" w:rsidRDefault="00037B6C"/>
        </w:tc>
        <w:tc>
          <w:tcPr>
            <w:tcW w:w="1744" w:type="dxa"/>
            <w:vMerge/>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rsidR="00037B6C" w:rsidRDefault="00037B6C"/>
        </w:tc>
      </w:tr>
      <w:tr w:rsidR="00037B6C" w:rsidTr="00037B6C">
        <w:trPr>
          <w:cantSplit/>
          <w:jc w:val="center"/>
        </w:trPr>
        <w:tc>
          <w:tcPr>
            <w:tcW w:w="2167" w:type="dxa"/>
            <w:vMerge w:val="restart"/>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spacing w:line="240" w:lineRule="atLeast"/>
              <w:jc w:val="both"/>
              <w:rPr>
                <w:rFonts w:ascii="標楷體" w:eastAsia="標楷體" w:hAnsi="標楷體" w:cs="標楷體-WinCharSetFFFF-H;Arial Unic"/>
                <w:color w:val="000000"/>
                <w:sz w:val="20"/>
                <w:szCs w:val="20"/>
              </w:rPr>
            </w:pPr>
            <w:r>
              <w:rPr>
                <w:rFonts w:ascii="標楷體" w:eastAsia="標楷體" w:hAnsi="標楷體" w:cs="標楷體-WinCharSetFFFF-H;Arial Unic"/>
                <w:color w:val="000000"/>
                <w:sz w:val="20"/>
                <w:szCs w:val="20"/>
              </w:rPr>
              <w:t>一、</w:t>
            </w:r>
            <w:r w:rsidR="004F000D" w:rsidRPr="004F000D">
              <w:rPr>
                <w:rFonts w:ascii="標楷體" w:eastAsia="標楷體" w:hAnsi="標楷體" w:cs="標楷體-WinCharSetFFFF-H;Arial Unic" w:hint="eastAsia"/>
                <w:color w:val="000000"/>
                <w:sz w:val="20"/>
                <w:szCs w:val="20"/>
              </w:rPr>
              <w:t>公共工程挖填土石方應力求平衡及減量，並對收容處理方式整體評估及規劃，餘土應訂定處理計畫，並納入工程施工計畫管理，由工程主辦機關負責督導、查核及管制餘土之處理。</w:t>
            </w:r>
          </w:p>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1</w:t>
            </w:r>
            <w:r>
              <w:rPr>
                <w:rFonts w:ascii="標楷體" w:eastAsia="標楷體" w:hAnsi="標楷體" w:cs="標楷體-WinCharSetFFFF-H;Arial Unic"/>
                <w:color w:val="000000"/>
                <w:sz w:val="20"/>
                <w:szCs w:val="20"/>
              </w:rPr>
              <w:t>、</w:t>
            </w:r>
            <w:r w:rsidR="00242E86" w:rsidRPr="00242E86">
              <w:rPr>
                <w:rFonts w:ascii="標楷體" w:eastAsia="標楷體" w:hAnsi="標楷體" w:cs="標楷體-WinCharSetFFFF-H;Arial Unic" w:hint="eastAsia"/>
                <w:color w:val="000000"/>
                <w:sz w:val="20"/>
                <w:szCs w:val="20"/>
              </w:rPr>
              <w:t>工程預期總出土量達五十萬立方公尺以上者，工程主辦機關</w:t>
            </w:r>
            <w:r w:rsidR="00242E86">
              <w:rPr>
                <w:rFonts w:ascii="標楷體" w:eastAsia="標楷體" w:hAnsi="標楷體" w:cs="標楷體-WinCharSetFFFF-H;Arial Unic" w:hint="eastAsia"/>
                <w:color w:val="000000"/>
                <w:sz w:val="20"/>
                <w:szCs w:val="20"/>
              </w:rPr>
              <w:t>是否</w:t>
            </w:r>
            <w:r w:rsidR="00242E86" w:rsidRPr="00242E86">
              <w:rPr>
                <w:rFonts w:ascii="標楷體" w:eastAsia="標楷體" w:hAnsi="標楷體" w:cs="標楷體-WinCharSetFFFF-H;Arial Unic" w:hint="eastAsia"/>
                <w:color w:val="000000"/>
                <w:sz w:val="20"/>
                <w:szCs w:val="20"/>
              </w:rPr>
              <w:t>評估自行設置、審查或特約收容處理場所</w:t>
            </w:r>
            <w:r>
              <w:rPr>
                <w:rFonts w:ascii="標楷體" w:eastAsia="標楷體" w:hAnsi="標楷體" w:cs="標楷體-WinCharSetFFFF-H;Arial Unic"/>
                <w:color w:val="000000"/>
                <w:sz w:val="20"/>
                <w:szCs w:val="20"/>
              </w:rPr>
              <w:t>。</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2</w:t>
            </w:r>
            <w:r>
              <w:rPr>
                <w:rFonts w:ascii="標楷體" w:eastAsia="標楷體" w:hAnsi="標楷體" w:cs="標楷體-WinCharSetFFFF-H;Arial Unic"/>
                <w:color w:val="000000"/>
                <w:sz w:val="20"/>
                <w:szCs w:val="20"/>
              </w:rPr>
              <w:t>、於辦理規劃設計時，是否責成規劃設計單位力求挖填土石方之平衡。</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3</w:t>
            </w:r>
            <w:r>
              <w:rPr>
                <w:rFonts w:ascii="標楷體" w:eastAsia="標楷體" w:hAnsi="標楷體" w:cs="標楷體-WinCharSetFFFF-H;Arial Unic"/>
                <w:color w:val="000000"/>
                <w:sz w:val="20"/>
                <w:szCs w:val="20"/>
              </w:rPr>
              <w:t>、如有賸餘或不足土石方時，是否向資訊服務中心申報土石方資料與辦理撮合交換利用。</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4</w:t>
            </w:r>
            <w:r>
              <w:rPr>
                <w:rFonts w:ascii="標楷體" w:eastAsia="標楷體" w:hAnsi="標楷體" w:cs="標楷體-WinCharSetFFFF-H;Arial Unic"/>
                <w:color w:val="000000"/>
                <w:sz w:val="20"/>
                <w:szCs w:val="20"/>
              </w:rPr>
              <w:t>、</w:t>
            </w:r>
            <w:r w:rsidR="00242E86" w:rsidRPr="00242E86">
              <w:rPr>
                <w:rFonts w:ascii="標楷體" w:eastAsia="標楷體" w:hAnsi="標楷體" w:cs="標楷體-WinCharSetFFFF-H;Arial Unic" w:hint="eastAsia"/>
                <w:color w:val="000000"/>
                <w:sz w:val="20"/>
                <w:szCs w:val="20"/>
              </w:rPr>
              <w:t>逕為交易</w:t>
            </w:r>
            <w:r w:rsidR="00242E86">
              <w:rPr>
                <w:rFonts w:ascii="標楷體" w:eastAsia="標楷體" w:hAnsi="標楷體" w:cs="標楷體-WinCharSetFFFF-H;Arial Unic" w:hint="eastAsia"/>
                <w:color w:val="000000"/>
                <w:sz w:val="20"/>
                <w:szCs w:val="20"/>
              </w:rPr>
              <w:t>是否</w:t>
            </w:r>
            <w:r w:rsidR="00242E86" w:rsidRPr="00242E86">
              <w:rPr>
                <w:rFonts w:ascii="標楷體" w:eastAsia="標楷體" w:hAnsi="標楷體" w:cs="標楷體-WinCharSetFFFF-H;Arial Unic" w:hint="eastAsia"/>
                <w:color w:val="000000"/>
                <w:sz w:val="20"/>
                <w:szCs w:val="20"/>
              </w:rPr>
              <w:t>由工程主辦機關估算其處理成本及價值，列入競標工程項目，並明定於預算及工程契約書。</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val="restart"/>
            <w:tcBorders>
              <w:top w:val="single" w:sz="4" w:space="0" w:color="000000"/>
              <w:left w:val="single" w:sz="4" w:space="0" w:color="000000"/>
              <w:bottom w:val="single" w:sz="4" w:space="0" w:color="000000"/>
            </w:tcBorders>
            <w:shd w:val="clear" w:color="auto" w:fill="auto"/>
            <w:tcMar>
              <w:left w:w="103" w:type="dxa"/>
            </w:tcMar>
          </w:tcPr>
          <w:p w:rsidR="00037B6C" w:rsidRPr="005F552B" w:rsidRDefault="00037B6C" w:rsidP="00961EB7">
            <w:pPr>
              <w:autoSpaceDE w:val="0"/>
              <w:jc w:val="both"/>
              <w:rPr>
                <w:rFonts w:ascii="標楷體" w:eastAsia="標楷體" w:hAnsi="標楷體" w:cs="標楷體-WinCharSetFFFF-H;Arial Unic"/>
                <w:sz w:val="20"/>
                <w:szCs w:val="20"/>
              </w:rPr>
            </w:pPr>
            <w:r>
              <w:rPr>
                <w:rFonts w:ascii="標楷體" w:eastAsia="標楷體" w:hAnsi="標楷體" w:cs="標楷體-WinCharSetFFFF-H;Arial Unic"/>
                <w:color w:val="000000"/>
                <w:sz w:val="20"/>
                <w:szCs w:val="20"/>
              </w:rPr>
              <w:t>二、</w:t>
            </w:r>
            <w:r w:rsidR="00035AB6" w:rsidRPr="00035AB6">
              <w:rPr>
                <w:rFonts w:ascii="標楷體" w:eastAsia="標楷體" w:hAnsi="標楷體" w:cs="標楷體-WinCharSetFFFF-H;Arial Unic" w:hint="eastAsia"/>
                <w:color w:val="000000"/>
                <w:sz w:val="20"/>
                <w:szCs w:val="20"/>
              </w:rPr>
              <w:t>公共工程餘土之處理，由工程主辦機關自行規劃設置、審查核准專用營建餘土處理場所或由承包廠商自行覓妥收容處理場所。並於工地實際產出餘土前，由承包廠商將其地址及名稱報工程主辦機關備查。</w:t>
            </w:r>
          </w:p>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1</w:t>
            </w:r>
            <w:r>
              <w:rPr>
                <w:rFonts w:ascii="標楷體" w:eastAsia="標楷體" w:hAnsi="標楷體" w:cs="標楷體-WinCharSetFFFF-H;Arial Unic"/>
                <w:color w:val="000000"/>
                <w:sz w:val="20"/>
                <w:szCs w:val="20"/>
              </w:rPr>
              <w:t>、</w:t>
            </w:r>
            <w:r w:rsidR="00035AB6" w:rsidRPr="00035AB6">
              <w:rPr>
                <w:rFonts w:ascii="標楷體" w:eastAsia="標楷體" w:hAnsi="標楷體" w:cs="標楷體-WinCharSetFFFF-H;Arial Unic" w:hint="eastAsia"/>
                <w:color w:val="000000"/>
                <w:sz w:val="20"/>
                <w:szCs w:val="20"/>
              </w:rPr>
              <w:t>工地實際產出餘土前，</w:t>
            </w:r>
            <w:r w:rsidR="00035AB6">
              <w:rPr>
                <w:rFonts w:ascii="標楷體" w:eastAsia="標楷體" w:hAnsi="標楷體" w:cs="標楷體-WinCharSetFFFF-H;Arial Unic" w:hint="eastAsia"/>
                <w:color w:val="000000"/>
                <w:sz w:val="20"/>
                <w:szCs w:val="20"/>
              </w:rPr>
              <w:t>是否</w:t>
            </w:r>
            <w:r w:rsidR="00035AB6" w:rsidRPr="00035AB6">
              <w:rPr>
                <w:rFonts w:ascii="標楷體" w:eastAsia="標楷體" w:hAnsi="標楷體" w:cs="標楷體-WinCharSetFFFF-H;Arial Unic" w:hint="eastAsia"/>
                <w:color w:val="000000"/>
                <w:sz w:val="20"/>
                <w:szCs w:val="20"/>
              </w:rPr>
              <w:t>由承包廠商將其地址及名稱報工程主辦機關備查</w:t>
            </w:r>
            <w:r>
              <w:rPr>
                <w:rFonts w:ascii="標楷體" w:eastAsia="標楷體" w:hAnsi="標楷體" w:cs="標楷體-WinCharSetFFFF-H;Arial Unic"/>
                <w:color w:val="000000"/>
                <w:sz w:val="20"/>
                <w:szCs w:val="20"/>
              </w:rPr>
              <w:t>。</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2、公共工程如為自行規劃、設置審查核准及管理土方收容處理場所，收容處理場所之設置是否依規定審查。</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3</w:t>
            </w:r>
            <w:r>
              <w:rPr>
                <w:rFonts w:ascii="標楷體" w:eastAsia="標楷體" w:hAnsi="標楷體" w:cs="標楷體-WinCharSetFFFF-H;Arial Unic"/>
                <w:color w:val="000000"/>
                <w:sz w:val="20"/>
                <w:szCs w:val="20"/>
              </w:rPr>
              <w:t>、公共工程如為自行規劃、設置審查核准及管理土方收容處理場所，審查核准後是否將設置計畫副知</w:t>
            </w:r>
            <w:r w:rsidR="00035AB6">
              <w:rPr>
                <w:rFonts w:ascii="標楷體" w:eastAsia="標楷體" w:hAnsi="標楷體" w:cs="標楷體-WinCharSetFFFF-H;Arial Unic" w:hint="eastAsia"/>
                <w:color w:val="000000"/>
                <w:sz w:val="20"/>
                <w:szCs w:val="20"/>
              </w:rPr>
              <w:t>都發局</w:t>
            </w:r>
            <w:r>
              <w:rPr>
                <w:rFonts w:ascii="標楷體" w:eastAsia="標楷體" w:hAnsi="標楷體" w:cs="標楷體-WinCharSetFFFF-H;Arial Unic"/>
                <w:color w:val="000000"/>
                <w:sz w:val="20"/>
                <w:szCs w:val="20"/>
              </w:rPr>
              <w:t>。</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jc w:val="both"/>
            </w:pPr>
            <w:r>
              <w:rPr>
                <w:rFonts w:ascii="標楷體" w:eastAsia="標楷體" w:hAnsi="標楷體" w:cs="標楷體"/>
                <w:color w:val="000000"/>
                <w:sz w:val="20"/>
                <w:szCs w:val="20"/>
              </w:rPr>
              <w:t>4</w:t>
            </w:r>
            <w:r>
              <w:rPr>
                <w:rFonts w:ascii="標楷體" w:eastAsia="標楷體" w:hAnsi="標楷體" w:cs="標楷體-WinCharSetFFFF-H;Arial Unic"/>
                <w:color w:val="000000"/>
                <w:sz w:val="20"/>
                <w:szCs w:val="20"/>
              </w:rPr>
              <w:t>、承攬廠商是否依工程主辦機關核准之收容處理場所設置計畫施作使用。</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val="restart"/>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spacing w:line="240" w:lineRule="atLeast"/>
              <w:jc w:val="both"/>
            </w:pPr>
            <w:r>
              <w:rPr>
                <w:rFonts w:ascii="標楷體" w:eastAsia="標楷體" w:hAnsi="標楷體" w:cs="標楷體-WinCharSetFFFF-H;Arial Unic"/>
                <w:color w:val="000000"/>
                <w:sz w:val="20"/>
                <w:szCs w:val="20"/>
              </w:rPr>
              <w:lastRenderedPageBreak/>
              <w:t>三、</w:t>
            </w:r>
            <w:r>
              <w:rPr>
                <w:rFonts w:ascii="標楷體" w:eastAsia="標楷體" w:hAnsi="標楷體" w:cs="標楷體"/>
                <w:color w:val="000000"/>
                <w:sz w:val="20"/>
                <w:szCs w:val="20"/>
              </w:rPr>
              <w:t>承攬廠商應於開工前將賸餘土石方處理計畫送工程主辦機關審核同意，並由工程主辦機關副知處理地點之縣（市）主管機關。</w:t>
            </w:r>
          </w:p>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1</w:t>
            </w:r>
            <w:r>
              <w:rPr>
                <w:rFonts w:ascii="標楷體" w:eastAsia="標楷體" w:hAnsi="標楷體" w:cs="標楷體-WinCharSetFFFF-H;Arial Unic"/>
                <w:color w:val="000000"/>
                <w:sz w:val="20"/>
                <w:szCs w:val="20"/>
              </w:rPr>
              <w:t>、承攬廠商是否上網申報工程基本資料。</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2、餘土計畫是否註明</w:t>
            </w:r>
            <w:r>
              <w:rPr>
                <w:rFonts w:ascii="標楷體" w:eastAsia="標楷體" w:hAnsi="標楷體" w:cs="標楷體-WinCharSetFFFF-H;Arial Unic"/>
                <w:color w:val="000000"/>
                <w:sz w:val="20"/>
                <w:szCs w:val="20"/>
              </w:rPr>
              <w:t>工程名稱、主辦機關名稱、承造業者名稱。</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3、餘土計畫是否註明</w:t>
            </w:r>
            <w:r>
              <w:rPr>
                <w:rFonts w:ascii="標楷體" w:eastAsia="標楷體" w:hAnsi="標楷體" w:cs="標楷體-WinCharSetFFFF-H;Arial Unic"/>
                <w:color w:val="000000"/>
                <w:sz w:val="20"/>
                <w:szCs w:val="20"/>
              </w:rPr>
              <w:t>餘土數量、內容、處理作業時間。</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4、餘土計畫是否註明</w:t>
            </w:r>
            <w:r>
              <w:rPr>
                <w:rFonts w:ascii="標楷體" w:eastAsia="標楷體" w:hAnsi="標楷體" w:cs="標楷體-WinCharSetFFFF-H;Arial Unic"/>
                <w:color w:val="000000"/>
                <w:sz w:val="20"/>
                <w:szCs w:val="20"/>
              </w:rPr>
              <w:t>每天運送時間、路線、處理作業方式、污染防治說明。</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5、餘土計畫是否註明</w:t>
            </w:r>
            <w:r>
              <w:rPr>
                <w:rFonts w:ascii="標楷體" w:eastAsia="標楷體" w:hAnsi="標楷體" w:cs="標楷體-WinCharSetFFFF-H;Arial Unic"/>
                <w:color w:val="000000"/>
                <w:sz w:val="20"/>
                <w:szCs w:val="20"/>
              </w:rPr>
              <w:t>收容處理場所地點及名稱、核准機關、管理單位。</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6</w:t>
            </w:r>
            <w:r>
              <w:rPr>
                <w:rFonts w:ascii="標楷體" w:eastAsia="標楷體" w:hAnsi="標楷體" w:cs="標楷體-WinCharSetFFFF-H;Arial Unic"/>
                <w:color w:val="000000"/>
                <w:sz w:val="20"/>
                <w:szCs w:val="20"/>
              </w:rPr>
              <w:t>、處理計畫修正變更次數及情形。</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7</w:t>
            </w:r>
            <w:r>
              <w:rPr>
                <w:rFonts w:ascii="標楷體" w:eastAsia="標楷體" w:hAnsi="標楷體" w:cs="標楷體-WinCharSetFFFF-H;Arial Unic"/>
                <w:color w:val="000000"/>
                <w:sz w:val="20"/>
                <w:szCs w:val="20"/>
              </w:rPr>
              <w:t>、工程主辦單位是否上網查核承攬廠商申報工程基本資料。</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8</w:t>
            </w:r>
            <w:r>
              <w:rPr>
                <w:rFonts w:ascii="標楷體" w:eastAsia="標楷體" w:hAnsi="標楷體" w:cs="標楷體-WinCharSetFFFF-H;Arial Unic"/>
                <w:color w:val="000000"/>
                <w:sz w:val="20"/>
                <w:szCs w:val="20"/>
              </w:rPr>
              <w:t>、工程主辦單位是否核准該餘土處理計畫。</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trHeight w:val="1171"/>
          <w:jc w:val="center"/>
        </w:trPr>
        <w:tc>
          <w:tcPr>
            <w:tcW w:w="2167" w:type="dxa"/>
            <w:vMerge w:val="restart"/>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spacing w:line="240" w:lineRule="atLeast"/>
              <w:jc w:val="both"/>
              <w:rPr>
                <w:rFonts w:ascii="標楷體" w:eastAsia="標楷體" w:hAnsi="標楷體" w:cs="標楷體-WinCharSetFFFF-H;Arial Unic"/>
                <w:color w:val="000000"/>
                <w:sz w:val="20"/>
                <w:szCs w:val="20"/>
              </w:rPr>
            </w:pPr>
            <w:r>
              <w:rPr>
                <w:rFonts w:ascii="標楷體" w:eastAsia="標楷體" w:hAnsi="標楷體" w:cs="標楷體-WinCharSetFFFF-H;Arial Unic"/>
                <w:color w:val="000000"/>
                <w:sz w:val="20"/>
                <w:szCs w:val="20"/>
              </w:rPr>
              <w:t>四、</w:t>
            </w:r>
            <w:r w:rsidR="00FB0624" w:rsidRPr="00FB0624">
              <w:rPr>
                <w:rFonts w:ascii="標楷體" w:eastAsia="標楷體" w:hAnsi="標楷體" w:cs="標楷體-WinCharSetFFFF-H;Arial Unic" w:hint="eastAsia"/>
                <w:color w:val="000000"/>
                <w:sz w:val="20"/>
                <w:szCs w:val="20"/>
              </w:rPr>
              <w:t>公共工程進行中，承包廠商應按公共工程餘土處理計畫辦理，並於每月底按運送憑證製作月報表，向資訊服務中心申報餘土之種類、數量及去處；工程主辦機關應督導承包廠商依餘土處理計畫辦理。承包廠商違規棄置餘土者，應由工程主辦機關按契約規定扣帳、停止估驗、限期清除違規現場及回復土地原使用目的與功能，並移送環保機關及營造業主管機關依規定處理。</w:t>
            </w:r>
          </w:p>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1</w:t>
            </w:r>
            <w:r>
              <w:rPr>
                <w:rFonts w:ascii="標楷體" w:eastAsia="標楷體" w:hAnsi="標楷體" w:cs="標楷體-WinCharSetFFFF-H;Arial Unic"/>
                <w:color w:val="000000"/>
                <w:sz w:val="20"/>
                <w:szCs w:val="20"/>
              </w:rPr>
              <w:t>、工程主辦機關是否核發賸餘土石方流向證明文件予承攬廠商</w:t>
            </w:r>
            <w:r>
              <w:rPr>
                <w:rFonts w:ascii="標楷體" w:eastAsia="標楷體" w:hAnsi="標楷體" w:cs="標楷體"/>
                <w:color w:val="000000"/>
                <w:sz w:val="20"/>
                <w:szCs w:val="20"/>
              </w:rPr>
              <w:t>。</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2</w:t>
            </w:r>
            <w:r>
              <w:rPr>
                <w:rFonts w:ascii="標楷體" w:eastAsia="標楷體" w:hAnsi="標楷體" w:cs="標楷體-WinCharSetFFFF-H;Arial Unic"/>
                <w:color w:val="000000"/>
                <w:sz w:val="20"/>
                <w:szCs w:val="20"/>
              </w:rPr>
              <w:t>、承攬廠商</w:t>
            </w:r>
            <w:r>
              <w:rPr>
                <w:rFonts w:ascii="標楷體" w:eastAsia="標楷體" w:hAnsi="標楷體" w:cs="標楷體"/>
                <w:color w:val="000000"/>
                <w:sz w:val="20"/>
                <w:szCs w:val="20"/>
              </w:rPr>
              <w:t>處理後取得合法收容處理場所簽收之憑證副聯，逐日送回工程主辦機關存檔查核。</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3</w:t>
            </w:r>
            <w:r>
              <w:rPr>
                <w:rFonts w:ascii="標楷體" w:eastAsia="標楷體" w:hAnsi="標楷體" w:cs="標楷體-WinCharSetFFFF-H;Arial Unic"/>
                <w:color w:val="000000"/>
                <w:sz w:val="20"/>
                <w:szCs w:val="20"/>
              </w:rPr>
              <w:t>、承攬廠商</w:t>
            </w:r>
            <w:r>
              <w:rPr>
                <w:rFonts w:ascii="標楷體" w:eastAsia="標楷體" w:hAnsi="標楷體" w:cs="標楷體"/>
                <w:color w:val="000000"/>
                <w:sz w:val="20"/>
                <w:szCs w:val="20"/>
              </w:rPr>
              <w:t>每月填報處理紀錄表，送工程主辦機關存檔查核，並依規定上網申報。</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05" w:type="dxa"/>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74" w:type="dxa"/>
            <w:gridSpan w:val="2"/>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4、工程主辦機關是否妥善保存運送憑證及處理紀錄表</w:t>
            </w:r>
            <w:r w:rsidR="00870435">
              <w:rPr>
                <w:rFonts w:ascii="標楷體" w:eastAsia="標楷體" w:hAnsi="標楷體" w:cs="標楷體" w:hint="eastAsia"/>
                <w:color w:val="000000"/>
                <w:sz w:val="20"/>
                <w:szCs w:val="20"/>
              </w:rPr>
              <w:t>並於次月5日前上網查核</w:t>
            </w:r>
            <w:r>
              <w:rPr>
                <w:rFonts w:ascii="標楷體" w:eastAsia="標楷體" w:hAnsi="標楷體" w:cs="標楷體"/>
                <w:color w:val="000000"/>
                <w:sz w:val="20"/>
                <w:szCs w:val="20"/>
              </w:rPr>
              <w:t>。</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val="restart"/>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spacing w:line="240" w:lineRule="atLeast"/>
              <w:jc w:val="both"/>
            </w:pPr>
            <w:r>
              <w:rPr>
                <w:rFonts w:ascii="標楷體" w:eastAsia="標楷體" w:hAnsi="標楷體" w:cs="標楷體-WinCharSetFFFF-H;Arial Unic"/>
                <w:color w:val="000000"/>
                <w:sz w:val="20"/>
                <w:szCs w:val="20"/>
              </w:rPr>
              <w:lastRenderedPageBreak/>
              <w:t>五、</w:t>
            </w:r>
            <w:r w:rsidR="003A24AD" w:rsidRPr="003A24AD">
              <w:rPr>
                <w:rFonts w:ascii="標楷體" w:eastAsia="標楷體" w:hAnsi="標楷體" w:cs="標楷體-WinCharSetFFFF-H;Arial Unic" w:hint="eastAsia"/>
                <w:color w:val="000000"/>
                <w:sz w:val="20"/>
                <w:szCs w:val="20"/>
              </w:rPr>
              <w:t>公共工程進行中，承包廠商應按公共工程餘土處理計畫辦理，並於每月底按運送憑證製作月報表，向資訊服務中心申報餘土之種類、數量及去處；工程主辦機關應督導承包廠商依餘土處理計畫辦理。承包廠商違規棄置餘土者，應由工程主辦機關按契約規定扣帳、停止估驗、限期清除違規現場及回復土地原使用目的與功能，並移送環保機關及營造業主管機關依規定處理。</w:t>
            </w:r>
          </w:p>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1</w:t>
            </w:r>
            <w:r>
              <w:rPr>
                <w:rFonts w:ascii="標楷體" w:eastAsia="標楷體" w:hAnsi="標楷體" w:cs="標楷體-WinCharSetFFFF-H;Arial Unic"/>
                <w:color w:val="000000"/>
                <w:sz w:val="20"/>
                <w:szCs w:val="20"/>
              </w:rPr>
              <w:t>、餘土處理計畫於本縣土石方資源堆置處理場處理者，工程招標文件及契約書是否規定承攬廠商請領工程估驗款計價時，應檢附餘土流向監控錄影資訊供主辦機關抽查。</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rPr>
                <w:rFonts w:ascii="標楷體" w:eastAsia="標楷體" w:hAnsi="標楷體" w:cs="標楷體"/>
                <w:color w:val="000000"/>
                <w:sz w:val="20"/>
                <w:szCs w:val="20"/>
              </w:rPr>
            </w:pPr>
            <w:r>
              <w:rPr>
                <w:rFonts w:ascii="標楷體" w:eastAsia="標楷體" w:hAnsi="標楷體" w:cs="標楷體"/>
                <w:color w:val="000000"/>
                <w:sz w:val="20"/>
                <w:szCs w:val="20"/>
              </w:rPr>
              <w:t>2、餘土清運時，監造單位是否每日確實核對運送憑證，並登載於監造日誌。</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3</w:t>
            </w:r>
            <w:r>
              <w:rPr>
                <w:rFonts w:ascii="標楷體" w:eastAsia="標楷體" w:hAnsi="標楷體" w:cs="標楷體-WinCharSetFFFF-H;Arial Unic"/>
                <w:color w:val="000000"/>
                <w:sz w:val="20"/>
                <w:szCs w:val="20"/>
              </w:rPr>
              <w:t>、工程主辦機關是否依工程契約書規定嚴加追蹤查核及督導，並不定期辦理餘土流向管制之抽查作業。</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4</w:t>
            </w:r>
            <w:r>
              <w:rPr>
                <w:rFonts w:ascii="標楷體" w:eastAsia="標楷體" w:hAnsi="標楷體" w:cs="標楷體-WinCharSetFFFF-H;Arial Unic"/>
                <w:color w:val="000000"/>
                <w:sz w:val="20"/>
                <w:szCs w:val="20"/>
              </w:rPr>
              <w:t>、</w:t>
            </w:r>
            <w:r w:rsidR="003A24AD" w:rsidRPr="003A24AD">
              <w:rPr>
                <w:rFonts w:ascii="標楷體" w:eastAsia="標楷體" w:hAnsi="標楷體" w:cs="標楷體-WinCharSetFFFF-H;Arial Unic" w:hint="eastAsia"/>
                <w:color w:val="000000"/>
                <w:sz w:val="20"/>
                <w:szCs w:val="20"/>
              </w:rPr>
              <w:t>餘土流向及數量與核准內容不一致時，工程主辦機關應查明處理，並將處理結果副知工程及收容處理場所所在地之縣</w:t>
            </w:r>
            <w:r w:rsidR="003A24AD" w:rsidRPr="003A24AD">
              <w:rPr>
                <w:rFonts w:ascii="標楷體" w:eastAsia="標楷體" w:hAnsi="標楷體" w:cs="標楷體-WinCharSetFFFF-H;Arial Unic"/>
                <w:color w:val="000000"/>
                <w:sz w:val="20"/>
                <w:szCs w:val="20"/>
              </w:rPr>
              <w:t>(</w:t>
            </w:r>
            <w:r w:rsidR="003A24AD" w:rsidRPr="003A24AD">
              <w:rPr>
                <w:rFonts w:ascii="標楷體" w:eastAsia="標楷體" w:hAnsi="標楷體" w:cs="標楷體-WinCharSetFFFF-H;Arial Unic" w:hint="eastAsia"/>
                <w:color w:val="000000"/>
                <w:sz w:val="20"/>
                <w:szCs w:val="20"/>
              </w:rPr>
              <w:t>市</w:t>
            </w:r>
            <w:r w:rsidR="003A24AD" w:rsidRPr="003A24AD">
              <w:rPr>
                <w:rFonts w:ascii="標楷體" w:eastAsia="標楷體" w:hAnsi="標楷體" w:cs="標楷體-WinCharSetFFFF-H;Arial Unic"/>
                <w:color w:val="000000"/>
                <w:sz w:val="20"/>
                <w:szCs w:val="20"/>
              </w:rPr>
              <w:t>)</w:t>
            </w:r>
            <w:r w:rsidR="003A24AD" w:rsidRPr="003A24AD">
              <w:rPr>
                <w:rFonts w:ascii="標楷體" w:eastAsia="標楷體" w:hAnsi="標楷體" w:cs="標楷體-WinCharSetFFFF-H;Arial Unic" w:hint="eastAsia"/>
                <w:color w:val="000000"/>
                <w:sz w:val="20"/>
                <w:szCs w:val="20"/>
              </w:rPr>
              <w:t>政府。</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5</w:t>
            </w:r>
            <w:r>
              <w:rPr>
                <w:rFonts w:ascii="標楷體" w:eastAsia="標楷體" w:hAnsi="標楷體" w:cs="標楷體-WinCharSetFFFF-H;Arial Unic"/>
                <w:color w:val="000000"/>
                <w:sz w:val="20"/>
                <w:szCs w:val="20"/>
              </w:rPr>
              <w:t>、工程主辦機關對上述違規之處理及處分情形。</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037B6C" w:rsidTr="00037B6C">
        <w:trPr>
          <w:cantSplit/>
          <w:jc w:val="center"/>
        </w:trPr>
        <w:tc>
          <w:tcPr>
            <w:tcW w:w="2167" w:type="dxa"/>
            <w:vMerge/>
            <w:tcBorders>
              <w:top w:val="single" w:sz="4" w:space="0" w:color="000000"/>
              <w:left w:val="single" w:sz="4" w:space="0" w:color="000000"/>
              <w:bottom w:val="single" w:sz="4" w:space="0" w:color="000000"/>
            </w:tcBorders>
            <w:shd w:val="clear" w:color="auto" w:fill="auto"/>
            <w:tcMar>
              <w:left w:w="103" w:type="dxa"/>
            </w:tcMar>
          </w:tcPr>
          <w:p w:rsidR="00037B6C" w:rsidRDefault="00037B6C"/>
        </w:tc>
        <w:tc>
          <w:tcPr>
            <w:tcW w:w="2062"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autoSpaceDE w:val="0"/>
              <w:jc w:val="both"/>
            </w:pPr>
            <w:r>
              <w:rPr>
                <w:rFonts w:ascii="標楷體" w:eastAsia="標楷體" w:hAnsi="標楷體" w:cs="標楷體"/>
                <w:color w:val="000000"/>
                <w:sz w:val="20"/>
                <w:szCs w:val="20"/>
              </w:rPr>
              <w:t>6</w:t>
            </w:r>
            <w:r>
              <w:rPr>
                <w:rFonts w:ascii="標楷體" w:eastAsia="標楷體" w:hAnsi="標楷體" w:cs="標楷體-WinCharSetFFFF-H;Arial Unic"/>
                <w:color w:val="000000"/>
                <w:sz w:val="20"/>
                <w:szCs w:val="20"/>
              </w:rPr>
              <w:t>、承攬廠商限期改善處理情形。</w:t>
            </w:r>
          </w:p>
        </w:tc>
        <w:tc>
          <w:tcPr>
            <w:tcW w:w="61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596" w:type="dxa"/>
            <w:tcBorders>
              <w:top w:val="single" w:sz="4" w:space="0" w:color="000000"/>
              <w:left w:val="single" w:sz="4" w:space="0" w:color="000000"/>
              <w:bottom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420" w:type="dxa"/>
            <w:gridSpan w:val="2"/>
            <w:tcBorders>
              <w:top w:val="single" w:sz="4" w:space="0" w:color="000000"/>
              <w:left w:val="single" w:sz="4" w:space="0" w:color="000000"/>
              <w:bottom w:val="single" w:sz="4" w:space="0" w:color="000000"/>
              <w:right w:val="single" w:sz="4" w:space="0" w:color="auto"/>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c>
          <w:tcPr>
            <w:tcW w:w="1459" w:type="dxa"/>
            <w:tcBorders>
              <w:top w:val="single" w:sz="4" w:space="0" w:color="000000"/>
              <w:left w:val="single" w:sz="4" w:space="0" w:color="auto"/>
              <w:bottom w:val="single" w:sz="4" w:space="0" w:color="000000"/>
            </w:tcBorders>
            <w:shd w:val="clear" w:color="auto" w:fill="auto"/>
          </w:tcPr>
          <w:p w:rsidR="00037B6C" w:rsidRDefault="00037B6C">
            <w:pPr>
              <w:snapToGrid w:val="0"/>
              <w:jc w:val="both"/>
              <w:rPr>
                <w:rFonts w:ascii="標楷體" w:eastAsia="標楷體" w:hAnsi="標楷體" w:cs="標楷體"/>
                <w:color w:val="000000"/>
                <w:sz w:val="20"/>
                <w:szCs w:val="20"/>
              </w:rPr>
            </w:pP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037B6C" w:rsidRDefault="00037B6C">
            <w:pPr>
              <w:snapToGrid w:val="0"/>
              <w:jc w:val="both"/>
              <w:rPr>
                <w:rFonts w:ascii="標楷體" w:eastAsia="標楷體" w:hAnsi="標楷體" w:cs="標楷體"/>
                <w:color w:val="000000"/>
                <w:sz w:val="20"/>
                <w:szCs w:val="20"/>
              </w:rPr>
            </w:pPr>
          </w:p>
        </w:tc>
      </w:tr>
      <w:tr w:rsidR="00C620E8">
        <w:trPr>
          <w:cantSplit/>
          <w:jc w:val="center"/>
        </w:trPr>
        <w:tc>
          <w:tcPr>
            <w:tcW w:w="2167" w:type="dxa"/>
            <w:tcBorders>
              <w:top w:val="single" w:sz="4" w:space="0" w:color="000000"/>
              <w:left w:val="single" w:sz="4" w:space="0" w:color="000000"/>
              <w:bottom w:val="single" w:sz="4" w:space="0" w:color="000000"/>
            </w:tcBorders>
            <w:shd w:val="clear" w:color="auto" w:fill="auto"/>
            <w:tcMar>
              <w:left w:w="103" w:type="dxa"/>
            </w:tcMar>
          </w:tcPr>
          <w:p w:rsidR="00C620E8" w:rsidRDefault="008B002D">
            <w:pPr>
              <w:jc w:val="both"/>
              <w:rPr>
                <w:rFonts w:ascii="標楷體" w:eastAsia="標楷體" w:hAnsi="標楷體" w:cs="標楷體-WinCharSetFFFF-H;Arial Unic"/>
                <w:color w:val="000000"/>
                <w:sz w:val="20"/>
                <w:szCs w:val="20"/>
              </w:rPr>
            </w:pPr>
            <w:r>
              <w:rPr>
                <w:rFonts w:ascii="標楷體" w:eastAsia="標楷體" w:hAnsi="標楷體" w:cs="標楷體-WinCharSetFFFF-H;Arial Unic"/>
                <w:color w:val="000000"/>
                <w:sz w:val="20"/>
                <w:szCs w:val="20"/>
              </w:rPr>
              <w:t>六、工程主辦機關對營建</w:t>
            </w:r>
            <w:r w:rsidR="005F552B">
              <w:rPr>
                <w:rFonts w:ascii="標楷體" w:eastAsia="標楷體" w:hAnsi="標楷體" w:cs="標楷體-WinCharSetFFFF-H;Arial Unic"/>
                <w:color w:val="000000"/>
                <w:sz w:val="20"/>
                <w:szCs w:val="20"/>
              </w:rPr>
              <w:t>賸</w:t>
            </w:r>
            <w:r>
              <w:rPr>
                <w:rFonts w:ascii="標楷體" w:eastAsia="標楷體" w:hAnsi="標楷體" w:cs="標楷體-WinCharSetFFFF-H;Arial Unic"/>
                <w:color w:val="000000"/>
                <w:sz w:val="20"/>
                <w:szCs w:val="20"/>
              </w:rPr>
              <w:t>餘土石方處理遭遇困難與建議。</w:t>
            </w:r>
          </w:p>
          <w:p w:rsidR="00C620E8" w:rsidRDefault="00C620E8">
            <w:pPr>
              <w:jc w:val="both"/>
              <w:rPr>
                <w:rFonts w:ascii="標楷體" w:eastAsia="標楷體" w:hAnsi="標楷體" w:cs="標楷體"/>
                <w:color w:val="000000"/>
                <w:sz w:val="20"/>
                <w:szCs w:val="20"/>
              </w:rPr>
            </w:pPr>
          </w:p>
        </w:tc>
        <w:tc>
          <w:tcPr>
            <w:tcW w:w="7493" w:type="dxa"/>
            <w:gridSpan w:val="8"/>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C620E8" w:rsidRDefault="00C620E8">
            <w:pPr>
              <w:snapToGrid w:val="0"/>
              <w:jc w:val="both"/>
              <w:rPr>
                <w:rFonts w:ascii="標楷體" w:eastAsia="標楷體" w:hAnsi="標楷體" w:cs="標楷體"/>
                <w:color w:val="000000"/>
                <w:sz w:val="20"/>
                <w:szCs w:val="20"/>
              </w:rPr>
            </w:pPr>
          </w:p>
        </w:tc>
      </w:tr>
      <w:tr w:rsidR="00C620E8">
        <w:trPr>
          <w:cantSplit/>
          <w:jc w:val="center"/>
        </w:trPr>
        <w:tc>
          <w:tcPr>
            <w:tcW w:w="2167" w:type="dxa"/>
            <w:tcBorders>
              <w:top w:val="single" w:sz="4" w:space="0" w:color="000000"/>
              <w:left w:val="single" w:sz="4" w:space="0" w:color="000000"/>
              <w:bottom w:val="single" w:sz="4" w:space="0" w:color="000000"/>
            </w:tcBorders>
            <w:shd w:val="clear" w:color="auto" w:fill="auto"/>
            <w:tcMar>
              <w:left w:w="103" w:type="dxa"/>
            </w:tcMar>
          </w:tcPr>
          <w:p w:rsidR="00C620E8" w:rsidRDefault="008B002D">
            <w:pPr>
              <w:autoSpaceDE w:val="0"/>
              <w:jc w:val="center"/>
              <w:rPr>
                <w:rFonts w:ascii="標楷體" w:eastAsia="標楷體" w:hAnsi="標楷體" w:cs="標楷體-WinCharSetFFFF-H;Arial Unic"/>
                <w:color w:val="000000"/>
                <w:sz w:val="20"/>
                <w:szCs w:val="20"/>
              </w:rPr>
            </w:pPr>
            <w:r>
              <w:rPr>
                <w:rFonts w:ascii="標楷體" w:eastAsia="標楷體" w:hAnsi="標楷體" w:cs="標楷體-WinCharSetFFFF-H;Arial Unic"/>
                <w:color w:val="000000"/>
                <w:sz w:val="20"/>
                <w:szCs w:val="20"/>
              </w:rPr>
              <w:t>總評</w:t>
            </w:r>
          </w:p>
          <w:p w:rsidR="00C620E8" w:rsidRDefault="00C620E8">
            <w:pPr>
              <w:autoSpaceDE w:val="0"/>
              <w:jc w:val="center"/>
              <w:rPr>
                <w:rFonts w:ascii="標楷體" w:eastAsia="標楷體" w:hAnsi="標楷體" w:cs="標楷體-WinCharSetFFFF-H;Arial Unic"/>
                <w:color w:val="000000"/>
                <w:sz w:val="20"/>
                <w:szCs w:val="20"/>
              </w:rPr>
            </w:pPr>
          </w:p>
          <w:p w:rsidR="00C620E8" w:rsidRDefault="00C620E8">
            <w:pPr>
              <w:autoSpaceDE w:val="0"/>
              <w:jc w:val="center"/>
              <w:rPr>
                <w:rFonts w:ascii="標楷體" w:eastAsia="標楷體" w:hAnsi="標楷體" w:cs="標楷體-WinCharSetFFFF-H;Arial Unic"/>
                <w:color w:val="000000"/>
                <w:sz w:val="20"/>
                <w:szCs w:val="20"/>
              </w:rPr>
            </w:pPr>
          </w:p>
          <w:p w:rsidR="00C620E8" w:rsidRDefault="00C620E8">
            <w:pPr>
              <w:autoSpaceDE w:val="0"/>
              <w:jc w:val="center"/>
              <w:rPr>
                <w:rFonts w:ascii="標楷體" w:eastAsia="標楷體" w:hAnsi="標楷體" w:cs="標楷體-WinCharSetFFFF-H;Arial Unic"/>
                <w:color w:val="000000"/>
                <w:sz w:val="20"/>
                <w:szCs w:val="20"/>
              </w:rPr>
            </w:pPr>
          </w:p>
          <w:p w:rsidR="00C620E8" w:rsidRDefault="00C620E8">
            <w:pPr>
              <w:jc w:val="center"/>
              <w:rPr>
                <w:rFonts w:ascii="標楷體" w:eastAsia="標楷體" w:hAnsi="標楷體" w:cs="標楷體"/>
                <w:color w:val="000000"/>
                <w:sz w:val="20"/>
                <w:szCs w:val="20"/>
              </w:rPr>
            </w:pPr>
          </w:p>
          <w:p w:rsidR="00C620E8" w:rsidRDefault="00C620E8">
            <w:pPr>
              <w:jc w:val="center"/>
              <w:rPr>
                <w:rFonts w:ascii="標楷體" w:eastAsia="標楷體" w:hAnsi="標楷體" w:cs="標楷體"/>
                <w:color w:val="000000"/>
                <w:sz w:val="20"/>
                <w:szCs w:val="20"/>
              </w:rPr>
            </w:pPr>
          </w:p>
        </w:tc>
        <w:tc>
          <w:tcPr>
            <w:tcW w:w="7493" w:type="dxa"/>
            <w:gridSpan w:val="8"/>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C620E8" w:rsidRDefault="00C620E8">
            <w:pPr>
              <w:snapToGrid w:val="0"/>
              <w:jc w:val="both"/>
              <w:rPr>
                <w:rFonts w:ascii="標楷體" w:eastAsia="標楷體" w:hAnsi="標楷體" w:cs="標楷體"/>
                <w:color w:val="000000"/>
                <w:sz w:val="20"/>
                <w:szCs w:val="20"/>
              </w:rPr>
            </w:pPr>
          </w:p>
        </w:tc>
      </w:tr>
    </w:tbl>
    <w:p w:rsidR="00C620E8" w:rsidRDefault="00C620E8">
      <w:pPr>
        <w:rPr>
          <w:rFonts w:ascii="標楷體" w:eastAsia="標楷體" w:hAnsi="標楷體" w:cs="標楷體"/>
          <w:color w:val="000000"/>
          <w:sz w:val="28"/>
          <w:szCs w:val="28"/>
          <w:u w:val="single"/>
        </w:rPr>
      </w:pPr>
    </w:p>
    <w:sectPr w:rsidR="00C620E8">
      <w:footerReference w:type="default" r:id="rId7"/>
      <w:pgSz w:w="11906" w:h="16838"/>
      <w:pgMar w:top="851" w:right="851" w:bottom="1048" w:left="1418" w:header="0"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FFA" w:rsidRDefault="00023FFA">
      <w:r>
        <w:separator/>
      </w:r>
    </w:p>
  </w:endnote>
  <w:endnote w:type="continuationSeparator" w:id="0">
    <w:p w:rsidR="00023FFA" w:rsidRDefault="00023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88"/>
    <w:family w:val="roman"/>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altName w:val="Malgun Gothic Semilight"/>
    <w:panose1 w:val="020B0604020202020204"/>
    <w:charset w:val="88"/>
    <w:family w:val="swiss"/>
    <w:pitch w:val="variable"/>
    <w:sig w:usb0="00000000"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新細明體;PMingLiU">
    <w:altName w:val="新細明體"/>
    <w:panose1 w:val="00000000000000000000"/>
    <w:charset w:val="88"/>
    <w:family w:val="roman"/>
    <w:notTrueType/>
    <w:pitch w:val="default"/>
  </w:font>
  <w:font w:name="Liberation Sans">
    <w:altName w:val="Arial"/>
    <w:panose1 w:val="020B0604020202020204"/>
    <w:charset w:val="88"/>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標楷體-WinCharSetFFFF-H;Arial Unic">
    <w:panose1 w:val="00000000000000000000"/>
    <w:charset w:val="88"/>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0E8" w:rsidRDefault="0042746F">
    <w:pPr>
      <w:pStyle w:val="a9"/>
    </w:pPr>
    <w:r>
      <w:rPr>
        <w:rFonts w:ascii="標楷體" w:eastAsia="標楷體" w:hAnsi="標楷體" w:cs="標楷體" w:hint="eastAsia"/>
        <w:color w:val="808080"/>
        <w:lang w:val="zh-TW"/>
      </w:rPr>
      <w:t>臺中市</w:t>
    </w:r>
    <w:r w:rsidR="008B002D">
      <w:rPr>
        <w:rFonts w:ascii="標楷體" w:eastAsia="標楷體" w:hAnsi="標楷體" w:cs="標楷體"/>
        <w:color w:val="808080"/>
        <w:lang w:val="zh-TW"/>
      </w:rPr>
      <w:t>公共工程</w:t>
    </w:r>
    <w:r w:rsidR="005F552B" w:rsidRPr="005F552B">
      <w:rPr>
        <w:rFonts w:ascii="標楷體" w:eastAsia="標楷體" w:hAnsi="標楷體" w:cs="標楷體" w:hint="eastAsia"/>
        <w:color w:val="808080"/>
        <w:lang w:val="zh-TW"/>
      </w:rPr>
      <w:t>賸</w:t>
    </w:r>
    <w:r w:rsidR="008B002D">
      <w:rPr>
        <w:rFonts w:ascii="標楷體" w:eastAsia="標楷體" w:hAnsi="標楷體" w:cs="標楷體"/>
        <w:color w:val="808080"/>
        <w:lang w:val="zh-TW"/>
      </w:rPr>
      <w:t>餘土石方考核表</w:t>
    </w:r>
    <w:r w:rsidR="008B002D">
      <w:rPr>
        <w:rFonts w:eastAsia="Times New Roman"/>
        <w:color w:val="808080"/>
      </w:rPr>
      <w:t xml:space="preserve">                                                 </w:t>
    </w:r>
    <w:r w:rsidR="008B002D">
      <w:rPr>
        <w:rFonts w:ascii="標楷體" w:eastAsia="標楷體" w:hAnsi="標楷體" w:cs="標楷體"/>
        <w:color w:val="808080"/>
      </w:rPr>
      <w:t xml:space="preserve">第 </w:t>
    </w:r>
    <w:r w:rsidR="008B002D">
      <w:rPr>
        <w:rFonts w:ascii="標楷體" w:eastAsia="標楷體" w:hAnsi="標楷體" w:cs="標楷體"/>
        <w:color w:val="808080"/>
      </w:rPr>
      <w:fldChar w:fldCharType="begin"/>
    </w:r>
    <w:r w:rsidR="008B002D">
      <w:instrText>PAGE</w:instrText>
    </w:r>
    <w:r w:rsidR="008B002D">
      <w:fldChar w:fldCharType="separate"/>
    </w:r>
    <w:r w:rsidR="00E96527">
      <w:rPr>
        <w:noProof/>
      </w:rPr>
      <w:t>1</w:t>
    </w:r>
    <w:r w:rsidR="008B002D">
      <w:fldChar w:fldCharType="end"/>
    </w:r>
    <w:r w:rsidR="008B002D">
      <w:rPr>
        <w:rFonts w:ascii="標楷體" w:eastAsia="標楷體" w:hAnsi="標楷體" w:cs="標楷體"/>
        <w:color w:val="808080"/>
      </w:rPr>
      <w:t xml:space="preserve"> 頁，共 </w:t>
    </w:r>
    <w:r w:rsidR="008B002D">
      <w:rPr>
        <w:rFonts w:ascii="標楷體" w:eastAsia="標楷體" w:hAnsi="標楷體" w:cs="標楷體"/>
        <w:color w:val="808080"/>
      </w:rPr>
      <w:fldChar w:fldCharType="begin"/>
    </w:r>
    <w:r w:rsidR="008B002D">
      <w:instrText>NUMPAGES \* ARABIC</w:instrText>
    </w:r>
    <w:r w:rsidR="008B002D">
      <w:fldChar w:fldCharType="separate"/>
    </w:r>
    <w:r w:rsidR="00E96527">
      <w:rPr>
        <w:noProof/>
      </w:rPr>
      <w:t>3</w:t>
    </w:r>
    <w:r w:rsidR="008B002D">
      <w:fldChar w:fldCharType="end"/>
    </w:r>
    <w:r w:rsidR="008B002D">
      <w:rPr>
        <w:rFonts w:ascii="標楷體" w:eastAsia="標楷體" w:hAnsi="標楷體" w:cs="標楷體"/>
        <w:color w:val="808080"/>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FFA" w:rsidRDefault="00023FFA">
      <w:r>
        <w:separator/>
      </w:r>
    </w:p>
  </w:footnote>
  <w:footnote w:type="continuationSeparator" w:id="0">
    <w:p w:rsidR="00023FFA" w:rsidRDefault="00023F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620E8"/>
    <w:rsid w:val="00023FFA"/>
    <w:rsid w:val="00035AB6"/>
    <w:rsid w:val="00037B6C"/>
    <w:rsid w:val="00097E2A"/>
    <w:rsid w:val="0012559B"/>
    <w:rsid w:val="00194AC0"/>
    <w:rsid w:val="00242E86"/>
    <w:rsid w:val="003A24AD"/>
    <w:rsid w:val="0042746F"/>
    <w:rsid w:val="004F000D"/>
    <w:rsid w:val="005F552B"/>
    <w:rsid w:val="00870435"/>
    <w:rsid w:val="008B002D"/>
    <w:rsid w:val="00961EB7"/>
    <w:rsid w:val="00B2726C"/>
    <w:rsid w:val="00C620E8"/>
    <w:rsid w:val="00CA2A2C"/>
    <w:rsid w:val="00E96527"/>
    <w:rsid w:val="00F31FDE"/>
    <w:rsid w:val="00FB0624"/>
    <w:rsid w:val="00FF02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12968E-7AC1-441C-A559-92EFD746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新細明體" w:hAnsi="Liberation Serif" w:cs="Arial Unicode MS"/>
        <w:szCs w:val="24"/>
        <w:lang w:val="en-US" w:eastAsia="zh-TW"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Times New Roman" w:eastAsia="新細明體;PMingLiU" w:hAnsi="Times New Roman" w:cs="Times New Roman"/>
      <w:sz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微軟正黑體" w:hAnsi="Liberation Sans" w:cs="Arial Unicode MS"/>
      <w:sz w:val="28"/>
      <w:szCs w:val="28"/>
    </w:rPr>
  </w:style>
  <w:style w:type="paragraph" w:styleId="a4">
    <w:name w:val="Body Text"/>
    <w:basedOn w:val="a"/>
    <w:pPr>
      <w:spacing w:after="140" w:line="288" w:lineRule="auto"/>
    </w:pPr>
  </w:style>
  <w:style w:type="paragraph" w:styleId="a5">
    <w:name w:val="List"/>
    <w:basedOn w:val="a4"/>
    <w:rPr>
      <w:rFonts w:cs="Arial Unicode MS"/>
    </w:rPr>
  </w:style>
  <w:style w:type="paragraph" w:styleId="a6">
    <w:name w:val="caption"/>
    <w:basedOn w:val="a"/>
    <w:qFormat/>
    <w:pPr>
      <w:suppressLineNumbers/>
      <w:spacing w:before="120" w:after="120"/>
    </w:pPr>
    <w:rPr>
      <w:rFonts w:cs="Arial Unicode MS"/>
      <w:i/>
      <w:iCs/>
    </w:rPr>
  </w:style>
  <w:style w:type="paragraph" w:customStyle="1" w:styleId="a7">
    <w:name w:val="索引"/>
    <w:basedOn w:val="a"/>
    <w:qFormat/>
    <w:pPr>
      <w:suppressLineNumbers/>
    </w:pPr>
    <w:rPr>
      <w:rFonts w:cs="Arial Unicode MS"/>
    </w:rPr>
  </w:style>
  <w:style w:type="paragraph" w:styleId="a8">
    <w:name w:val="header"/>
    <w:basedOn w:val="a"/>
    <w:pPr>
      <w:tabs>
        <w:tab w:val="center" w:pos="4153"/>
        <w:tab w:val="right" w:pos="8306"/>
      </w:tabs>
      <w:snapToGrid w:val="0"/>
    </w:pPr>
    <w:rPr>
      <w:sz w:val="20"/>
      <w:szCs w:val="20"/>
    </w:rPr>
  </w:style>
  <w:style w:type="paragraph" w:styleId="a9">
    <w:name w:val="footer"/>
    <w:basedOn w:val="a"/>
    <w:pPr>
      <w:tabs>
        <w:tab w:val="center" w:pos="4153"/>
        <w:tab w:val="right" w:pos="8306"/>
      </w:tabs>
      <w:snapToGrid w:val="0"/>
    </w:pPr>
    <w:rPr>
      <w:sz w:val="20"/>
      <w:szCs w:val="20"/>
    </w:rPr>
  </w:style>
  <w:style w:type="paragraph" w:customStyle="1" w:styleId="aa">
    <w:name w:val="表格內容"/>
    <w:basedOn w:val="a"/>
    <w:qFormat/>
    <w:pPr>
      <w:suppressLineNumbers/>
    </w:pPr>
  </w:style>
  <w:style w:type="paragraph" w:customStyle="1" w:styleId="ab">
    <w:name w:val="表格標題"/>
    <w:basedOn w:val="aa"/>
    <w:qFormat/>
    <w:pPr>
      <w:jc w:val="center"/>
    </w:pPr>
    <w:rPr>
      <w:b/>
      <w:bCs/>
    </w:rPr>
  </w:style>
  <w:style w:type="paragraph" w:styleId="ac">
    <w:name w:val="Balloon Text"/>
    <w:basedOn w:val="a"/>
    <w:link w:val="ad"/>
    <w:uiPriority w:val="99"/>
    <w:semiHidden/>
    <w:unhideWhenUsed/>
    <w:rsid w:val="0042746F"/>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42746F"/>
    <w:rPr>
      <w:rFonts w:asciiTheme="majorHAnsi" w:eastAsiaTheme="majorEastAsia" w:hAnsiTheme="majorHAnsi" w:cstheme="majorBid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FEBD2-88A6-4F3D-8724-46D1A0E04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彰化縣政府公共工程剩餘土石方考核表</dc:title>
  <dc:subject/>
  <dc:creator>chcg</dc:creator>
  <dc:description/>
  <cp:lastModifiedBy>李春杉</cp:lastModifiedBy>
  <cp:revision>2</cp:revision>
  <cp:lastPrinted>2018-01-04T03:30:00Z</cp:lastPrinted>
  <dcterms:created xsi:type="dcterms:W3CDTF">2018-02-22T02:24:00Z</dcterms:created>
  <dcterms:modified xsi:type="dcterms:W3CDTF">2018-02-22T02:24:00Z</dcterms:modified>
  <dc:language>zh-TW</dc:language>
</cp:coreProperties>
</file>