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ptos" w:hAnsi="Aptos"/>
          <w:b/>
          <w:color w:val="5937D8"/>
          <w:sz w:val="22"/>
        </w:rPr>
        <w:t>EDISI KOMERSIAL</w:t>
      </w:r>
    </w:p>
    <w:p>
      <w:pPr>
        <w:spacing w:before="320"/>
        <w:jc w:val="center"/>
      </w:pPr>
      <w:r>
        <w:rPr>
          <w:rFonts w:ascii="Aptos Display" w:hAnsi="Aptos Display"/>
          <w:b/>
          <w:color w:val="14213D"/>
          <w:sz w:val="70"/>
        </w:rPr>
        <w:t>SBU &amp; SKK</w:t>
        <w:br/>
      </w:r>
      <w:r>
        <w:rPr>
          <w:rFonts w:ascii="Aptos Display" w:hAnsi="Aptos Display"/>
          <w:b/>
          <w:color w:val="14213D"/>
          <w:sz w:val="70"/>
        </w:rPr>
        <w:t>Tanpa Bingung</w:t>
      </w:r>
    </w:p>
    <w:p>
      <w:pPr>
        <w:spacing w:before="300" w:after="280"/>
        <w:jc w:val="center"/>
      </w:pPr>
      <w:r>
        <w:rPr>
          <w:color w:val="46546D"/>
          <w:sz w:val="26"/>
        </w:rPr>
        <w:t>Panduan Lengkap Pemenuhan Persyaratan Sertifikasi Konstruksi di Era Regulasi Baru</w:t>
      </w:r>
    </w:p>
    <w:tbl>
      <w:tblPr>
        <w:tblW w:type="auto" w:w="0"/>
        <w:jc w:val="center"/>
        <w:tblLook w:firstColumn="1" w:firstRow="1" w:lastColumn="0" w:lastRow="0" w:noHBand="0" w:noVBand="1" w:val="04A0"/>
      </w:tblPr>
      <w:tblGrid>
        <w:gridCol w:w="10166"/>
      </w:tblGrid>
      <w:tr>
        <w:tc>
          <w:tcPr>
            <w:tcW w:type="dxa" w:w="10166"/>
            <w:shd w:fill="EEEAFE"/>
            <w:tcBorders>
              <w:top w:val="single" w:sz="4" w:color="C7BEF4"/>
              <w:left w:val="single" w:sz="4" w:color="C7BEF4"/>
              <w:bottom w:val="single" w:sz="4" w:color="C7BEF4"/>
              <w:right w:val="single" w:sz="4" w:color="C7BEF4"/>
            </w:tcBorders>
          </w:tcPr>
          <w:p>
            <w:pPr>
              <w:spacing w:after="40"/>
              <w:jc w:val="center"/>
            </w:pPr>
            <w:r/>
            <w:r>
              <w:rPr>
                <w:rFonts w:ascii="Aptos" w:hAnsi="Aptos"/>
                <w:b/>
                <w:color w:val="5937D8"/>
                <w:sz w:val="16"/>
              </w:rPr>
              <w:t>PP 28/2025 • Permen PU 6/2025 • Checklist • Roadmap • Template</w:t>
            </w:r>
          </w:p>
        </w:tc>
      </w:tr>
    </w:tbl>
    <w:p>
      <w:pPr>
        <w:spacing w:before="3000"/>
        <w:jc w:val="center"/>
      </w:pPr>
      <w:r>
        <w:rPr>
          <w:rFonts w:ascii="Aptos" w:hAnsi="Aptos"/>
          <w:b/>
          <w:color w:val="14213D"/>
          <w:sz w:val="22"/>
        </w:rPr>
        <w:t>[NAMA BRAND ANDA]</w:t>
      </w:r>
    </w:p>
    <w:p>
      <w:pPr>
        <w:jc w:val="center"/>
      </w:pPr>
      <w:r>
        <w:rPr>
          <w:color w:val="6B7280"/>
          <w:sz w:val="18"/>
        </w:rPr>
        <w:t>Edisi digital • 2026</w:t>
      </w:r>
    </w:p>
    <w:p>
      <w:r>
        <w:br w:type="page"/>
      </w:r>
    </w:p>
    <w:p>
      <w:pPr>
        <w:pStyle w:val="Heading1"/>
      </w:pPr>
      <w:r>
        <w:t>Catatan Penting Sebelum Anda Memulai</w:t>
      </w:r>
    </w:p>
    <w:p>
      <w:r>
        <w:t>Ebook ini disusun sebagai materi edukasi dan panduan kerja internal. Ia tidak menggantikan nasihat hukum, keputusan lembaga berwenang, atau ketentuan teknis dari OSS, Kementerian PU, LSBU, LSP, LPJK, dan BNSP.</w:t>
      </w:r>
    </w:p>
    <w:p>
      <w:r>
        <w:t>Regulasi, ketentuan peralihan, nomenklatur klasifikasi, persyaratan dokumen, dan mekanisme layanan dapat berubah. Selalu verifikasi naskah resmi terbaru sebelum mengambil keputusan atau mengajukan permohonan.</w:t>
      </w:r>
    </w:p>
    <w:p>
      <w:r>
        <w:t>Untuk versi distribusi komersial, ganti placeholder [NAMA BRAND ANDA], [TAUTAN KONSULTASI / WHATSAPP ANDA], dan [EMAIL ANDA] dengan identitas bisnis Anda sebelum menjual atau membagikannya.</w:t>
      </w:r>
    </w:p>
    <w:tbl>
      <w:tblPr>
        <w:tblW w:type="auto" w:w="0"/>
        <w:tblLook w:firstColumn="1" w:firstRow="1" w:lastColumn="0" w:lastRow="0" w:noHBand="0" w:noVBand="1" w:val="04A0"/>
      </w:tblPr>
      <w:tblGrid>
        <w:gridCol w:w="10166"/>
      </w:tblGrid>
      <w:tr>
        <w:tc>
          <w:tcPr>
            <w:tcW w:type="dxa" w:w="10166"/>
            <w:shd w:fill="FFF4D6"/>
            <w:tcBorders>
              <w:top w:val="single" w:sz="4" w:color="EFC969"/>
              <w:left w:val="single" w:sz="4" w:color="EFC969"/>
              <w:bottom w:val="single" w:sz="4" w:color="EFC969"/>
              <w:right w:val="single" w:sz="4" w:color="EFC969"/>
            </w:tcBorders>
          </w:tcPr>
          <w:p>
            <w:pPr>
              <w:spacing w:after="40"/>
            </w:pPr>
            <w:r/>
            <w:r>
              <w:rPr>
                <w:rFonts w:ascii="Aptos" w:hAnsi="Aptos"/>
                <w:b/>
                <w:color w:val="7A5600"/>
                <w:sz w:val="16"/>
              </w:rPr>
              <w:t>PRINSIP KERJA: gunakan ebook ini untuk menata bukti, memetakan gap, dan mengajukan pertanyaan yang tepat kepada kanal resmi.</w:t>
            </w:r>
          </w:p>
        </w:tc>
      </w:tr>
    </w:tbl>
    <w:p>
      <w:r>
        <w:br w:type="page"/>
      </w:r>
    </w:p>
    <w:p>
      <w:pPr>
        <w:pStyle w:val="Heading1"/>
      </w:pPr>
      <w:r>
        <w:t>Daftar Isi</w:t>
      </w:r>
    </w:p>
    <w:p>
      <w:pPr>
        <w:spacing w:after="100"/>
      </w:pPr>
      <w:r>
        <w:rPr>
          <w:b/>
          <w:color w:val="5937D8"/>
        </w:rPr>
        <w:t xml:space="preserve">01  </w:t>
      </w:r>
      <w:r>
        <w:t>Tentang Ebook Ini</w:t>
      </w:r>
    </w:p>
    <w:p>
      <w:pPr>
        <w:spacing w:after="100"/>
      </w:pPr>
      <w:r>
        <w:rPr>
          <w:b/>
          <w:color w:val="5937D8"/>
        </w:rPr>
        <w:t xml:space="preserve">02  </w:t>
      </w:r>
      <w:r>
        <w:t>Mulai Cepat: Quick-Start &amp; Rencana Aksi 30 Hari</w:t>
      </w:r>
    </w:p>
    <w:p>
      <w:pPr>
        <w:spacing w:after="100"/>
      </w:pPr>
      <w:r>
        <w:rPr>
          <w:b/>
          <w:color w:val="5937D8"/>
        </w:rPr>
        <w:t xml:space="preserve">03  </w:t>
      </w:r>
      <w:r>
        <w:t>Bab 1 — Ketika Aturan Berubah di Tengah Jalan</w:t>
      </w:r>
    </w:p>
    <w:p>
      <w:pPr>
        <w:spacing w:after="100"/>
      </w:pPr>
      <w:r>
        <w:rPr>
          <w:b/>
          <w:color w:val="5937D8"/>
        </w:rPr>
        <w:t xml:space="preserve">04  </w:t>
      </w:r>
      <w:r>
        <w:t>Bab 2 — Peta Regulasi: Membaca Ulang Medan</w:t>
      </w:r>
    </w:p>
    <w:p>
      <w:pPr>
        <w:spacing w:after="100"/>
      </w:pPr>
      <w:r>
        <w:rPr>
          <w:b/>
          <w:color w:val="5937D8"/>
        </w:rPr>
        <w:t xml:space="preserve">05  </w:t>
      </w:r>
      <w:r>
        <w:t>Bab 3 — SBU: Persyaratan Baru Badan Usaha</w:t>
      </w:r>
    </w:p>
    <w:p>
      <w:pPr>
        <w:spacing w:after="100"/>
      </w:pPr>
      <w:r>
        <w:rPr>
          <w:b/>
          <w:color w:val="5937D8"/>
        </w:rPr>
        <w:t xml:space="preserve">06  </w:t>
      </w:r>
      <w:r>
        <w:t>Bab 4 — SKK: Tiket Karier Tenaga Kerja Konstruksi</w:t>
      </w:r>
    </w:p>
    <w:p>
      <w:pPr>
        <w:spacing w:after="100"/>
      </w:pPr>
      <w:r>
        <w:rPr>
          <w:b/>
          <w:color w:val="5937D8"/>
        </w:rPr>
        <w:t xml:space="preserve">07  </w:t>
      </w:r>
      <w:r>
        <w:t>Bab 5 — Gap Analysis &amp; Transisi</w:t>
      </w:r>
    </w:p>
    <w:p>
      <w:pPr>
        <w:spacing w:after="100"/>
      </w:pPr>
      <w:r>
        <w:rPr>
          <w:b/>
          <w:color w:val="5937D8"/>
        </w:rPr>
        <w:t xml:space="preserve">08  </w:t>
      </w:r>
      <w:r>
        <w:t>Bab 6 — Checklist &amp; Template Siap Pakai</w:t>
      </w:r>
    </w:p>
    <w:p>
      <w:pPr>
        <w:spacing w:after="100"/>
      </w:pPr>
      <w:r>
        <w:rPr>
          <w:b/>
          <w:color w:val="5937D8"/>
        </w:rPr>
        <w:t xml:space="preserve">09  </w:t>
      </w:r>
      <w:r>
        <w:t>Bab 7 — Studi Kasus</w:t>
      </w:r>
    </w:p>
    <w:p>
      <w:pPr>
        <w:spacing w:after="100"/>
      </w:pPr>
      <w:r>
        <w:rPr>
          <w:b/>
          <w:color w:val="5937D8"/>
        </w:rPr>
        <w:t xml:space="preserve">10  </w:t>
      </w:r>
      <w:r>
        <w:t>Bab 8 — FAQ</w:t>
      </w:r>
    </w:p>
    <w:p>
      <w:pPr>
        <w:spacing w:after="100"/>
      </w:pPr>
      <w:r>
        <w:rPr>
          <w:b/>
          <w:color w:val="5937D8"/>
        </w:rPr>
        <w:t xml:space="preserve">11  </w:t>
      </w:r>
      <w:r>
        <w:t>Bab 9 — Kepatuhan sebagai Senjata Kompetitif</w:t>
      </w:r>
    </w:p>
    <w:p>
      <w:pPr>
        <w:spacing w:after="100"/>
      </w:pPr>
      <w:r>
        <w:rPr>
          <w:b/>
          <w:color w:val="5937D8"/>
        </w:rPr>
        <w:t xml:space="preserve">12  </w:t>
      </w:r>
      <w:r>
        <w:t>Lampiran &amp; Rujukan</w:t>
      </w:r>
    </w:p>
    <w:p>
      <w:r>
        <w:br w:type="page"/>
      </w:r>
    </w:p>
    <w:p>
      <w:pPr>
        <w:pStyle w:val="Heading1"/>
      </w:pPr>
      <w:r>
        <w:t>Tentang Ebook Ini</w:t>
      </w:r>
    </w:p>
    <w:p>
      <w:r>
        <w:t>Satu-satunya panduan komprehensif berbahasa Indonesia yang membedah perubahan SBU-SKK pasca PP 28/2025 dan Permen PU terbaru secara berdampingan (side-by-side), lengkap dengan checklist aksi dan timeline kepatuhan — dirancang khusus untuk pelaku usaha konstruksi Indonesia yang ingin tetap patuh tanpa kehilangan peluang tender.</w:t>
      </w:r>
    </w:p>
    <w:p>
      <w:r>
        <w:t>Untuk siapa buku ini: pemilik/direktur badan usaha jasa konstruksi (kontraktor &amp; konsultan), penanggung jawab teknik (PJT), tenaga ahli konstruksi, manajer operasional, serta staf legal/perizinan — skala kecil, menengah, maupun besar. Pembaca diasumsikan sudah memahami dasar SBU/SKK dan ingin tahu apa yang berubah serta apa yang harus dilakukan.</w:t>
      </w:r>
    </w:p>
    <w:p>
      <w:r>
        <w:t>Setelah membaca buku ini, Anda mampu:</w:t>
      </w:r>
    </w:p>
    <w:p>
      <w:r>
        <w:t>Memahami peta perubahan regulasi dari PP 5/2021 ke PP 28/2025 serta Permen PUPR 6/2021 ke Permen PU 6/2025 secara utuh.</w:t>
      </w:r>
    </w:p>
    <w:p>
      <w:r>
        <w:t>Mengidentifikasi persyaratan SBU dan SKK terkini untuk badan usaha dan tenaga kerja konstruksi Anda.</w:t>
      </w:r>
    </w:p>
    <w:p>
      <w:r>
        <w:t>Menyusun checklist dan timeline pemenuhan secara mandiri tanpa bergantung penuh pada konsultan.</w:t>
      </w:r>
    </w:p>
    <w:p>
      <w:r>
        <w:t>Menghindari risiko sanksi administratif, kegagalan tender, dan pencabutan izin akibat ketidakpatuhan.</w:t>
      </w:r>
    </w:p>
    <w:p>
      <w:r>
        <w:t>Menyelesaikan pengajuan/perpanjangan SBU dan SKK melalui OSS-RBA dan LSBU/LSP dengan benar pada percobaan pertama.</w:t>
      </w:r>
    </w:p>
    <w:p>
      <w:pPr>
        <w:pStyle w:val="Heading1"/>
      </w:pPr>
      <w:r>
        <w:t>Kerangka Kerja Buku Ini</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Tahap</w:t>
            </w:r>
          </w:p>
        </w:tc>
        <w:tc>
          <w:tcPr>
            <w:tcW w:type="dxa" w:w="3389"/>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Fokus</w:t>
            </w:r>
          </w:p>
        </w:tc>
        <w:tc>
          <w:tcPr>
            <w:tcW w:type="dxa" w:w="3389"/>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Output</w:t>
            </w:r>
          </w:p>
        </w:tc>
      </w:tr>
      <w:tr>
        <w:tc>
          <w:tcPr>
            <w:tcW w:type="dxa" w:w="3389"/>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Pahami</w:t>
            </w:r>
          </w:p>
        </w:tc>
        <w:tc>
          <w:tcPr>
            <w:tcW w:type="dxa" w:w="3389"/>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Mapping perubahan regulasi lama → baru</w:t>
            </w:r>
          </w:p>
        </w:tc>
        <w:tc>
          <w:tcPr>
            <w:tcW w:type="dxa" w:w="3389"/>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Peta perubahan versi perusahaan Anda</w:t>
            </w:r>
          </w:p>
        </w:tc>
      </w:tr>
      <w:tr>
        <w:tc>
          <w:tcPr>
            <w:tcW w:type="dxa" w:w="3389"/>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Evaluasi</w:t>
            </w:r>
          </w:p>
        </w:tc>
        <w:tc>
          <w:tcPr>
            <w:tcW w:type="dxa" w:w="3389"/>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Gap analysis kondisi saat ini vs persyaratan baru</w:t>
            </w:r>
          </w:p>
        </w:tc>
        <w:tc>
          <w:tcPr>
            <w:tcW w:type="dxa" w:w="3389"/>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Daftar gap dan prioritas</w:t>
            </w:r>
          </w:p>
        </w:tc>
      </w:tr>
      <w:tr>
        <w:tc>
          <w:tcPr>
            <w:tcW w:type="dxa" w:w="3389"/>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Transisi</w:t>
            </w:r>
          </w:p>
        </w:tc>
        <w:tc>
          <w:tcPr>
            <w:tcW w:type="dxa" w:w="3389"/>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Eksekusi pemenuhan: dokumen, sistem, uji kompetensi</w:t>
            </w:r>
          </w:p>
        </w:tc>
        <w:tc>
          <w:tcPr>
            <w:tcW w:type="dxa" w:w="3389"/>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SBU/SKK sesuai standar baru</w:t>
            </w:r>
          </w:p>
        </w:tc>
      </w:tr>
      <w:tr>
        <w:tc>
          <w:tcPr>
            <w:tcW w:type="dxa" w:w="3389"/>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Tamankan</w:t>
            </w:r>
          </w:p>
        </w:tc>
        <w:tc>
          <w:tcPr>
            <w:tcW w:type="dxa" w:w="3389"/>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Kepatuhan berkelanjutan dan kesiapan tender</w:t>
            </w:r>
          </w:p>
        </w:tc>
        <w:tc>
          <w:tcPr>
            <w:tcW w:type="dxa" w:w="3389"/>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Kalender kepatuhan dan SOP internal</w:t>
            </w:r>
          </w:p>
        </w:tc>
      </w:tr>
    </w:tbl>
    <w:p/>
    <w:p>
      <w:r>
        <w:t>Setiap bab diakhiri kotak Aksi Sekarang — karena informasi tanpa aksi hanyalah beban bacaan tambahan.</w:t>
      </w:r>
    </w:p>
    <w:p>
      <w:pPr>
        <w:pStyle w:val="Heading1"/>
      </w:pPr>
      <w:r>
        <w:t>Mulai Cepat: Quick-Start &amp; Rencana Aksi 30 Hari</w:t>
      </w:r>
    </w:p>
    <w:p>
      <w:r>
        <w:t>Tidak punya waktu membaca seluruh buku sekarang? Mulai dari sini.</w:t>
      </w:r>
    </w:p>
    <w:p>
      <w:pPr>
        <w:pStyle w:val="Heading1"/>
      </w:pPr>
      <w:r>
        <w:t>Quick-Start Checklist</w:t>
      </w:r>
    </w:p>
    <w:p>
      <w:pPr>
        <w:ind w:left="173"/>
      </w:pPr>
      <w:r>
        <w:rPr>
          <w:b/>
          <w:color w:val="5937D8"/>
        </w:rPr>
        <w:t xml:space="preserve">□ </w:t>
      </w:r>
      <w:r>
        <w:t>Pahami perubahan regulasi: baca rangkuman perubahan PP 5/2021 → PP 28/2025 di Bab 2.</w:t>
      </w:r>
    </w:p>
    <w:p>
      <w:pPr>
        <w:ind w:left="173"/>
      </w:pPr>
      <w:r>
        <w:rPr>
          <w:b/>
          <w:color w:val="5937D8"/>
        </w:rPr>
        <w:t xml:space="preserve">□ </w:t>
      </w:r>
      <w:r>
        <w:t>Evaluasi status SBU/SKK: bandingkan kondisi saat ini dengan persyaratan baru (lembar kerja Bab 5).</w:t>
      </w:r>
    </w:p>
    <w:p>
      <w:pPr>
        <w:ind w:left="173"/>
      </w:pPr>
      <w:r>
        <w:rPr>
          <w:b/>
          <w:color w:val="5937D8"/>
        </w:rPr>
        <w:t xml:space="preserve">□ </w:t>
      </w:r>
      <w:r>
        <w:t>Buat timeline pemenuhan: tetapkan tenggat untuk setiap langkah kepatuhan.</w:t>
      </w:r>
    </w:p>
    <w:p>
      <w:pPr>
        <w:ind w:left="173"/>
      </w:pPr>
      <w:r>
        <w:rPr>
          <w:b/>
          <w:color w:val="5937D8"/>
        </w:rPr>
        <w:t xml:space="preserve">□ </w:t>
      </w:r>
      <w:r>
        <w:t>Perbarui dokumen: sesuaikan dokumen SBU/SKK dengan format dan persyaratan terbaru.</w:t>
      </w:r>
    </w:p>
    <w:p>
      <w:pPr>
        <w:ind w:left="173"/>
      </w:pPr>
      <w:r>
        <w:rPr>
          <w:b/>
          <w:color w:val="5937D8"/>
        </w:rPr>
        <w:t xml:space="preserve">□ </w:t>
      </w:r>
      <w:r>
        <w:t>Jadwalkan uji kompetensi: pastikan tenaga ahli memenuhi skema dan persyaratan baru.</w:t>
      </w:r>
    </w:p>
    <w:p>
      <w:pPr>
        <w:pStyle w:val="Heading1"/>
      </w:pPr>
      <w:r>
        <w:t>Rencana Aksi 30 Hari</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Minggu</w:t>
            </w:r>
          </w:p>
        </w:tc>
        <w:tc>
          <w:tcPr>
            <w:tcW w:type="dxa" w:w="3389"/>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Fokus</w:t>
            </w:r>
          </w:p>
        </w:tc>
        <w:tc>
          <w:tcPr>
            <w:tcW w:type="dxa" w:w="3389"/>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Tindakan</w:t>
            </w:r>
          </w:p>
        </w:tc>
      </w:tr>
      <w:tr>
        <w:tc>
          <w:tcPr>
            <w:tcW w:type="dxa" w:w="3389"/>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Minggu 1</w:t>
            </w:r>
          </w:p>
        </w:tc>
        <w:tc>
          <w:tcPr>
            <w:tcW w:type="dxa" w:w="3389"/>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Pahami</w:t>
            </w:r>
          </w:p>
        </w:tc>
        <w:tc>
          <w:tcPr>
            <w:tcW w:type="dxa" w:w="3389"/>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Pelajari perubahan utama PP 28/2025 dan Permen PU 6/2025; diskusikan dampaknya dengan tim legal/perizinan</w:t>
            </w:r>
          </w:p>
        </w:tc>
      </w:tr>
      <w:tr>
        <w:tc>
          <w:tcPr>
            <w:tcW w:type="dxa" w:w="3389"/>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Minggu 2</w:t>
            </w:r>
          </w:p>
        </w:tc>
        <w:tc>
          <w:tcPr>
            <w:tcW w:type="dxa" w:w="3389"/>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Evaluasi</w:t>
            </w:r>
          </w:p>
        </w:tc>
        <w:tc>
          <w:tcPr>
            <w:tcW w:type="dxa" w:w="3389"/>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Audit internal SBU/SKK; perbarui dan sesuaikan dokumen dengan persyaratan baru</w:t>
            </w:r>
          </w:p>
        </w:tc>
      </w:tr>
      <w:tr>
        <w:tc>
          <w:tcPr>
            <w:tcW w:type="dxa" w:w="3389"/>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Minggu 3–4</w:t>
            </w:r>
          </w:p>
        </w:tc>
        <w:tc>
          <w:tcPr>
            <w:tcW w:type="dxa" w:w="3389"/>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Transisi</w:t>
            </w:r>
          </w:p>
        </w:tc>
        <w:tc>
          <w:tcPr>
            <w:tcW w:type="dxa" w:w="3389"/>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Ajukan SBU/SKK melalui OSS-RBA dan LSBU/LSP; jadwalkan serta lakukan uji kompetensi tenaga ahli</w:t>
            </w:r>
          </w:p>
        </w:tc>
      </w:tr>
    </w:tbl>
    <w:p/>
    <w:p>
      <w:r>
        <w:t>Setelah 30 hari, lanjutkan ke roadmap 90 hari di Bab 5 hingga tahap Tamankan.</w:t>
      </w:r>
    </w:p>
    <w:p>
      <w:pPr>
        <w:spacing w:before="160"/>
      </w:pPr>
      <w:r>
        <w:rPr>
          <w:rFonts w:ascii="Aptos" w:hAnsi="Aptos"/>
          <w:b/>
          <w:color w:val="5937D8"/>
          <w:sz w:val="20"/>
        </w:rPr>
        <w:t>BAB 1</w:t>
      </w:r>
    </w:p>
    <w:p>
      <w:r>
        <w:br w:type="page"/>
      </w:r>
    </w:p>
    <w:p>
      <w:pPr>
        <w:pStyle w:val="Heading1"/>
      </w:pPr>
      <w:r>
        <w:t>Pendahuluan: Ketika Aturan Berubah di Tengah Jalan</w:t>
      </w:r>
    </w:p>
    <w:p>
      <w:r>
        <w:t>Bayangkan Anda berada di ambang kehilangan izin usaha karena perubahan regulasi yang tidak Anda pahami.</w:t>
      </w:r>
    </w:p>
    <w:p>
      <w:r>
        <w:t>Itulah yang dialami Pak Hartono, pemilik perusahaan kontraktor di sebuah kabupaten di Jawa Timur. Pukul sebelas malam, staf administrasinya menelepon: "Pak, pengajuan perpanjangan SBU kita tertolak sistem lagi. KBLI-nya belum disesuaikan, laporan keuangannya belum diaudit KAP, dan SKK Pak Slamet sudah kedaluwarsa." Tujuh belas tahun ia merasa paham aturan main; malam itu, map merah dokumen legalitasnya terasa usang. Tiga minggu lagi ada tender senilai tiga miliar rupiah yang sudah dua tahun ia bidik.</w:t>
      </w:r>
    </w:p>
    <w:p>
      <w:r>
        <w:t>Kisah ini adalah kisah ribuan pelaku usaha konstruksi hari ini — dan gejalanya mengerucut pada tiga pain point utama:</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Pain Point</w:t>
            </w:r>
          </w:p>
        </w:tc>
        <w:tc>
          <w:tcPr>
            <w:tcW w:type="dxa" w:w="5083"/>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Wujudnya di Lapangan</w:t>
            </w:r>
          </w:p>
        </w:tc>
      </w:tr>
      <w:tr>
        <w:tc>
          <w:tcPr>
            <w:tcW w:type="dxa" w:w="5083"/>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1. Ketidakpastian regulasi</w:t>
            </w:r>
          </w:p>
        </w:tc>
        <w:tc>
          <w:tcPr>
            <w:tcW w:type="dxa" w:w="5083"/>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Perubahan berlapis (PP → Permen → peraturan lembaga → juknis) membuat pelaku usaha tidak tahu syarat mana yang masih berlaku dan mana yang dicabut; informasi simpang siur beredar di grup WhatsApp asosiasi</w:t>
            </w:r>
          </w:p>
        </w:tc>
      </w:tr>
      <w:tr>
        <w:tc>
          <w:tcPr>
            <w:tcW w:type="dxa" w:w="5083"/>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2. Ketergantungan pada konsultan</w:t>
            </w:r>
          </w:p>
        </w:tc>
        <w:tc>
          <w:tcPr>
            <w:tcW w:type="dxa" w:w="5083"/>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Biaya pendampingan tinggi, padahal prosesnya bisa dilakukan mandiri jika dipahami dengan benar — dan banyak calo/konsultan yang sendirinya belum memahami aturan baru</w:t>
            </w:r>
          </w:p>
        </w:tc>
      </w:tr>
      <w:tr>
        <w:tc>
          <w:tcPr>
            <w:tcW w:type="dxa" w:w="5083"/>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3. Risiko SBU/SKK tidak valid</w:t>
            </w:r>
          </w:p>
        </w:tc>
        <w:tc>
          <w:tcPr>
            <w:tcW w:type="dxa" w:w="5083"/>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Perpanjangan SBU tertolak karena subklasifikasi/kualifikasi tidak sesuai format baru; tenaga ahli gagal uji kompetensi karena skema berubah; dokumen tender dianggap tidak valid oleh pokja — peluang bisnis hilang</w:t>
            </w:r>
          </w:p>
        </w:tc>
      </w:tr>
    </w:tbl>
    <w:p/>
    <w:p>
      <w:r>
        <w:t>Akar masalahnya seragam: regulasi berubah cepat tanpa sosialisasi yang memadai, dan tidak ada satu panduan transisi yang mengintegrasikan semua level regulasi. Pada 5 Juni 2025, PP Nomor 28 Tahun 2025 berlaku dan mencabut PP 5/2021. Di sektor pekerjaan umum, Permen PUPR 6/2021 digantikan Permen PU 6/2025 yang mempertegas pengawasan dan sanksi. Dua perubahan ini menyentuh jantung bisnis Anda: SBU dan SKK.</w:t>
      </w:r>
    </w:p>
    <w:p>
      <w:r>
        <w:t>Janji buku ini: Anda berubah dari pelaku usaha yang kebingungan dan terancam kehilangan SBU/SKK, menjadi perusahaan yang patuh penuh, siap tender, dan mampu mengurus sertifikasi secara mandiri dengan percaya diri. Regulasi berubah — pelaku usaha yang paham aturan selalu selangkah lebih depan.</w:t>
      </w:r>
    </w:p>
    <w:tbl>
      <w:tblPr>
        <w:tblW w:type="auto" w:w="0"/>
        <w:tblLook w:firstColumn="1" w:firstRow="1" w:lastColumn="0" w:lastRow="0" w:noHBand="0" w:noVBand="1" w:val="04A0"/>
      </w:tblPr>
      <w:tblGrid>
        <w:gridCol w:w="10166"/>
      </w:tblGrid>
      <w:tr>
        <w:tc>
          <w:tcPr>
            <w:tcW w:type="dxa" w:w="10166"/>
            <w:shd w:fill="DDF7EE"/>
            <w:tcBorders>
              <w:top w:val="single" w:sz="4" w:color="92D7BF"/>
              <w:left w:val="single" w:sz="4" w:color="92D7BF"/>
              <w:bottom w:val="single" w:sz="4" w:color="92D7BF"/>
              <w:right w:val="single" w:sz="4" w:color="92D7BF"/>
            </w:tcBorders>
          </w:tcPr>
          <w:p>
            <w:pPr>
              <w:spacing w:after="40"/>
            </w:pPr>
            <w:r/>
            <w:r>
              <w:rPr>
                <w:rFonts w:ascii="Aptos" w:hAnsi="Aptos"/>
                <w:b/>
                <w:color w:val="0E6B54"/>
                <w:sz w:val="16"/>
              </w:rPr>
              <w:t>Aksi Sekarang — Bab 1:</w:t>
            </w:r>
          </w:p>
        </w:tc>
      </w:tr>
    </w:tbl>
    <w:p>
      <w:pPr>
        <w:ind w:left="173"/>
      </w:pPr>
      <w:r>
        <w:rPr>
          <w:b/>
          <w:color w:val="5937D8"/>
        </w:rPr>
        <w:t xml:space="preserve">□ </w:t>
      </w:r>
      <w:r>
        <w:t>Tulis tiga kekhawatiran terbesar perusahaan Anda terkait perubahan regulasi ini.</w:t>
      </w:r>
    </w:p>
    <w:p>
      <w:pPr>
        <w:ind w:left="173"/>
      </w:pPr>
      <w:r>
        <w:rPr>
          <w:b/>
          <w:color w:val="5937D8"/>
        </w:rPr>
        <w:t xml:space="preserve">□ </w:t>
      </w:r>
      <w:r>
        <w:t>Kumpulkan dokumen SBU dan SKK terakhir beserta tanggal masa berlakunya.</w:t>
      </w:r>
    </w:p>
    <w:p>
      <w:pPr>
        <w:ind w:left="173"/>
      </w:pPr>
      <w:r>
        <w:rPr>
          <w:b/>
          <w:color w:val="5937D8"/>
        </w:rPr>
        <w:t xml:space="preserve">□ </w:t>
      </w:r>
      <w:r>
        <w:t>Pastikan akun OSS perusahaan aktif dan Anda masih bisa login hari ini juga.</w:t>
      </w:r>
    </w:p>
    <w:p>
      <w:pPr>
        <w:spacing w:before="160"/>
      </w:pPr>
      <w:r>
        <w:rPr>
          <w:rFonts w:ascii="Aptos" w:hAnsi="Aptos"/>
          <w:b/>
          <w:color w:val="5937D8"/>
          <w:sz w:val="20"/>
        </w:rPr>
        <w:t>BAB 2</w:t>
      </w:r>
    </w:p>
    <w:p>
      <w:r>
        <w:br w:type="page"/>
      </w:r>
    </w:p>
    <w:p>
      <w:pPr>
        <w:pStyle w:val="Heading1"/>
      </w:pPr>
      <w:r>
        <w:t>Peta Regulasi : Membaca Ulang Medan</w:t>
      </w:r>
    </w:p>
    <w:p>
      <w:pPr>
        <w:pStyle w:val="Heading2"/>
      </w:pPr>
      <w:r>
        <w:t>2.1 Rantai regulasi: dari mata air ke irigasi</w:t>
      </w:r>
    </w:p>
    <w:p>
      <w:r>
        <w:t>Anggap regulasi seperti sistem irigasi: undang-undang adalah mata airnya, peraturan pemerintah bendungannya, peraturan menteri saluran primernya, dan peraturan lembaga serta petunjuk teknis adalah saluran ke petak sawah Anda. Ketika bendungan diganti, seluruh saluran di bawahnya ikut berubah. Inilah rantainya untuk jasa konstruksi:</w:t>
      </w:r>
    </w:p>
    <w:p>
      <w:r>
        <w:t>UU No. 2 Tahun 2017 tentang Jasa Konstruksi (diubah melalui UU Cipta Kerja/UU No. 6 Tahun 2023) — mata air.</w:t>
      </w:r>
    </w:p>
    <w:p>
      <w:r>
        <w:t>PP No. 22 Tahun 2020 jo. PP No. 14 Tahun 2021 — peraturan pelaksanaan UU Jasa Konstruksi.</w:t>
      </w:r>
    </w:p>
    <w:p>
      <w:r>
        <w:t>PP No. 5 Tahun 2021 → PP No. 28 Tahun 2025 — bendungan perizinan berusaha berbasis risiko (PBBR).</w:t>
      </w:r>
    </w:p>
    <w:p>
      <w:r>
        <w:t>Permen PUPR No. 6 Tahun 2021 → Permen PU No. 6 Tahun 2025 — saluran primer standar kegiatan usaha sektor pekerjaan umum, kini lengkap dengan pengawasan dan sanksi.</w:t>
      </w:r>
    </w:p>
    <w:p>
      <w:r>
        <w:t>SE Menteri PU, Peraturan LPJK, serta ketentuan BNSP — saluran tersier dan petunjuk teknis: pedoman layanan LSBU, lisensi, skema sertifikasi, dan juknis.</w:t>
      </w:r>
    </w:p>
    <w:p>
      <w:pPr>
        <w:pStyle w:val="Heading2"/>
      </w:pPr>
      <w:r>
        <w:t>2.2 Matriks Komparasi: PP 5/2021 vs PP 28/2025</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Aspek</w:t>
            </w:r>
          </w:p>
        </w:tc>
        <w:tc>
          <w:tcPr>
            <w:tcW w:type="dxa" w:w="2541"/>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PP 5/2021 (lama)</w:t>
            </w:r>
          </w:p>
        </w:tc>
        <w:tc>
          <w:tcPr>
            <w:tcW w:type="dxa" w:w="2541"/>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PP 28/2025 (baru)</w:t>
            </w:r>
          </w:p>
        </w:tc>
        <w:tc>
          <w:tcPr>
            <w:tcW w:type="dxa" w:w="2541"/>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Dampak bagi Anda</w:t>
            </w:r>
          </w:p>
        </w:tc>
      </w:tr>
      <w:tr>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Status</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Dicabut</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Berlaku sejak 5 Juni 2025</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Semua rujukan lama wajib diperbarui</w:t>
            </w:r>
          </w:p>
        </w:tc>
      </w:tr>
      <w:tr>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Waktu layanan</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Belum ada SLA menyeluruh</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SLA di seluruh tahapan perizinan</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Anda berhak menagih kepastian waktu</w:t>
            </w:r>
          </w:p>
        </w:tc>
      </w:tr>
      <w:tr>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Sistem</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OSS-RBA; sebagian kewenangan di daerah</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Konsolidasi nasional di OSS (±30 kementerian/lembaga)</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Satu gerbang digital; validasi otomatis, tak bisa "dibicarakan di loket"</w:t>
            </w:r>
          </w:p>
        </w:tc>
      </w:tr>
      <w:tr>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Klasifikasi usaha</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KBLI 2020</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Penyesuaian KBLI 2025</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Wajib sinkronisasi akta–NIB–sertifikat standar</w:t>
            </w:r>
          </w:p>
        </w:tc>
      </w:tr>
      <w:tr>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Penekanan</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Kemudahan berusaha</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Kepastian hukum, proses bisnis, jaminan kualitas layanan</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Kepatuhan makin terukur dan terpantau</w:t>
            </w:r>
          </w:p>
        </w:tc>
      </w:tr>
    </w:tbl>
    <w:p/>
    <w:p>
      <w:pPr>
        <w:pStyle w:val="Heading2"/>
      </w:pPr>
      <w:r>
        <w:t>2.3 Matriks Komparasi: Permen PUPR 6/2021 vs Permen PU 6/2025</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Aspek</w:t>
            </w:r>
          </w:p>
        </w:tc>
        <w:tc>
          <w:tcPr>
            <w:tcW w:type="dxa" w:w="3389"/>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Permen PUPR 6/2021 (lama)</w:t>
            </w:r>
          </w:p>
        </w:tc>
        <w:tc>
          <w:tcPr>
            <w:tcW w:type="dxa" w:w="3389"/>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Permen PU 6/2025 (baru)</w:t>
            </w:r>
          </w:p>
        </w:tc>
      </w:tr>
      <w:tr>
        <w:tc>
          <w:tcPr>
            <w:tcW w:type="dxa" w:w="3389"/>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Cakupan</w:t>
            </w:r>
          </w:p>
        </w:tc>
        <w:tc>
          <w:tcPr>
            <w:tcW w:type="dxa" w:w="3389"/>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Sektor PU dan Perumahan Rakyat</w:t>
            </w:r>
          </w:p>
        </w:tc>
        <w:tc>
          <w:tcPr>
            <w:tcW w:type="dxa" w:w="3389"/>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Sektor Pekerjaan Umum (seiring pemisahan Kementerian PUPR menjadi Kementerian PU dan Kementerian PKP pada akhir 2024)</w:t>
            </w:r>
          </w:p>
        </w:tc>
      </w:tr>
      <w:tr>
        <w:tc>
          <w:tcPr>
            <w:tcW w:type="dxa" w:w="3389"/>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Substansi</w:t>
            </w:r>
          </w:p>
        </w:tc>
        <w:tc>
          <w:tcPr>
            <w:tcW w:type="dxa" w:w="3389"/>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Standar kegiatan usaha dan produk</w:t>
            </w:r>
          </w:p>
        </w:tc>
        <w:tc>
          <w:tcPr>
            <w:tcW w:type="dxa" w:w="3389"/>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Standar kegiatan usaha dan/atau produk/jasa • pelaksanaan pengawasan + pengenaan sanksi</w:t>
            </w:r>
          </w:p>
        </w:tc>
      </w:tr>
      <w:tr>
        <w:tc>
          <w:tcPr>
            <w:tcW w:type="dxa" w:w="3389"/>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Detail teknis SBU</w:t>
            </w:r>
          </w:p>
        </w:tc>
        <w:tc>
          <w:tcPr>
            <w:tcW w:type="dxa" w:w="3389"/>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Klasifikasi, subklasifikasi, kualifikasi era awal PBBR</w:t>
            </w:r>
          </w:p>
        </w:tc>
        <w:tc>
          <w:tcPr>
            <w:tcW w:type="dxa" w:w="3389"/>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Penyesuaian subklasifikasi/kualifikasi dan persyaratan teknis — misalnya aturan penggunaan peralatan yang sama untuk memenuhi syarat peralatan utama pada subklasifikasi lain (maksimal 5 subklasifikasi)</w:t>
            </w:r>
          </w:p>
        </w:tc>
      </w:tr>
      <w:tr>
        <w:tc>
          <w:tcPr>
            <w:tcW w:type="dxa" w:w="3389"/>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Konsekuensi</w:t>
            </w:r>
          </w:p>
        </w:tc>
        <w:tc>
          <w:tcPr>
            <w:tcW w:type="dxa" w:w="3389"/>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Sertifikat standar cenderung "sekali terbit"</w:t>
            </w:r>
          </w:p>
        </w:tc>
        <w:tc>
          <w:tcPr>
            <w:tcW w:type="dxa" w:w="3389"/>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Kepatuhan menjadi objek pengawasan berkelanjutan dengan sanksi bertingkat</w:t>
            </w:r>
          </w:p>
        </w:tc>
      </w:tr>
    </w:tbl>
    <w:p/>
    <w:p>
      <w:r>
        <w:t>Catatan: selalu cocokkan detail teknis dengan naskah resmi Permen PU 6/2025 dan petunjuk teknis terbarunya.</w:t>
      </w:r>
    </w:p>
    <w:p>
      <w:pPr>
        <w:pStyle w:val="Heading2"/>
      </w:pPr>
      <w:r>
        <w:t>2.4 Siapa berwenang atas apa</w:t>
      </w:r>
    </w:p>
    <w:tbl>
      <w:tblPr>
        <w:tblStyle w:val="TableGrid"/>
        <w:tblW w:type="auto" w:w="0"/>
        <w:tblLayout w:type="autofit"/>
        <w:tblLook w:firstColumn="1" w:firstRow="1" w:lastColumn="0" w:lastRow="0" w:noHBand="0" w:noVBand="1" w:val="04A0"/>
      </w:tblPr>
      <w:tblGrid>
        <w:gridCol w:w="5083"/>
        <w:gridCol w:w="5083"/>
      </w:tblGrid>
      <w:tr>
        <w:trPr>
          <w:tblHeader w:val="true"/>
        </w:trPr>
        <w:tc>
          <w:tcPr>
            <w:tcW w:type="dxa" w:w="5083"/>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Lembaga</w:t>
            </w:r>
          </w:p>
        </w:tc>
        <w:tc>
          <w:tcPr>
            <w:tcW w:type="dxa" w:w="5083"/>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Peran di era baru</w:t>
            </w:r>
          </w:p>
        </w:tc>
      </w:tr>
      <w:tr>
        <w:tc>
          <w:tcPr>
            <w:tcW w:type="dxa" w:w="5083"/>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BKPM / OSS</w:t>
            </w:r>
          </w:p>
        </w:tc>
        <w:tc>
          <w:tcPr>
            <w:tcW w:type="dxa" w:w="5083"/>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Gerbang tunggal perizinan berusaha berbasis risiko</w:t>
            </w:r>
          </w:p>
        </w:tc>
      </w:tr>
      <w:tr>
        <w:tc>
          <w:tcPr>
            <w:tcW w:type="dxa" w:w="5083"/>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Kementerian PU / Ditjen Bina Konstruksi</w:t>
            </w:r>
          </w:p>
        </w:tc>
        <w:tc>
          <w:tcPr>
            <w:tcW w:type="dxa" w:w="5083"/>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Penetapan standar, pembinaan, dan pengawasan sektor jasa konstruksi</w:t>
            </w:r>
          </w:p>
        </w:tc>
      </w:tr>
      <w:tr>
        <w:tc>
          <w:tcPr>
            <w:tcW w:type="dxa" w:w="5083"/>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LPJK</w:t>
            </w:r>
          </w:p>
        </w:tc>
        <w:tc>
          <w:tcPr>
            <w:tcW w:type="dxa" w:w="5083"/>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Pengembangan jasa konstruksi, akreditasi, pembinaan — bertransformasi, bukan hilang</w:t>
            </w:r>
          </w:p>
        </w:tc>
      </w:tr>
      <w:tr>
        <w:tc>
          <w:tcPr>
            <w:tcW w:type="dxa" w:w="5083"/>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LSBU</w:t>
            </w:r>
          </w:p>
        </w:tc>
        <w:tc>
          <w:tcPr>
            <w:tcW w:type="dxa" w:w="5083"/>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Penerbit SBU (penilaian kesesuaian badan usaha)</w:t>
            </w:r>
          </w:p>
        </w:tc>
      </w:tr>
      <w:tr>
        <w:tc>
          <w:tcPr>
            <w:tcW w:type="dxa" w:w="5083"/>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LSP</w:t>
            </w:r>
          </w:p>
        </w:tc>
        <w:tc>
          <w:tcPr>
            <w:tcW w:type="dxa" w:w="5083"/>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Penerbit SKK, di bawah lisensi BNSP</w:t>
            </w:r>
          </w:p>
        </w:tc>
      </w:tr>
      <w:tr>
        <w:tc>
          <w:tcPr>
            <w:tcW w:type="dxa" w:w="5083"/>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BNSP</w:t>
            </w:r>
          </w:p>
        </w:tc>
        <w:tc>
          <w:tcPr>
            <w:tcW w:type="dxa" w:w="5083"/>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Pemberi lisensi LSP dan pengawal mutu sertifikasi profesi</w:t>
            </w:r>
          </w:p>
        </w:tc>
      </w:tr>
      <w:tr>
        <w:tc>
          <w:tcPr>
            <w:tcW w:type="dxa" w:w="5083"/>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DPMPTSP daerah</w:t>
            </w:r>
          </w:p>
        </w:tc>
        <w:tc>
          <w:tcPr>
            <w:tcW w:type="dxa" w:w="5083"/>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Peran menyesuaikan karena perizinan terkonsolidasi di OSS</w:t>
            </w:r>
          </w:p>
        </w:tc>
      </w:tr>
    </w:tbl>
    <w:p/>
    <w:tbl>
      <w:tblPr>
        <w:tblW w:type="auto" w:w="0"/>
        <w:tblLook w:firstColumn="1" w:firstRow="1" w:lastColumn="0" w:lastRow="0" w:noHBand="0" w:noVBand="1" w:val="04A0"/>
      </w:tblPr>
      <w:tblGrid>
        <w:gridCol w:w="10166"/>
      </w:tblGrid>
      <w:tr>
        <w:tc>
          <w:tcPr>
            <w:tcW w:type="dxa" w:w="10166"/>
            <w:shd w:fill="DDF7EE"/>
            <w:tcBorders>
              <w:top w:val="single" w:sz="4" w:color="92D7BF"/>
              <w:left w:val="single" w:sz="4" w:color="92D7BF"/>
              <w:bottom w:val="single" w:sz="4" w:color="92D7BF"/>
              <w:right w:val="single" w:sz="4" w:color="92D7BF"/>
            </w:tcBorders>
          </w:tcPr>
          <w:p>
            <w:pPr>
              <w:spacing w:after="40"/>
            </w:pPr>
            <w:r/>
            <w:r>
              <w:rPr>
                <w:rFonts w:ascii="Aptos" w:hAnsi="Aptos"/>
                <w:b/>
                <w:color w:val="0E6B54"/>
                <w:sz w:val="16"/>
              </w:rPr>
              <w:t>Aksi Sekarang — Bab 2:</w:t>
            </w:r>
          </w:p>
        </w:tc>
      </w:tr>
    </w:tbl>
    <w:p>
      <w:pPr>
        <w:ind w:left="173"/>
      </w:pPr>
      <w:r>
        <w:rPr>
          <w:b/>
          <w:color w:val="5937D8"/>
        </w:rPr>
        <w:t xml:space="preserve">□ </w:t>
      </w:r>
      <w:r>
        <w:t>Unduh PP 28/2025 dan Permen PU 6/2025 dari JDIH resmi; simpan di folder "Regulasi 2025" perusahaan.</w:t>
      </w:r>
    </w:p>
    <w:p>
      <w:pPr>
        <w:ind w:left="173"/>
      </w:pPr>
      <w:r>
        <w:rPr>
          <w:b/>
          <w:color w:val="5937D8"/>
        </w:rPr>
        <w:t xml:space="preserve">□ </w:t>
      </w:r>
      <w:r>
        <w:t>Tandai bagian yang menyebut subsektor jasa konstruksi, SBU, dan SKK.</w:t>
      </w:r>
    </w:p>
    <w:p>
      <w:pPr>
        <w:ind w:left="173"/>
      </w:pPr>
      <w:r>
        <w:rPr>
          <w:b/>
          <w:color w:val="5937D8"/>
        </w:rPr>
        <w:t xml:space="preserve">□ </w:t>
      </w:r>
      <w:r>
        <w:t>Tulis satu nama penanggung jawab regulasi di perusahaan Anda.</w:t>
      </w:r>
    </w:p>
    <w:p>
      <w:pPr>
        <w:spacing w:before="160"/>
      </w:pPr>
      <w:r>
        <w:rPr>
          <w:rFonts w:ascii="Aptos" w:hAnsi="Aptos"/>
          <w:b/>
          <w:color w:val="5937D8"/>
          <w:sz w:val="20"/>
        </w:rPr>
        <w:t>BAB 3</w:t>
      </w:r>
    </w:p>
    <w:p>
      <w:r>
        <w:br w:type="page"/>
      </w:r>
    </w:p>
    <w:p>
      <w:pPr>
        <w:pStyle w:val="Heading1"/>
      </w:pPr>
      <w:r>
        <w:t>SBU: Persyaratan Baru yang Menentukan Hidup-Mati Badan Usaha</w:t>
      </w:r>
    </w:p>
    <w:p>
      <w:pPr>
        <w:pStyle w:val="Heading2"/>
      </w:pPr>
      <w:r>
        <w:t>3.1 Posisi SBU di sistem baru</w:t>
      </w:r>
    </w:p>
    <w:p>
      <w:r>
        <w:t>Di era PBBR, SBU adalah sertifikat standar pemenuhan komitmen perizinan berusaha untuk subsektor jasa konstruksi. Permohonannya diajukan melalui OSS yang terhubung dengan sistem informasi jasa konstruksi dan LSBU. Tanpa SBU yang valid, badan usaha praktis kehilangan tiket mengikuti tender dan menandatangani kontrak pekerjaan konstruksi.</w:t>
      </w:r>
    </w:p>
    <w:p>
      <w:pPr>
        <w:pStyle w:val="Heading2"/>
      </w:pPr>
      <w:r>
        <w:t>3.2 Jenis usaha, klasifikasi, subklasifikasi, kualifikasi</w:t>
      </w:r>
    </w:p>
    <w:p>
      <w:r>
        <w:t>Jenis usaha: pelaksana konstruksi (kontraktor), perencana/pengawas (konsultan), dan konstruksi terintegrasi. Pilih satu jenis usaha yang dijalankan.</w:t>
      </w:r>
    </w:p>
    <w:p>
      <w:r>
        <w:t>Klasifikasi dan subklasifikasi: spesialisasi teknis dengan kode tertentu. Di Permen PU 6/2025 terdapat penyesuaian nomenklatur dan syarat — pastikan subklasifikasi lama Anda masih ada atau temukan padanan barunya.</w:t>
      </w:r>
    </w:p>
    <w:p>
      <w:r>
        <w:t>Kualifikasi: kecil (K1, K2), menengah (M1, M2), dan besar (B1, B2), yang menentukan batas nilai pekerjaan yang boleh Anda kerjakan.</w:t>
      </w:r>
    </w:p>
    <w:p>
      <w:pPr>
        <w:pStyle w:val="Heading2"/>
      </w:pPr>
      <w:r>
        <w:t>3.3 Enam gerbang pemeriksaan yang paling sering menggagalkan</w:t>
      </w:r>
    </w:p>
    <w:p>
      <w:r>
        <w:t>Legalitas dan KBLI 2025 — akta, NIB, dan kode KBLI harus sinkron; ketidakcocokan sekecil apa pun membuat pengajuan tertolak sistem.</w:t>
      </w:r>
    </w:p>
    <w:p>
      <w:r>
        <w:t>Keuangan — laporan keuangan diaudit Kantor Akuntan Publik terdaftar; struktur permodalan sesuai kualifikasi yang dibidik.</w:t>
      </w:r>
    </w:p>
    <w:p>
      <w:r>
        <w:t>SDM bersertifikat — tenaga ahli/terampil dengan SKK aktif sesuai jabatan kerja, termasuk PJT dan PJB.</w:t>
      </w:r>
    </w:p>
    <w:p>
      <w:r>
        <w:t>Peralatan konstruksi — bukti kepemilikan atau penguasaan yang sah; perhatikan pembatasan penggunaan alat yang sama antar-subklasifikasi.</w:t>
      </w:r>
    </w:p>
    <w:p>
      <w:r>
        <w:t>Sistem manajemen — SMK3/Sistem Manajemen Keselamatan Konstruksi.</w:t>
      </w:r>
    </w:p>
    <w:p>
      <w:r>
        <w:t>Integritas — komitmen anti-penyuapan (SMAP/ISO 37001) sesuai ketentuan yang berlaku.</w:t>
      </w:r>
    </w:p>
    <w:p>
      <w:pPr>
        <w:pStyle w:val="Heading2"/>
      </w:pPr>
      <w:r>
        <w:t>3.4 Masa berlaku dan perpanjangan</w:t>
      </w:r>
    </w:p>
    <w:p>
      <w:r>
        <w:t>Masa berlaku SBU umumnya 3 tahun sejak diterbitkan dan wajib diperpanjang agar badan usaha tetap legal beroperasi. Jangan menunggu bulan-bulan terakhir: mulai proses perpanjangan paling lambat 3–6 bulan sebelum habis masa berlaku, karena pemenuhan dokumen baru (audit keuangan, asesmen SKK) memakan waktu. Selalu cek ketentuan masa berlaku dan masa transisi terbaru di portal resmi.</w:t>
      </w:r>
    </w:p>
    <w:p>
      <w:pPr>
        <w:pStyle w:val="Heading2"/>
      </w:pPr>
      <w:r>
        <w:t>3.5 Alur tiga langkah: Siapkan → Ajukan → Verifikasi</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Langkah</w:t>
            </w:r>
          </w:p>
        </w:tc>
        <w:tc>
          <w:tcPr>
            <w:tcW w:type="dxa" w:w="3389"/>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Kegiatan</w:t>
            </w:r>
          </w:p>
        </w:tc>
        <w:tc>
          <w:tcPr>
            <w:tcW w:type="dxa" w:w="3389"/>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Bukti keberhasilan</w:t>
            </w:r>
          </w:p>
        </w:tc>
      </w:tr>
      <w:tr>
        <w:tc>
          <w:tcPr>
            <w:tcW w:type="dxa" w:w="3389"/>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1. Siapkan</w:t>
            </w:r>
          </w:p>
        </w:tc>
        <w:tc>
          <w:tcPr>
            <w:tcW w:type="dxa" w:w="3389"/>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Gap analysis, sinkronisasi KBLI 2025, audit KAP, cek SKK tim, dokumen peralatan, SMK3/SMAP</w:t>
            </w:r>
          </w:p>
        </w:tc>
        <w:tc>
          <w:tcPr>
            <w:tcW w:type="dxa" w:w="3389"/>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Semua checklist Bab 6 tercentang</w:t>
            </w:r>
          </w:p>
        </w:tc>
      </w:tr>
      <w:tr>
        <w:tc>
          <w:tcPr>
            <w:tcW w:type="dxa" w:w="3389"/>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2. Ajukan</w:t>
            </w:r>
          </w:p>
        </w:tc>
        <w:tc>
          <w:tcPr>
            <w:tcW w:type="dxa" w:w="3389"/>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Login OSS, pilih LSBU berlisensi, unggah dokumen, bayar sesuai tarif resmi</w:t>
            </w:r>
          </w:p>
        </w:tc>
        <w:tc>
          <w:tcPr>
            <w:tcW w:type="dxa" w:w="3389"/>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Nomor registrasi permohonan terbit</w:t>
            </w:r>
          </w:p>
        </w:tc>
      </w:tr>
      <w:tr>
        <w:tc>
          <w:tcPr>
            <w:tcW w:type="dxa" w:w="3389"/>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3. Verifikasi</w:t>
            </w:r>
          </w:p>
        </w:tc>
        <w:tc>
          <w:tcPr>
            <w:tcW w:type="dxa" w:w="3389"/>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Pantau status sesuai SLA, tanggapi permintaan perbaikan dengan cepat</w:t>
            </w:r>
          </w:p>
        </w:tc>
        <w:tc>
          <w:tcPr>
            <w:tcW w:type="dxa" w:w="3389"/>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SBU terbit dan tervalidasi di sistem</w:t>
            </w:r>
          </w:p>
        </w:tc>
      </w:tr>
    </w:tbl>
    <w:p/>
    <w:p>
      <w:pPr>
        <w:pStyle w:val="Heading2"/>
      </w:pPr>
      <w:r>
        <w:t>3.6 Jebakan regulasi — kesalahan umum penyebab penolakan SBU</w:t>
      </w:r>
    </w:p>
    <w:p>
      <w:r>
        <w:t>Mengajukan dengan kode KBLI lama yang belum disesuaikan dengan KBLI 2025.</w:t>
      </w:r>
    </w:p>
    <w:p>
      <w:r>
        <w:t>Laporan keuangan "asal ada" tanpa audit KAP terdaftar.</w:t>
      </w:r>
    </w:p>
    <w:p>
      <w:r>
        <w:t>Baru sadar SKK tenaga ahli kedaluwarsa saat pengajuan berjalan.</w:t>
      </w:r>
    </w:p>
    <w:p>
      <w:r>
        <w:t>Memilih subklasifikasi yang sudah berubah nomenklatur atau syarat kualifikasinya.</w:t>
      </w:r>
    </w:p>
    <w:p>
      <w:r>
        <w:t>Dokumen peralatan lemah: alat bekas tanpa bukti sah, sewa tanpa perjanjian rapi.</w:t>
      </w:r>
    </w:p>
    <w:p>
      <w:r>
        <w:t>Mengandalkan calo/konsultan yang sendirinya belum memahami aturan baru.</w:t>
      </w:r>
    </w:p>
    <w:p>
      <w:r>
        <w:t>Menunggu mendekati tenggat tender untuk memulai proses.</w:t>
      </w:r>
    </w:p>
    <w:tbl>
      <w:tblPr>
        <w:tblW w:type="auto" w:w="0"/>
        <w:tblLook w:firstColumn="1" w:firstRow="1" w:lastColumn="0" w:lastRow="0" w:noHBand="0" w:noVBand="1" w:val="04A0"/>
      </w:tblPr>
      <w:tblGrid>
        <w:gridCol w:w="10166"/>
      </w:tblGrid>
      <w:tr>
        <w:tc>
          <w:tcPr>
            <w:tcW w:type="dxa" w:w="10166"/>
            <w:shd w:fill="DDF7EE"/>
            <w:tcBorders>
              <w:top w:val="single" w:sz="4" w:color="92D7BF"/>
              <w:left w:val="single" w:sz="4" w:color="92D7BF"/>
              <w:bottom w:val="single" w:sz="4" w:color="92D7BF"/>
              <w:right w:val="single" w:sz="4" w:color="92D7BF"/>
            </w:tcBorders>
          </w:tcPr>
          <w:p>
            <w:pPr>
              <w:spacing w:after="40"/>
            </w:pPr>
            <w:r/>
            <w:r>
              <w:rPr>
                <w:rFonts w:ascii="Aptos" w:hAnsi="Aptos"/>
                <w:b/>
                <w:color w:val="0E6B54"/>
                <w:sz w:val="16"/>
              </w:rPr>
              <w:t>Aksi Sekarang — Bab 3:</w:t>
            </w:r>
          </w:p>
        </w:tc>
      </w:tr>
    </w:tbl>
    <w:p>
      <w:pPr>
        <w:ind w:left="173"/>
      </w:pPr>
      <w:r>
        <w:rPr>
          <w:b/>
          <w:color w:val="5937D8"/>
        </w:rPr>
        <w:t xml:space="preserve">□ </w:t>
      </w:r>
      <w:r>
        <w:t>Cocokkan kode KBLI di NIB Anda dengan KBLI 2025 — hari ini, sebelum yang lain.</w:t>
      </w:r>
    </w:p>
    <w:p>
      <w:pPr>
        <w:ind w:left="173"/>
      </w:pPr>
      <w:r>
        <w:rPr>
          <w:b/>
          <w:color w:val="5937D8"/>
        </w:rPr>
        <w:t xml:space="preserve">□ </w:t>
      </w:r>
      <w:r>
        <w:t>Buat daftar enam gerbang di atas dengan status perusahaan Anda: SIAP / BELUM.</w:t>
      </w:r>
    </w:p>
    <w:p>
      <w:pPr>
        <w:ind w:left="173"/>
      </w:pPr>
      <w:r>
        <w:rPr>
          <w:b/>
          <w:color w:val="5937D8"/>
        </w:rPr>
        <w:t xml:space="preserve">□ </w:t>
      </w:r>
      <w:r>
        <w:t>Jika SBU Anda habis dalam 12 bulan ke depan, jadwalkan kick-off perpanjangan minggu ini.</w:t>
      </w:r>
    </w:p>
    <w:p>
      <w:pPr>
        <w:spacing w:before="160"/>
      </w:pPr>
      <w:r>
        <w:rPr>
          <w:rFonts w:ascii="Aptos" w:hAnsi="Aptos"/>
          <w:b/>
          <w:color w:val="5937D8"/>
          <w:sz w:val="20"/>
        </w:rPr>
        <w:t>BAB 4</w:t>
      </w:r>
    </w:p>
    <w:p>
      <w:r>
        <w:br w:type="page"/>
      </w:r>
    </w:p>
    <w:p>
      <w:pPr>
        <w:pStyle w:val="Heading1"/>
      </w:pPr>
      <w:r>
        <w:t>SKK: Tiket Karier Tenaga Kerja Konstruksi</w:t>
      </w:r>
    </w:p>
    <w:p>
      <w:pPr>
        <w:pStyle w:val="Heading2"/>
      </w:pPr>
      <w:r>
        <w:t>4.1 SKK di era baru</w:t>
      </w:r>
    </w:p>
    <w:p>
      <w:r>
        <w:t>Sertifikat Kompetensi Kerja (SKK) konstruksi adalah bukti kompetensi tenaga ahli dan tenaga terampil, diterbitkan melalui uji kompetensi oleh LSP yang terlisensi BNSP, dan terintegrasi dengan sistem perizinan Kementerian PU. Di era baru, SKK bukan lampiran formalitas tender — ia tervalidasi sistem dan menjadi syarat keras, baik bagi pemegangnya maupun bagi SBU perusahaan tempatnya bekerja.</w:t>
      </w:r>
    </w:p>
    <w:p>
      <w:pPr>
        <w:pStyle w:val="Heading2"/>
      </w:pPr>
      <w:r>
        <w:t>4.2 Jabatan kerja dan kodefikasi</w:t>
      </w:r>
    </w:p>
    <w:p>
      <w:r>
        <w:t>Setiap kompetensi kini dipetakan dalam jabatan kerja (jabker) terkodefikasi. Jabker lama dikonversi mengacu klasifikasi dan kualifikasi terbaru. Implikasi praktis: cek apakah jabker pada SKK lama Anda masih ada, berubah nama, atau memerlukan konversi.</w:t>
      </w:r>
    </w:p>
    <w:p>
      <w:pPr>
        <w:pStyle w:val="Heading2"/>
      </w:pPr>
      <w:r>
        <w:t>4.3 Mekanisme uji kompetensi</w:t>
      </w:r>
    </w:p>
    <w:p>
      <w:r>
        <w:t>Skema dan materi uji (MUK) disusun berdasarkan standar kompetensi terkini — jangan belajar dari materi uji era lama.</w:t>
      </w:r>
    </w:p>
    <w:p>
      <w:r>
        <w:t>Asesmen dilakukan asesor kompetensi di Tempat Uji Kompetensi (TUK), mencakup bukti portofolio dan pengalaman kerja.</w:t>
      </w:r>
    </w:p>
    <w:p>
      <w:r>
        <w:t>Pendaftaran melalui LSP terlisensi; pilih skema sesuai jabker yang dibidik.</w:t>
      </w:r>
    </w:p>
    <w:p>
      <w:pPr>
        <w:pStyle w:val="Heading2"/>
      </w:pPr>
      <w:r>
        <w:t>4.4 Masa berlaku, perpanjangan, PJT dan PJB</w:t>
      </w:r>
    </w:p>
    <w:p>
      <w:r>
        <w:t>Masa berlaku SKK konstruksi adalah 5 tahun sejak diterbitkan; perpanjangan dilakukan sebelum habis masa berlaku melalui mekanisme yang ditetapkan LSP. Bagi perusahaan, pastikan jabatan PJT dan PJB diisi pemegang SKK yang sesuai — kekosongan di dua posisi ini langsung menggagalkan SBU.</w:t>
      </w:r>
    </w:p>
    <w:p>
      <w:pPr>
        <w:pStyle w:val="Heading2"/>
      </w:pPr>
      <w:r>
        <w:t>4.5 Jebakan SKK — kesalahan umum</w:t>
      </w:r>
    </w:p>
    <w:p>
      <w:r>
        <w:t>Menunggu SKK kedaluwarsa baru mengurus perpanjangan.</w:t>
      </w:r>
    </w:p>
    <w:p>
      <w:r>
        <w:t>Salah memilih jabatan kerja sehingga tidak dikenali kebutuhan SBU.</w:t>
      </w:r>
    </w:p>
    <w:p>
      <w:r>
        <w:t>Bukti pengalaman proyek lemah atau tidak terdokumentasi.</w:t>
      </w:r>
    </w:p>
    <w:p>
      <w:r>
        <w:t>Menganggap skema dan materi uji lama masih berlaku.</w:t>
      </w:r>
    </w:p>
    <w:p>
      <w:r>
        <w:t>Menggunakan jalur tidak resmi — risiko sertifikat tidak tervalidasi sistem.</w:t>
      </w:r>
    </w:p>
    <w:tbl>
      <w:tblPr>
        <w:tblW w:type="auto" w:w="0"/>
        <w:tblLook w:firstColumn="1" w:firstRow="1" w:lastColumn="0" w:lastRow="0" w:noHBand="0" w:noVBand="1" w:val="04A0"/>
      </w:tblPr>
      <w:tblGrid>
        <w:gridCol w:w="10166"/>
      </w:tblGrid>
      <w:tr>
        <w:tc>
          <w:tcPr>
            <w:tcW w:type="dxa" w:w="10166"/>
            <w:shd w:fill="DDF7EE"/>
            <w:tcBorders>
              <w:top w:val="single" w:sz="4" w:color="92D7BF"/>
              <w:left w:val="single" w:sz="4" w:color="92D7BF"/>
              <w:bottom w:val="single" w:sz="4" w:color="92D7BF"/>
              <w:right w:val="single" w:sz="4" w:color="92D7BF"/>
            </w:tcBorders>
          </w:tcPr>
          <w:p>
            <w:pPr>
              <w:spacing w:after="40"/>
            </w:pPr>
            <w:r/>
            <w:r>
              <w:rPr>
                <w:rFonts w:ascii="Aptos" w:hAnsi="Aptos"/>
                <w:b/>
                <w:color w:val="0E6B54"/>
                <w:sz w:val="16"/>
              </w:rPr>
              <w:t>Aksi Sekarang — Bab 4:</w:t>
            </w:r>
          </w:p>
        </w:tc>
      </w:tr>
    </w:tbl>
    <w:p>
      <w:pPr>
        <w:ind w:left="173"/>
      </w:pPr>
      <w:r>
        <w:rPr>
          <w:b/>
          <w:color w:val="5937D8"/>
        </w:rPr>
        <w:t xml:space="preserve">□ </w:t>
      </w:r>
      <w:r>
        <w:t>Audit seluruh SKK di perusahaan Anda: nomor, jabker, dan tanggal kedaluwarsa (gunakan template di Bab 6).</w:t>
      </w:r>
    </w:p>
    <w:p>
      <w:pPr>
        <w:ind w:left="173"/>
      </w:pPr>
      <w:r>
        <w:rPr>
          <w:b/>
          <w:color w:val="5937D8"/>
        </w:rPr>
        <w:t xml:space="preserve">□ </w:t>
      </w:r>
      <w:r>
        <w:t>Jadwalkan asesmen ulang di LSP terlisensi untuk SKK yang habis dalam 12 bulan ke depan.</w:t>
      </w:r>
    </w:p>
    <w:p>
      <w:pPr>
        <w:ind w:left="173"/>
      </w:pPr>
      <w:r>
        <w:rPr>
          <w:b/>
          <w:color w:val="5937D8"/>
        </w:rPr>
        <w:t xml:space="preserve">□ </w:t>
      </w:r>
      <w:r>
        <w:t>Pastikan posisi PJT dan PJB terisi pemegang SKK yang sesuai dan aktif.</w:t>
      </w:r>
    </w:p>
    <w:p>
      <w:pPr>
        <w:spacing w:before="160"/>
      </w:pPr>
      <w:r>
        <w:rPr>
          <w:rFonts w:ascii="Aptos" w:hAnsi="Aptos"/>
          <w:b/>
          <w:color w:val="5937D8"/>
          <w:sz w:val="20"/>
        </w:rPr>
        <w:t>BAB 5</w:t>
      </w:r>
    </w:p>
    <w:p>
      <w:r>
        <w:br w:type="page"/>
      </w:r>
    </w:p>
    <w:p>
      <w:pPr>
        <w:pStyle w:val="Heading1"/>
      </w:pPr>
      <w:r>
        <w:t>Gap Analysis &amp; Transisi: Saat PETA-4T Bekerja</w:t>
      </w:r>
    </w:p>
    <w:p>
      <w:pPr>
        <w:pStyle w:val="Heading2"/>
      </w:pPr>
      <w:r>
        <w:t>5.1 Lembar kerja gap analysis</w:t>
      </w:r>
    </w:p>
    <w:p>
      <w:r>
        <w:t>Salin tabel ini ke dokumen kerja perusahaan Anda dan isi dengan jujur:</w:t>
      </w:r>
    </w:p>
    <w:tbl>
      <w:tblPr>
        <w:tblStyle w:val="TableGrid"/>
        <w:tblW w:type="auto" w:w="0"/>
        <w:tblLayout w:type="autofit"/>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Aspek</w:t>
            </w:r>
          </w:p>
        </w:tc>
        <w:tc>
          <w:tcPr>
            <w:tcW w:type="dxa" w:w="1452"/>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Kondisi Saat Ini</w:t>
            </w:r>
          </w:p>
        </w:tc>
        <w:tc>
          <w:tcPr>
            <w:tcW w:type="dxa" w:w="1452"/>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Syarat Baru</w:t>
            </w:r>
          </w:p>
        </w:tc>
        <w:tc>
          <w:tcPr>
            <w:tcW w:type="dxa" w:w="1452"/>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Gap</w:t>
            </w:r>
          </w:p>
        </w:tc>
        <w:tc>
          <w:tcPr>
            <w:tcW w:type="dxa" w:w="1452"/>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Aksi</w:t>
            </w:r>
          </w:p>
        </w:tc>
        <w:tc>
          <w:tcPr>
            <w:tcW w:type="dxa" w:w="1452"/>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Penanggung Jawab</w:t>
            </w:r>
          </w:p>
        </w:tc>
        <w:tc>
          <w:tcPr>
            <w:tcW w:type="dxa" w:w="1452"/>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Target Tanggal</w:t>
            </w:r>
          </w:p>
        </w:tc>
      </w:tr>
      <w:tr>
        <w:tc>
          <w:tcPr>
            <w:tcW w:type="dxa" w:w="1452"/>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Legalitas/KBLI 2025</w:t>
            </w:r>
          </w:p>
        </w:tc>
        <w:tc>
          <w:tcPr>
            <w:tcW w:type="dxa" w:w="1452"/>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r>
      <w:tr>
        <w:tc>
          <w:tcPr>
            <w:tcW w:type="dxa" w:w="1452"/>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Laporan keuangan (audit KAP)</w:t>
            </w:r>
          </w:p>
        </w:tc>
        <w:tc>
          <w:tcPr>
            <w:tcW w:type="dxa" w:w="1452"/>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r>
      <w:tr>
        <w:tc>
          <w:tcPr>
            <w:tcW w:type="dxa" w:w="1452"/>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SKK tenaga ahli/terampil</w:t>
            </w:r>
          </w:p>
        </w:tc>
        <w:tc>
          <w:tcPr>
            <w:tcW w:type="dxa" w:w="1452"/>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r>
      <w:tr>
        <w:tc>
          <w:tcPr>
            <w:tcW w:type="dxa" w:w="1452"/>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PJT &amp; PJB</w:t>
            </w:r>
          </w:p>
        </w:tc>
        <w:tc>
          <w:tcPr>
            <w:tcW w:type="dxa" w:w="1452"/>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r>
      <w:tr>
        <w:tc>
          <w:tcPr>
            <w:tcW w:type="dxa" w:w="1452"/>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Peralatan</w:t>
            </w:r>
          </w:p>
        </w:tc>
        <w:tc>
          <w:tcPr>
            <w:tcW w:type="dxa" w:w="1452"/>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r>
      <w:tr>
        <w:tc>
          <w:tcPr>
            <w:tcW w:type="dxa" w:w="1452"/>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SMK3/SMKK</w:t>
            </w:r>
          </w:p>
        </w:tc>
        <w:tc>
          <w:tcPr>
            <w:tcW w:type="dxa" w:w="1452"/>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r>
      <w:tr>
        <w:tc>
          <w:tcPr>
            <w:tcW w:type="dxa" w:w="1452"/>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SMAP/ISO 37001</w:t>
            </w:r>
          </w:p>
        </w:tc>
        <w:tc>
          <w:tcPr>
            <w:tcW w:type="dxa" w:w="1452"/>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r>
      <w:tr>
        <w:tc>
          <w:tcPr>
            <w:tcW w:type="dxa" w:w="1452"/>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Subklasifikasi &amp; kualifikasi SBU</w:t>
            </w:r>
          </w:p>
        </w:tc>
        <w:tc>
          <w:tcPr>
            <w:tcW w:type="dxa" w:w="1452"/>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452"/>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r>
    </w:tbl>
    <w:p/>
    <w:p>
      <w:pPr>
        <w:pStyle w:val="Heading2"/>
      </w:pPr>
      <w:r>
        <w:t>5.2 Roadmap transisi indikatif 90 hari</w:t>
      </w:r>
    </w:p>
    <w:tbl>
      <w:tblPr>
        <w:tblStyle w:val="TableGrid"/>
        <w:tblW w:type="auto" w:w="0"/>
        <w:tblLayout w:type="autofit"/>
        <w:tblLook w:firstColumn="1" w:firstRow="1" w:lastColumn="0" w:lastRow="0" w:noHBand="0" w:noVBand="1" w:val="04A0"/>
      </w:tblPr>
      <w:tblGrid>
        <w:gridCol w:w="3389"/>
        <w:gridCol w:w="3389"/>
        <w:gridCol w:w="3389"/>
      </w:tblGrid>
      <w:tr>
        <w:trPr>
          <w:tblHeader w:val="true"/>
        </w:trPr>
        <w:tc>
          <w:tcPr>
            <w:tcW w:type="dxa" w:w="3389"/>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Fase</w:t>
            </w:r>
          </w:p>
        </w:tc>
        <w:tc>
          <w:tcPr>
            <w:tcW w:type="dxa" w:w="3389"/>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Waktu</w:t>
            </w:r>
          </w:p>
        </w:tc>
        <w:tc>
          <w:tcPr>
            <w:tcW w:type="dxa" w:w="3389"/>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Fokus</w:t>
            </w:r>
          </w:p>
        </w:tc>
      </w:tr>
      <w:tr>
        <w:tc>
          <w:tcPr>
            <w:tcW w:type="dxa" w:w="3389"/>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Pahami</w:t>
            </w:r>
          </w:p>
        </w:tc>
        <w:tc>
          <w:tcPr>
            <w:tcW w:type="dxa" w:w="3389"/>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Hari 1–7</w:t>
            </w:r>
          </w:p>
        </w:tc>
        <w:tc>
          <w:tcPr>
            <w:tcW w:type="dxa" w:w="3389"/>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Unduh regulasi, petakan perubahan, bentuk tim kecil kepatuhan</w:t>
            </w:r>
          </w:p>
        </w:tc>
      </w:tr>
      <w:tr>
        <w:tc>
          <w:tcPr>
            <w:tcW w:type="dxa" w:w="3389"/>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Evaluasi</w:t>
            </w:r>
          </w:p>
        </w:tc>
        <w:tc>
          <w:tcPr>
            <w:tcW w:type="dxa" w:w="3389"/>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Hari 8–21</w:t>
            </w:r>
          </w:p>
        </w:tc>
        <w:tc>
          <w:tcPr>
            <w:tcW w:type="dxa" w:w="3389"/>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Gap analysis menyeluruh; audit legalitas, keuangan, SKK, peralatan</w:t>
            </w:r>
          </w:p>
        </w:tc>
      </w:tr>
      <w:tr>
        <w:tc>
          <w:tcPr>
            <w:tcW w:type="dxa" w:w="3389"/>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Transisi</w:t>
            </w:r>
          </w:p>
        </w:tc>
        <w:tc>
          <w:tcPr>
            <w:tcW w:type="dxa" w:w="3389"/>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Hari 22–75</w:t>
            </w:r>
          </w:p>
        </w:tc>
        <w:tc>
          <w:tcPr>
            <w:tcW w:type="dxa" w:w="3389"/>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Penyesuaian KBLI/akta/NIB, audit KAP, asesmen SKK di LSP, pengajuan di OSS via LSBU</w:t>
            </w:r>
          </w:p>
        </w:tc>
      </w:tr>
      <w:tr>
        <w:tc>
          <w:tcPr>
            <w:tcW w:type="dxa" w:w="3389"/>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Tamankan</w:t>
            </w:r>
          </w:p>
        </w:tc>
        <w:tc>
          <w:tcPr>
            <w:tcW w:type="dxa" w:w="3389"/>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Hari 76–90</w:t>
            </w:r>
          </w:p>
        </w:tc>
        <w:tc>
          <w:tcPr>
            <w:tcW w:type="dxa" w:w="3389"/>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Verifikasi penerbitan, susun kalender kepatuhan tahunan, SOP penanggung jawab regulasi</w:t>
            </w:r>
          </w:p>
        </w:tc>
      </w:tr>
    </w:tbl>
    <w:p/>
    <w:p>
      <w:r>
        <w:t>Roadmap di atas bersifat indikatif sebagai kerangka kerja internal. Tenggat resmi masa transisi mengikuti ketentuan peralihan pada peraturan yang berlaku — cek selalu pengumuman resmi Kementerian PU dan LPJK.</w:t>
      </w:r>
    </w:p>
    <w:p>
      <w:pPr>
        <w:pStyle w:val="Heading2"/>
      </w:pPr>
      <w:r>
        <w:t>5.3 Skenario kondisional: jika X, maka Y</w:t>
      </w:r>
    </w:p>
    <w:p>
      <w:r>
        <w:t>Jika SBU Anda habis kurang dari 3 bulan lagi → prioritaskan Transisi: kunci dulu legalitas dan SKK, baru dokumen lain; komunikasikan SLA dengan LSBU sejak hari pertama.</w:t>
      </w:r>
    </w:p>
    <w:p>
      <w:r>
        <w:t>Jika SKK tenaga ahli kunci kedaluwarsa → jadwalkan asesmen di LSP segera dan siapkan satu kandidat pengganti (buffer) agar syarat minimal tenaga ahli tidak bolong.</w:t>
      </w:r>
    </w:p>
    <w:p>
      <w:r>
        <w:t>Jika tender kurang dari 30 hari → verifikasi validitas SBU/SKK di sistem resmi dan siapkan bukti tayangnya; jangan bertaruh pada dokumen yang masih "dalam proses".</w:t>
      </w:r>
    </w:p>
    <w:p>
      <w:r>
        <w:t>Jika subklasifikasi Anda berubah nomenklatur → temukan padanan barunya di Permen PU 6/2025 dan konsultasikan ke LSBU sebelum mengajukan, bukan sesudah ditolak.</w:t>
      </w:r>
    </w:p>
    <w:tbl>
      <w:tblPr>
        <w:tblW w:type="auto" w:w="0"/>
        <w:tblLook w:firstColumn="1" w:firstRow="1" w:lastColumn="0" w:lastRow="0" w:noHBand="0" w:noVBand="1" w:val="04A0"/>
      </w:tblPr>
      <w:tblGrid>
        <w:gridCol w:w="10166"/>
      </w:tblGrid>
      <w:tr>
        <w:tc>
          <w:tcPr>
            <w:tcW w:type="dxa" w:w="10166"/>
            <w:shd w:fill="DDF7EE"/>
            <w:tcBorders>
              <w:top w:val="single" w:sz="4" w:color="92D7BF"/>
              <w:left w:val="single" w:sz="4" w:color="92D7BF"/>
              <w:bottom w:val="single" w:sz="4" w:color="92D7BF"/>
              <w:right w:val="single" w:sz="4" w:color="92D7BF"/>
            </w:tcBorders>
          </w:tcPr>
          <w:p>
            <w:pPr>
              <w:spacing w:after="40"/>
            </w:pPr>
            <w:r/>
            <w:r>
              <w:rPr>
                <w:rFonts w:ascii="Aptos" w:hAnsi="Aptos"/>
                <w:b/>
                <w:color w:val="0E6B54"/>
                <w:sz w:val="16"/>
              </w:rPr>
              <w:t>Aksi Sekarang — Bab 5:</w:t>
            </w:r>
          </w:p>
        </w:tc>
      </w:tr>
    </w:tbl>
    <w:p>
      <w:pPr>
        <w:ind w:left="173"/>
      </w:pPr>
      <w:r>
        <w:rPr>
          <w:b/>
          <w:color w:val="5937D8"/>
        </w:rPr>
        <w:t xml:space="preserve">□ </w:t>
      </w:r>
      <w:r>
        <w:t>Isi lembar kerja gap analysis hari ini juga — versi kasar pun tidak apa-apa.</w:t>
      </w:r>
    </w:p>
    <w:p>
      <w:pPr>
        <w:ind w:left="173"/>
      </w:pPr>
      <w:r>
        <w:rPr>
          <w:b/>
          <w:color w:val="5937D8"/>
        </w:rPr>
        <w:t xml:space="preserve">□ </w:t>
      </w:r>
      <w:r>
        <w:t>Tetapkan satu tanggal kick-off 90 hari dan satu penanggung jawab.</w:t>
      </w:r>
    </w:p>
    <w:p>
      <w:pPr>
        <w:spacing w:before="160"/>
      </w:pPr>
      <w:r>
        <w:rPr>
          <w:rFonts w:ascii="Aptos" w:hAnsi="Aptos"/>
          <w:b/>
          <w:color w:val="5937D8"/>
          <w:sz w:val="20"/>
        </w:rPr>
        <w:t>BAB 6</w:t>
      </w:r>
    </w:p>
    <w:p>
      <w:r>
        <w:br w:type="page"/>
      </w:r>
    </w:p>
    <w:p>
      <w:pPr>
        <w:pStyle w:val="Heading1"/>
      </w:pPr>
      <w:r>
        <w:t>Checklist &amp; Template Siap Pakai</w:t>
      </w:r>
    </w:p>
    <w:p>
      <w:pPr>
        <w:pStyle w:val="Heading2"/>
      </w:pPr>
      <w:r>
        <w:t>6.1 Checklist pemenuhan SBU</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No</w:t>
            </w:r>
          </w:p>
        </w:tc>
        <w:tc>
          <w:tcPr>
            <w:tcW w:type="dxa" w:w="2541"/>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Item</w:t>
            </w:r>
          </w:p>
        </w:tc>
        <w:tc>
          <w:tcPr>
            <w:tcW w:type="dxa" w:w="2541"/>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Status</w:t>
            </w:r>
          </w:p>
        </w:tc>
        <w:tc>
          <w:tcPr>
            <w:tcW w:type="dxa" w:w="2541"/>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Bukti/Catatan</w:t>
            </w:r>
          </w:p>
        </w:tc>
      </w:tr>
      <w:tr>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1</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Akta pendirian &amp; perubahan terakhir sinkron dengan NIB</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r>
      <w:tr>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2</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Kode KBLI sesuai KBLI 2025</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r>
      <w:tr>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3</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NIB aktif dan terbaca di OSS</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r>
      <w:tr>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4</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Laporan keuangan diaudit KAP terdaftar</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r>
      <w:tr>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5</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Struktur permodalan sesuai kualifikasi</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r>
      <w:tr>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6</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SKK tenaga ahli/terampil aktif &amp; sesuai jabker</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r>
      <w:tr>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7</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PJT dan PJB terisi pemegang SKK sesuai</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r>
      <w:tr>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8</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Dokumen kepemilikan/penguasaan peralatan sah</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r>
      <w:tr>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9</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SMK3/SMKK terdokumentasi</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r>
      <w:tr>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10</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Komitmen SMAP/ISO 37001</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r>
      <w:tr>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11</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Subklasifikasi &amp; kualifikasi sesuai Permen PU terbaru</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r>
      <w:tr>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12</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LSBU berlisensi dipilih; tarif resmi diketahui</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r>
    </w:tbl>
    <w:p/>
    <w:p>
      <w:pPr>
        <w:pStyle w:val="Heading2"/>
      </w:pPr>
      <w:r>
        <w:t>6.2 Checklist pemenuhan SKK</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No</w:t>
            </w:r>
          </w:p>
        </w:tc>
        <w:tc>
          <w:tcPr>
            <w:tcW w:type="dxa" w:w="2541"/>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Item</w:t>
            </w:r>
          </w:p>
        </w:tc>
        <w:tc>
          <w:tcPr>
            <w:tcW w:type="dxa" w:w="2541"/>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Status</w:t>
            </w:r>
          </w:p>
        </w:tc>
        <w:tc>
          <w:tcPr>
            <w:tcW w:type="dxa" w:w="2541"/>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Bukti/Catatan</w:t>
            </w:r>
          </w:p>
        </w:tc>
      </w:tr>
      <w:tr>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1</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Jabatan kerja &amp; kode sesuai kodefikasi terbaru</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r>
      <w:tr>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2</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SKK aktif (masa berlaku 5 tahun belum lewat)</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r>
      <w:tr>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3</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Portofolio pengalaman proyek terdokumentasi</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r>
      <w:tr>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4</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Materi uji kompetensi (MUK) terbaru dipelajari</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r>
      <w:tr>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5</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LSP terlisensi BNSP &amp; TUK dipilih</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w:t>
            </w:r>
          </w:p>
        </w:tc>
        <w:tc>
          <w:tcPr>
            <w:tcW w:type="dxa" w:w="2541"/>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r>
      <w:tr>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6</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Jadwal asesmen ditetapkan</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w:t>
            </w:r>
          </w:p>
        </w:tc>
        <w:tc>
          <w:tcPr>
            <w:tcW w:type="dxa" w:w="2541"/>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r>
    </w:tbl>
    <w:p/>
    <w:p>
      <w:pPr>
        <w:pStyle w:val="Heading2"/>
      </w:pPr>
      <w:r>
        <w:t>6.3 Template surat pernyataan (contoh kerangka)</w:t>
      </w:r>
    </w:p>
    <w:p>
      <w:r>
        <w:t>SURAT PERNYATAAN</w:t>
      </w:r>
    </w:p>
    <w:p>
      <w:r>
        <w:t>Saya yang bertanda tangan di bawah ini, [nama], selaku [jabatan] [nama badan usaha], menyatakan dengan sesungguhnya bahwa seluruh data dan dokumen yang disampaikan dalam permohonan [penerbitan/perpanjangan] Sertifikat Badan Usaha adalah benar, valid, dan dapat diverifikasi. Apabila di kemudian hari ditemukan ketidakbenaran, kami bersedia menerima sanksi sesuai ketentuan peraturan perundang-undangan.</w:t>
      </w:r>
    </w:p>
    <w:p>
      <w:r>
        <w:t>[Kota, tanggal] — [Tanda tangan dan stempel]</w:t>
      </w:r>
    </w:p>
    <w:p>
      <w:r>
        <w:t>Sesuaikan dengan format resmi yang diminta LSBU/OSS.</w:t>
      </w:r>
    </w:p>
    <w:p>
      <w:pPr>
        <w:pStyle w:val="Heading2"/>
      </w:pPr>
      <w:r>
        <w:t>6.4 Template daftar tenaga ahli</w:t>
      </w:r>
    </w:p>
    <w:tbl>
      <w:tblPr>
        <w:tblStyle w:val="TableGrid"/>
        <w:tblW w:type="auto" w:w="0"/>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No</w:t>
            </w:r>
          </w:p>
        </w:tc>
        <w:tc>
          <w:tcPr>
            <w:tcW w:type="dxa" w:w="1694"/>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Nama</w:t>
            </w:r>
          </w:p>
        </w:tc>
        <w:tc>
          <w:tcPr>
            <w:tcW w:type="dxa" w:w="1694"/>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Jabatan Kerja</w:t>
            </w:r>
          </w:p>
        </w:tc>
        <w:tc>
          <w:tcPr>
            <w:tcW w:type="dxa" w:w="1694"/>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No. SKK</w:t>
            </w:r>
          </w:p>
        </w:tc>
        <w:tc>
          <w:tcPr>
            <w:tcW w:type="dxa" w:w="1694"/>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Masa Berlaku</w:t>
            </w:r>
          </w:p>
        </w:tc>
        <w:tc>
          <w:tcPr>
            <w:tcW w:type="dxa" w:w="1694"/>
            <w:shd w:fill="5937D8"/>
            <w:tcBorders>
              <w:top w:val="single" w:sz="4" w:color="D7DCEC"/>
              <w:left w:val="single" w:sz="4" w:color="D7DCEC"/>
              <w:bottom w:val="single" w:sz="4" w:color="D7DCEC"/>
              <w:right w:val="single" w:sz="4" w:color="D7DCEC"/>
            </w:tcBorders>
          </w:tcPr>
          <w:p>
            <w:pPr>
              <w:spacing w:after="40"/>
            </w:pPr>
            <w:r/>
            <w:r>
              <w:rPr>
                <w:rFonts w:ascii="Aptos" w:hAnsi="Aptos"/>
                <w:b/>
                <w:color w:val="FFFFFF"/>
                <w:sz w:val="16"/>
              </w:rPr>
              <w:t>Status</w:t>
            </w:r>
          </w:p>
        </w:tc>
      </w:tr>
      <w:tr>
        <w:tc>
          <w:tcPr>
            <w:tcW w:type="dxa" w:w="1694"/>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1</w:t>
            </w:r>
          </w:p>
        </w:tc>
        <w:tc>
          <w:tcPr>
            <w:tcW w:type="dxa" w:w="1694"/>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694"/>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694"/>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694"/>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694"/>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r>
      <w:tr>
        <w:tc>
          <w:tcPr>
            <w:tcW w:type="dxa" w:w="1694"/>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2</w:t>
            </w:r>
          </w:p>
        </w:tc>
        <w:tc>
          <w:tcPr>
            <w:tcW w:type="dxa" w:w="1694"/>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694"/>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694"/>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694"/>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694"/>
            <w:shd w:fill="FFFFFF"/>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r>
      <w:tr>
        <w:tc>
          <w:tcPr>
            <w:tcW w:type="dxa" w:w="1694"/>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t>3</w:t>
            </w:r>
          </w:p>
        </w:tc>
        <w:tc>
          <w:tcPr>
            <w:tcW w:type="dxa" w:w="1694"/>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694"/>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694"/>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694"/>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c>
          <w:tcPr>
            <w:tcW w:type="dxa" w:w="1694"/>
            <w:shd w:fill="F5F6FA"/>
            <w:tcBorders>
              <w:top w:val="single" w:sz="4" w:color="D7DCEC"/>
              <w:left w:val="single" w:sz="4" w:color="D7DCEC"/>
              <w:bottom w:val="single" w:sz="4" w:color="D7DCEC"/>
              <w:right w:val="single" w:sz="4" w:color="D7DCEC"/>
            </w:tcBorders>
          </w:tcPr>
          <w:p>
            <w:pPr>
              <w:spacing w:after="40"/>
            </w:pPr>
            <w:r/>
            <w:r>
              <w:rPr>
                <w:rFonts w:ascii="Aptos" w:hAnsi="Aptos"/>
                <w:b w:val="0"/>
                <w:color w:val="1B2437"/>
                <w:sz w:val="16"/>
              </w:rPr>
            </w:r>
          </w:p>
        </w:tc>
      </w:tr>
    </w:tbl>
    <w:p/>
    <w:tbl>
      <w:tblPr>
        <w:tblW w:type="auto" w:w="0"/>
        <w:tblLook w:firstColumn="1" w:firstRow="1" w:lastColumn="0" w:lastRow="0" w:noHBand="0" w:noVBand="1" w:val="04A0"/>
      </w:tblPr>
      <w:tblGrid>
        <w:gridCol w:w="10166"/>
      </w:tblGrid>
      <w:tr>
        <w:tc>
          <w:tcPr>
            <w:tcW w:type="dxa" w:w="10166"/>
            <w:shd w:fill="DDF7EE"/>
            <w:tcBorders>
              <w:top w:val="single" w:sz="4" w:color="92D7BF"/>
              <w:left w:val="single" w:sz="4" w:color="92D7BF"/>
              <w:bottom w:val="single" w:sz="4" w:color="92D7BF"/>
              <w:right w:val="single" w:sz="4" w:color="92D7BF"/>
            </w:tcBorders>
          </w:tcPr>
          <w:p>
            <w:pPr>
              <w:spacing w:after="40"/>
            </w:pPr>
            <w:r/>
            <w:r>
              <w:rPr>
                <w:rFonts w:ascii="Aptos" w:hAnsi="Aptos"/>
                <w:b/>
                <w:color w:val="0E6B54"/>
                <w:sz w:val="16"/>
              </w:rPr>
              <w:t>Aksi Sekarang — Bab 6: cetak kedua checklist, tempel di ruang legal/perizinan, dan mulai centang satu per satu.</w:t>
            </w:r>
          </w:p>
        </w:tc>
      </w:tr>
    </w:tbl>
    <w:p>
      <w:pPr>
        <w:spacing w:before="160"/>
      </w:pPr>
      <w:r>
        <w:rPr>
          <w:rFonts w:ascii="Aptos" w:hAnsi="Aptos"/>
          <w:b/>
          <w:color w:val="5937D8"/>
          <w:sz w:val="20"/>
        </w:rPr>
        <w:t>BAB 7</w:t>
      </w:r>
    </w:p>
    <w:p>
      <w:r>
        <w:br w:type="page"/>
      </w:r>
    </w:p>
    <w:p>
      <w:pPr>
        <w:pStyle w:val="Heading1"/>
      </w:pPr>
      <w:r>
        <w:t>Studi Kasus: Tiga Perusahaan, Tiga Jalan Transisi</w:t>
      </w:r>
    </w:p>
    <w:p>
      <w:r>
        <w:t>Kasus 1 — PT Konstruksi Maju (kualifikasi kecil): subklasifikasi yang "menghilang"</w:t>
      </w:r>
    </w:p>
    <w:p>
      <w:r>
        <w:t>Masalah: SBU lama memuat subklasifikasi yang berubah di regulasi baru. Dokumen tender pemerintah ditolak karena SBU dianggap tidak valid.</w:t>
        <w:br/>
        <w:t>PETA-4T: Pahami — mengidentifikasi subklasifikasi baru yang setara; Evaluasi — menyiapkan dokumen perubahan; Transisi — mengajukan perubahan melalui OSS dalam 14 hari; Tamankan — membuat kalender perpanjangan tahunan.</w:t>
        <w:br/>
        <w:t>Hasil: SBU baru terbit dalam 21 hari kerja; perusahaan kembali memenuhi syarat tender.</w:t>
        <w:br/>
        <w:t>Pelajaran: perubahan nomenklatur bukan akhir riwayat — asalkan dipetakan cepat ke padanan barunya.</w:t>
      </w:r>
    </w:p>
    <w:p>
      <w:r>
        <w:t>Kasus 2 — Konsultan perencana menengah: tiga dari lima SKK kedaluwarsa</w:t>
      </w:r>
    </w:p>
    <w:p>
      <w:r>
        <w:t>Masalah: Tiga dari lima tenaga ahli SKK-nya kedaluwarsa dan skema uji kompetensi berubah; syarat minimal tenaga ahli untuk SBU menengah tidak terpenuhi.</w:t>
        <w:br/>
        <w:t>PETA-4T: memetakan skema SKK baru, menjadwalkan uji kompetensi ulang di LSP terlisensi, dan secara paralel merekrut satu tenaga ahli tambahan sebagai penyangga.</w:t>
        <w:br/>
        <w:t>Hasil: SBU berhasil diperpanjang tepat waktu; perusahaan memenangkan dua tender konsultansi.</w:t>
        <w:br/>
        <w:t>Pelajaran: ketergantungan pada jumlah tenaga ahli yang pas-pasan adalah risiko struktural — selalu sediakan buffer.</w:t>
      </w:r>
    </w:p>
    <w:p>
      <w:r>
        <w:t>Kasus 3 — Perusahaan besar multi-klasifikasi: delapan subklasifikasi, tiga berubah</w:t>
      </w:r>
    </w:p>
    <w:p>
      <w:r>
        <w:t>Masalah: Dari delapan subklasifikasi SBU, tiga berubah nomenklatur dan syarat kualifikasi; PJT tidak memahami persyaratan baru.</w:t>
        <w:br/>
        <w:t>PETA-4T: workshop internal dua hari menggunakan Matriks Komparasi, memperbarui seluruh dokumen, lalu berkoordinasi dengan LSBU untuk penyesuaian.</w:t>
        <w:br/>
        <w:t>Hasil: Transisi selesai dalam 45 hari tanpa gangguan operasional.</w:t>
        <w:br/>
        <w:t>Pelajaran: untuk organisasi besar, masalah utamanya bukan biaya melainkan sinkronisasi pengetahuan — matriks komparasi adalah alat kerja wajib.</w:t>
      </w:r>
    </w:p>
    <w:p>
      <w:r>
        <w:br w:type="page"/>
      </w:r>
    </w:p>
    <w:p>
      <w:pPr>
        <w:pStyle w:val="Heading1"/>
      </w:pPr>
      <w:r>
        <w:t xml:space="preserve">Bab 8 </w:t>
        <w:br/>
        <w:t>FAQ: Sepuluh Pertanyaan yang Paling Sering Muncul</w:t>
      </w:r>
    </w:p>
    <w:p>
      <w:r>
        <w:t>Apakah SBU/SKK lama saya masih berlaku? Selama masa berlakunya belum habis umumnya tetap diakui sesuai ketentuan peralihan; namun untuk perpanjangan dan perubahan, Anda wajib mengikuti standar baru. Cek ketentuan peralihan resmi.</w:t>
      </w:r>
    </w:p>
    <w:p>
      <w:r>
        <w:t>Apakah saya harus mengganti SBU sekarang meski belum kedaluwarsa? Tidak selalu. Yang wajib adalah memastikan data Anda (KBLI 2025, SKK tim, keuangan) siap sebelum jadwal perpanjangan.</w:t>
      </w:r>
    </w:p>
    <w:p>
      <w:r>
        <w:t>Apa beda LPJK, LSBU, dan LSP sekarang? LPJK bertransformasi menjadi lembaga pengembangan dan akreditasi; SBU diterbitkan LSBU; SKK diterbitkan LSP terlisensi BNSP.</w:t>
      </w:r>
    </w:p>
    <w:p>
      <w:r>
        <w:t>Bisakah mengurus tanpa konsultan? Bisa. Dengan checklist dan matriks di buku ini, sebagian besar proses dapat dilakukan mandiri; konsultan hanya bernilai tambah jika ia benar-benar paham aturan baru.</w:t>
      </w:r>
    </w:p>
    <w:p>
      <w:r>
        <w:t>Berapa lama proses SBU? Tergantung kelengkapan dokumen dan SLA layanan; pengalaman lapangan berkisar 2–4 minggu setelah dokumen lengkap.</w:t>
      </w:r>
    </w:p>
    <w:p>
      <w:r>
        <w:t>SKK saya kedaluwarsa, apakah harus uji ulang? Umumnya perpanjangan mengikuti mekanisme LSP terkait; siapkan portofolio pengalaman dan ikuti skema terbaru.</w:t>
      </w:r>
    </w:p>
    <w:p>
      <w:r>
        <w:t>Apa itu penyesuaian KBLI 2025 dan mengapa krusial? KBLI 2025 adalah klasifikasi lapangan usaha terbaru; ketidaksinkronan kode KBLI di NIB dengan akta adalah penyebab penolakan paling umum di sistem.</w:t>
      </w:r>
    </w:p>
    <w:p>
      <w:r>
        <w:t>Apakah peralatan sewa bisa memenuhi syarat? Bisa, selama penguasaannya sah dan terdokumentasi; perhatikan pembatasan penggunaan alat yang sama antar-subklasifikasi.</w:t>
      </w:r>
    </w:p>
    <w:p>
      <w:r>
        <w:t>Apa sanksi jika tetap beroperasi tanpa memenuhi standar baru? Permen PU 6/2025 memuat pengawasan dan pengenaan sanksi bertingkat — dari administratif hingga konsekuensi pada izin berusaha. Jangan uji batasnya.</w:t>
      </w:r>
    </w:p>
    <w:p>
      <w:r>
        <w:t>Di mana cek validitas SBU/SKK? Melalui sistem informasi resmi Kementerian PU/LPJK dan kanal verifikasi LSBU/LSP — tautan ada di Lampiran.</w:t>
      </w:r>
    </w:p>
    <w:p>
      <w:pPr>
        <w:spacing w:before="160"/>
      </w:pPr>
      <w:r>
        <w:rPr>
          <w:rFonts w:ascii="Aptos" w:hAnsi="Aptos"/>
          <w:b/>
          <w:color w:val="5937D8"/>
          <w:sz w:val="20"/>
        </w:rPr>
        <w:t>BAB 9</w:t>
      </w:r>
    </w:p>
    <w:p>
      <w:r>
        <w:br w:type="page"/>
      </w:r>
    </w:p>
    <w:p>
      <w:pPr>
        <w:pStyle w:val="Heading1"/>
      </w:pPr>
      <w:r>
        <w:t>Penutup: Kepatuhan Adalah Senjata Kompetitif</w:t>
      </w:r>
    </w:p>
    <w:p>
      <w:r>
        <w:t>Perubahan regulasi tidak harus menjadi momok. Tiga bulan setelah telepon pukul sebelas malam itu, Pak Hartono membuka laptopnya: KBLI sudah disesuaikan, laporan keuangan sudah diaudit, SKK timnya diperbarui melalui LSP. Pagi itu, notifikasi OSS yang dulu ia takuti membawa kabar yang ia tunggu: SBU baru telah terbit. Ia memang kehilangan tender tiga miliar yang pertama — tetapi dua bulan kemudian memenangkan tender lain dengan dokumen yang tak bisa digugat siapa pun.</w:t>
      </w:r>
    </w:p>
    <w:p>
      <w:r>
        <w:t>Di forum asosiasi, ia berkata kepada kawan-kawannya: "Aturan berubah bukan untuk menyingkirkan kita. Ia menaikkan standar — dan standar yang lebih tinggi adalah kabar baik bagi yang mau naik."</w:t>
      </w:r>
    </w:p>
    <w:p>
      <w:r>
        <w:t>Mulailah langkah pertama Anda hari ini: terapkan PETA-4T, gunakan Matriks Komparasi Regulasi sebagai alat kerja utama, dan jangan biarkan ketidakpastian menghalangi langkah. Selamat berbenah — dan selamat membangun Indonesia.</w:t>
      </w:r>
    </w:p>
    <w:p>
      <w:pPr>
        <w:pStyle w:val="Heading1"/>
      </w:pPr>
      <w:r>
        <w:t>Lampiran</w:t>
      </w:r>
    </w:p>
    <w:p>
      <w:pPr>
        <w:pStyle w:val="Heading1"/>
      </w:pPr>
      <w:r>
        <w:t>Glosarium</w:t>
      </w:r>
    </w:p>
    <w:p>
      <w:r>
        <w:t>SBU — Sertifikat Badan Usaha; sertifikat standar pemenuhan komitmen perizinan berusaha subsektor jasa konstruksi.</w:t>
      </w:r>
    </w:p>
    <w:p>
      <w:r>
        <w:t>SKK — Sertifikat Kompetensi Kerja konstruksi bagi tenaga ahli dan tenaga terampil.</w:t>
      </w:r>
    </w:p>
    <w:p>
      <w:r>
        <w:t>PBBR / OSS-RBA — Perizinan Berusaha Berbasis Risiko / Online Single Submission Risk Based Approach.</w:t>
      </w:r>
    </w:p>
    <w:p>
      <w:r>
        <w:t>NIB — Nomor Induk Berusaha.</w:t>
      </w:r>
    </w:p>
    <w:p>
      <w:r>
        <w:t>KBLI 2025 — Klasifikasi Baku Lapangan Usaha Indonesia terbaru yang wajib disesuaikan.</w:t>
      </w:r>
    </w:p>
    <w:p>
      <w:r>
        <w:t>LSBU — Lembaga Sertifikasi Badan Usaha (penerbit SBU).</w:t>
      </w:r>
    </w:p>
    <w:p>
      <w:r>
        <w:t>LSP — Lembaga Sertifikasi Profesi (penerbit SKK, terlisensi BNSP).</w:t>
      </w:r>
    </w:p>
    <w:p>
      <w:r>
        <w:t>LPJK — Lembaga Pengembangan Jasa Konstruksi.</w:t>
      </w:r>
    </w:p>
    <w:p>
      <w:r>
        <w:t>BNSP — Badan Nasional Sertifikasi Profesi.</w:t>
      </w:r>
    </w:p>
    <w:p>
      <w:r>
        <w:t>PJT / PJB — Penanggung Jawab Teknik / Penanggung Jawab Badan Usaha.</w:t>
      </w:r>
    </w:p>
    <w:p>
      <w:r>
        <w:t>KAP — Kantor Akuntan Publik.</w:t>
      </w:r>
    </w:p>
    <w:p>
      <w:r>
        <w:t>SMK3/SMKK — Sistem Manajemen Keselamatan (dan Kesehatan Kerja) Konstruksi.</w:t>
      </w:r>
    </w:p>
    <w:p>
      <w:r>
        <w:t>SMAP — Sistem Manajemen Anti Penyuapan (ISO 37001).</w:t>
      </w:r>
    </w:p>
    <w:p>
      <w:r>
        <w:t>MUK / TUK — Materi Uji Kompetensi / Tempat Uji Kompetensi.</w:t>
      </w:r>
    </w:p>
    <w:p>
      <w:r>
        <w:t>SLA — Service Level Agreement; jaminan waktu layanan di tiap tahap perizinan.</w:t>
      </w:r>
    </w:p>
    <w:p>
      <w:pPr>
        <w:pStyle w:val="Heading1"/>
      </w:pPr>
      <w:r>
        <w:t>Akses langsung (pasang sebagai QR code di versi cetak)</w:t>
      </w:r>
    </w:p>
    <w:p>
      <w:r>
        <w:t>Portal OSS: oss.go.id</w:t>
      </w:r>
    </w:p>
    <w:p>
      <w:r>
        <w:t>Portal Perizinan Kementerian PU: perizinan.pu.go.id</w:t>
      </w:r>
    </w:p>
    <w:p>
      <w:r>
        <w:t>LPJK: lpjk.pu.go.id</w:t>
      </w:r>
    </w:p>
    <w:p>
      <w:r>
        <w:t>BNSP: bnsp.go.id</w:t>
      </w:r>
    </w:p>
    <w:p>
      <w:r>
        <w:t>JDIH Kementerian PU: jdih.pu.go.id</w:t>
      </w:r>
    </w:p>
    <w:p>
      <w:r>
        <w:t>Koleksi peraturan BPK: peraturan.bpk.go.id</w:t>
      </w:r>
    </w:p>
    <w:p>
      <w:pPr>
        <w:pStyle w:val="Heading1"/>
      </w:pPr>
      <w:r>
        <w:t>Rujukan regulasi utama</w:t>
      </w:r>
    </w:p>
    <w:p>
      <w:r>
        <w:t>UU No. 2 Tahun 2017 tentang Jasa Konstruksi (sebagaimana diubah, termasuk melalui UU No. 6 Tahun 2023).</w:t>
      </w:r>
    </w:p>
    <w:p>
      <w:r>
        <w:t>PP No. 22 Tahun 2020 jo. PP No. 14 Tahun 2021 (peraturan pelaksanaan UU Jasa Konstruksi).</w:t>
      </w:r>
    </w:p>
    <w:p>
      <w:r>
        <w:t>PP No. 5 Tahun 2021 → PP No. 28 Tahun 2025 tentang Penyelenggaraan PBBR.</w:t>
      </w:r>
    </w:p>
    <w:p>
      <w:r>
        <w:t>Permen PUPR No. 6 Tahun 2021 → Permen PU No. 6 Tahun 2025 tentang standar kegiatan usaha dan/atau standar produk/jasa, pengawasan, dan sanksi PBBR sektor PU.</w:t>
      </w:r>
    </w:p>
    <w:p>
      <w:r>
        <w:t>Permen PUPR No. 8 Tahun 2022 tentang tata cara pemenuhan sertifikat standar jasa konstruksi.</w:t>
      </w:r>
    </w:p>
    <w:p>
      <w:r>
        <w:t>Permen PUPR No. 10 Tahun 2021 tentang Pedoman Sistem Manajemen Keselamatan Konstruksi.</w:t>
      </w:r>
    </w:p>
    <w:p>
      <w:r>
        <w:t>SE Menteri PU dan Peraturan LPJK terkait layanan LSBU serta sertifikasi kompetensi kerja.</w:t>
      </w:r>
    </w:p>
    <w:p>
      <w:r>
        <w:t>CATATAN REDAKSI — Sebelum diterbitkan, verifikasi atau ganti klaim statistik yang beredar (mis. "70% perusahaan kesulitan transisi", "penolakan SBU naik 30%", "keberhasilan tender naik 50%") dengan data resmi bersumber, atau hapus angka-angka tersebut. Angka tanpa sumber melemahkan kredibilitas buku ini.</w:t>
      </w:r>
    </w:p>
    <w:sectPr w:rsidR="00FC693F" w:rsidRPr="0006063C" w:rsidSect="00034616">
      <w:footerReference w:type="default" r:id="rId9"/>
      <w:pgSz w:w="12240" w:h="15840"/>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C8494"/>
        <w:sz w:val="16"/>
      </w:rPr>
      <w:t>SBU &amp; SKK Tanpa Bingung • Edisi Digital</w:t>
    </w:r>
    <w:r>
      <w:t xml:space="preserv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4213D"/>
      <w:sz w:val="38"/>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Aptos Display" w:hAnsi="Aptos Display"/>
      <w:b/>
      <w:bCs/>
      <w:color w:val="5937D8"/>
      <w:sz w:val="26"/>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Theme="majorHAnsi" w:eastAsiaTheme="majorEastAsia" w:hAnsiTheme="majorHAnsi" w:cstheme="majorBidi" w:ascii="Aptos Display" w:hAnsi="Aptos Display"/>
      <w:b/>
      <w:bCs/>
      <w:color w:val="1421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14213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