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Data Dungeon</w:t>
        <w:br/>
        <w:t>The Linked Labyrinth</w:t>
      </w:r>
    </w:p>
    <w:p>
      <w:pPr>
        <w:pStyle w:val="Subtitle"/>
      </w:pPr>
      <w:r>
        <w:t>Chapter 2 Instructor Guide</w:t>
        <w:br/>
        <w:t>Inventory and Circular Queue</w:t>
      </w:r>
    </w:p>
    <w:p>
      <w:r>
        <w:t>Ancillary Resources for Pat Morin’s Open Data Structures in Java</w:t>
      </w:r>
    </w:p>
    <w:p>
      <w:r>
        <w:drawing>
          <wp:inline>
            <wp:extent cx="4206240" cy="2103120"/>
            <wp:docPr id="1" name="Picture 1" descr="Decorative fantasy illustration of an adventurer’s pack and collected objects."/>
            <wp:cNvGraphicFramePr>
              <a:graphicFrameLocks noChangeAspect="1"/>
            </wp:cNvGraphicFramePr>
            <a:graphic>
              <a:graphicData uri="http://schemas.openxmlformats.org/drawingml/2006/picture">
                <pic:pic>
                  <pic:nvPicPr>
                    <pic:cNvPr id="0" name="exec-6f255fee-94cf-4e03-b584-48a2802abcfa.png"/>
                    <pic:cNvPicPr/>
                  </pic:nvPicPr>
                  <pic:blipFill>
                    <a:blip r:embed="rId12"/>
                    <a:stretch>
                      <a:fillRect/>
                    </a:stretch>
                  </pic:blipFill>
                  <pic:spPr>
                    <a:xfrm>
                      <a:off x="0" y="0"/>
                      <a:ext cx="4206240" cy="2103120"/>
                    </a:xfrm>
                    <a:prstGeom prst="rect"/>
                  </pic:spPr>
                </pic:pic>
              </a:graphicData>
            </a:graphic>
          </wp:inline>
        </w:drawing>
      </w:r>
    </w:p>
    <w:p>
      <w:r>
        <w:t>This guide covers The Adventurer’s Pack and the companion circular-queue workshop. The inventory teaches contiguous storage, growth, and ordered removal. The queue teaches logical order across a circular array and growth from a wrapped state.</w:t>
      </w:r>
    </w:p>
    <w:p>
      <w:r>
        <w:t>Both activities are independent projects. Use instructor/chapter02 for the completed pack and instructor/chapter02_queue for the completed encounter desk. Each folder includes its own unchanged supporting classes. Compile each folder separately to avoid duplicate class names across starter and solution projects.</w:t>
      </w:r>
    </w:p>
    <w:p>
      <w:pPr>
        <w:pStyle w:val="Heading2"/>
      </w:pPr>
      <w:r>
        <w:t>Planning the Work</w:t>
      </w:r>
    </w:p>
    <w:p>
      <w:r>
        <w:t>Suggested pacing, pending a classroom pilot: one or two lab periods for the inventory and one 60–90 minute period for the queue. Assign the ArrayStack reading before inventory and Section 2.3 ArrayQueue before the workshop. Students should already be comfortable tracing loops and references.</w:t>
      </w:r>
    </w:p>
    <w:p>
      <w:r>
        <w:t>Students predict before using AI and before running the completed implementation. Ask them to preserve the original prediction; a corrected trace should explain the change. The AI evidence is short and tied to one concrete operation. The supplied alternatives address the same learning goals.</w:t>
      </w:r>
    </w:p>
    <w:p>
      <w:r>
        <w:rPr>
          <w:sz w:val="18"/>
        </w:rPr>
        <w:t>AI-created, human-prompted, human-edited, and human-verified using ChatGPT (OpenAI). Artwork: OpenAI image generation. Original contributions: CC0 1.0. See Publication License and AI Disclosure at the end.</w:t>
      </w:r>
    </w:p>
    <w:p>
      <w:pPr>
        <w:pStyle w:val="Heading1"/>
        <w:pageBreakBefore/>
      </w:pPr>
      <w:r>
        <w:t>Inventory Answer Key</w:t>
      </w:r>
    </w:p>
    <w:p>
      <w:r>
        <w:t>The supplied ArrayList manages floor items. Inventory owns the pack array. PackGame removes an item from the floor only when add returns true. On drop, it places the returned object on the floor only when remove returns a non-null reference. Those conditions are the transfer boundaries.</w:t>
      </w:r>
    </w:p>
    <w:tbl>
      <w:tblPr>
        <w:tblW w:type="auto" w:w="0"/>
        <w:jc w:val="center"/>
        <w:tblLayout w:type="fixed"/>
        <w:tblLook w:firstColumn="1" w:firstRow="1" w:lastColumn="0" w:lastRow="0" w:noHBand="0" w:noVBand="1" w:val="04A0"/>
      </w:tblPr>
      <w:tblGrid>
        <w:gridCol w:w="1440"/>
        <w:gridCol w:w="3888"/>
        <w:gridCol w:w="720"/>
        <w:gridCol w:w="720"/>
        <w:gridCol w:w="1872"/>
      </w:tblGrid>
      <w:tr>
        <w:trPr>
          <w:tblHeader/>
        </w:trPr>
        <w:tc>
          <w:tcPr>
            <w:tcW w:type="dxa" w:w="144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Operation</w:t>
            </w:r>
          </w:p>
        </w:tc>
        <w:tc>
          <w:tcPr>
            <w:tcW w:type="dxa" w:w="388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Array after operation</w:t>
            </w:r>
          </w:p>
        </w:tc>
        <w:tc>
          <w:tcPr>
            <w:tcW w:type="dxa" w:w="7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Size</w:t>
            </w:r>
          </w:p>
        </w:tc>
        <w:tc>
          <w:tcPr>
            <w:tcW w:type="dxa" w:w="720"/>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Cap</w:t>
            </w:r>
          </w:p>
        </w:tc>
        <w:tc>
          <w:tcPr>
            <w:tcW w:type="dxa" w:w="187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Copy or shift</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lantern</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null]</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rope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rope]</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key</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rope, key, null]</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 copies</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remove rope</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key, null, null]</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 shift</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map</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key, map, null]</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44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add relic</w:t>
            </w:r>
          </w:p>
        </w:tc>
        <w:tc>
          <w:tcPr>
            <w:tcW w:type="dxa" w:w="388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[lantern, key, map, relic]</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720"/>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c>
          <w:tcPr>
            <w:tcW w:type="dxa" w:w="18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bl>
    <w:p/>
    <w:p>
      <w:r>
        <w:t>This trace ends at capacity 4 because rope was removed before the last two appends. Collecting all five items without removal reaches capacity 8. Clearing the newly unused slot removes a stale reference; it does not delete the Item object.</w:t>
      </w:r>
    </w:p>
    <w:p>
      <w:pPr>
        <w:pStyle w:val="Heading2"/>
      </w:pPr>
      <w:r>
        <w:t>Expected Efficiency Answers</w:t>
      </w:r>
    </w:p>
    <w:p>
      <w:r>
        <w:t>Indexed get and append with spare capacity are O(1). A growth append is O(n), and a missing identifier search is O(n). Removal by identifier has O(n) worst-case search plus O(n) worst-case shifting, so the total remains O(n). Even removing the last item by identifier may require a full search.</w:t>
      </w:r>
    </w:p>
    <w:p>
      <w:r>
        <w:t>Starting with capacity 2, 17 appends copy 2 + 4 + 8 + 16 = 30 existing references; capacity ends at 32. For 33 appends, add 32 to obtain 62 copies; capacity ends at 64. These counts exclude inserting new references and array initialization. The geometric total explains amortized O(1) append; one growth append is still linear.</w:t>
      </w:r>
    </w:p>
    <w:p>
      <w:pPr>
        <w:pStyle w:val="Heading2"/>
      </w:pPr>
      <w:r>
        <w:t>Common Errors and AI Checks</w:t>
      </w:r>
    </w:p>
    <w:p>
      <w:r>
        <w:t>Watch for copying capacity rather than size, changing size during resizing, comparing Strings with ==, failing to clear the final occupied slot, and returning the shifted-in object rather than the saved removed object. AI explanations must distinguish new array allocation from new Item creation. The alternative’s “every append is constant-time” claim overlooks copying and allocation during growth.</w:t>
      </w:r>
    </w:p>
    <w:p>
      <w:pPr>
        <w:pStyle w:val="Heading1"/>
        <w:pageBreakBefore/>
      </w:pPr>
      <w:r>
        <w:t>Inventory Reference Implementation</w:t>
      </w:r>
    </w:p>
    <w:p>
      <w:r>
        <w:t>Complete Inventory.java follows. Item.java and PackGame.java remain unchanged. The completed game can collect all five items, drop a middle item, collect it again, and return with the relic.</w:t>
      </w:r>
    </w:p>
    <w:p>
      <w:pPr>
        <w:spacing w:line="240" w:lineRule="auto" w:after="100"/>
      </w:pPr>
      <w:r>
        <w:rPr>
          <w:rFonts w:ascii="DejaVu Sans Mono" w:hAnsi="DejaVu Sans Mono"/>
          <w:sz w:val="18"/>
        </w:rPr>
        <w:t>public class Inventory {</w:t>
        <w:br/>
        <w:t xml:space="preserve">    private Item[] items = new Item[2];</w:t>
        <w:br/>
        <w:t xml:space="preserve">    private int size;</w:t>
        <w:br/>
        <w:br/>
        <w:t xml:space="preserve">    public int size() { return size; }</w:t>
        <w:br/>
        <w:t xml:space="preserve">    public int capacity() { return items.length; }</w:t>
        <w:br/>
        <w:t xml:space="preserve">    public Item get(int index) {</w:t>
        <w:br/>
        <w:t xml:space="preserve">        if (index &lt; 0 || index &gt;= size) {</w:t>
        <w:br/>
        <w:t xml:space="preserve">            throw new IndexOutOfBoundsException(index);</w:t>
        <w:br/>
        <w:t xml:space="preserve">        }</w:t>
        <w:br/>
        <w:t xml:space="preserve">        return items[index];</w:t>
        <w:br/>
        <w:t xml:space="preserve">    }</w:t>
        <w:br/>
        <w:t xml:space="preserve">    public boolean add(Item item) {</w:t>
        <w:br/>
        <w:t xml:space="preserve">        if (item == null) { return false; }</w:t>
        <w:br/>
        <w:t xml:space="preserve">        if (size == items.length) { resize(items.length * 2); }</w:t>
        <w:br/>
        <w:t xml:space="preserve">        items[size] = item;</w:t>
        <w:br/>
        <w:t xml:space="preserve">        size++;</w:t>
        <w:br/>
        <w:t xml:space="preserve">        return true;</w:t>
        <w:br/>
        <w:t xml:space="preserve">    }</w:t>
        <w:br/>
        <w:t xml:space="preserve">    public Item remove(String id) {</w:t>
        <w:br/>
        <w:t xml:space="preserve">        for (int index = 0; index &lt; size; index++) {</w:t>
        <w:br/>
        <w:t xml:space="preserve">            if (items[index].getId().equals(id)) {</w:t>
        <w:br/>
        <w:t xml:space="preserve">                Item removed = items[index];</w:t>
        <w:br/>
        <w:t xml:space="preserve">                for (int next = index + 1; next &lt; size; next++) {</w:t>
        <w:br/>
        <w:t xml:space="preserve">                    items[next - 1] = items[next];</w:t>
        <w:br/>
        <w:t xml:space="preserve">                }</w:t>
        <w:br/>
        <w:t xml:space="preserve">                size--;</w:t>
        <w:br/>
        <w:t xml:space="preserve">                items[size] = null;</w:t>
        <w:br/>
        <w:t xml:space="preserve">                return removed;</w:t>
        <w:br/>
        <w:t xml:space="preserve">            }</w:t>
        <w:br/>
        <w:t xml:space="preserve">        }</w:t>
        <w:br/>
        <w:t xml:space="preserve">        return null;</w:t>
        <w:br/>
        <w:t xml:space="preserve">    }</w:t>
        <w:br/>
        <w:t xml:space="preserve">    private void resize(int newCapacity) {</w:t>
        <w:br/>
        <w:t xml:space="preserve">        Item[] larger = new Item[newCapacity];</w:t>
        <w:br/>
        <w:t xml:space="preserve">        for (int index = 0; index &lt; size; index++) {</w:t>
        <w:br/>
        <w:t xml:space="preserve">            larger[index] = items[index];</w:t>
        <w:br/>
        <w:t xml:space="preserve">        }</w:t>
        <w:br/>
        <w:t xml:space="preserve">        items = larger;</w:t>
        <w:br/>
        <w:t xml:space="preserve">    }</w:t>
        <w:br/>
        <w:t xml:space="preserve">    public boolean contains(String id) {</w:t>
        <w:br/>
        <w:t xml:space="preserve">        for (int i = 0; i &lt; size; i++) {</w:t>
        <w:br/>
        <w:t xml:space="preserve">            if (items[i].getId().equals(id)) { return true; }</w:t>
        <w:br/>
        <w:t xml:space="preserve">        }</w:t>
        <w:br/>
        <w:t xml:space="preserve">        return false;</w:t>
        <w:br/>
        <w:t xml:space="preserve">    }</w:t>
        <w:br/>
        <w:t>}</w:t>
      </w:r>
    </w:p>
    <w:p>
      <w:pPr>
        <w:pStyle w:val="Heading1"/>
        <w:pageBreakBefore/>
      </w:pPr>
      <w:r>
        <w:t>Circular Queue Answer Key</w:t>
      </w:r>
    </w:p>
    <w:p>
      <w:r>
        <w:t>In the starter, enqueue E fails after A–D fill the array. Processing A then shifts three references, leaving [B, C, D, null] with frontIndex 0. The completed queue advances the front without shifting. Morin’s j corresponds to frontIndex and n to size.</w:t>
      </w:r>
    </w:p>
    <w:tbl>
      <w:tblPr>
        <w:tblW w:type="auto" w:w="0"/>
        <w:jc w:val="center"/>
        <w:tblLayout w:type="fixed"/>
        <w:tblLook w:firstColumn="1" w:firstRow="1" w:lastColumn="0" w:lastRow="0" w:noHBand="0" w:noVBand="1" w:val="04A0"/>
      </w:tblPr>
      <w:tblGrid>
        <w:gridCol w:w="1728"/>
        <w:gridCol w:w="5328"/>
        <w:gridCol w:w="792"/>
        <w:gridCol w:w="792"/>
      </w:tblGrid>
      <w:tr>
        <w:trPr>
          <w:tblHeader/>
        </w:trPr>
        <w:tc>
          <w:tcPr>
            <w:tcW w:type="dxa" w:w="17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After operation</w:t>
            </w:r>
          </w:p>
        </w:tc>
        <w:tc>
          <w:tcPr>
            <w:tcW w:type="dxa" w:w="5328"/>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Physical array</w:t>
            </w:r>
          </w:p>
        </w:tc>
        <w:tc>
          <w:tcPr>
            <w:tcW w:type="dxa" w:w="7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Front</w:t>
            </w:r>
          </w:p>
        </w:tc>
        <w:tc>
          <w:tcPr>
            <w:tcW w:type="dxa" w:w="79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Size</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start</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[null, null, null, null]</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A</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 null, null, null]</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B</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 B, null, null]</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C</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 B, C, null]</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D</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[A, B, C, D]</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dequeue A</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[null, B, C, D]</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1</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dequeue B</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[null, null, C, D]</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E</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 null, C, D]</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3</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F</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 F, C, D]</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2</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4</w:t>
            </w:r>
          </w:p>
        </w:tc>
      </w:tr>
      <w:t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enqueue G</w:t>
            </w:r>
          </w:p>
        </w:tc>
        <w:tc>
          <w:tcPr>
            <w:tcW w:type="dxa" w:w="53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 D, E, F, G, null, null, null]</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0</w:t>
            </w:r>
          </w:p>
        </w:tc>
        <w:tc>
          <w:tcPr>
            <w:tcW w:type="dxa" w:w="79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5</w:t>
            </w:r>
          </w:p>
        </w:tc>
      </w:tr>
    </w:tbl>
    <w:p/>
    <w:p>
      <w:r>
        <w:t>Before G, logical order is C, D, E, F. Copy old indices 2, 3, 0, 1 into new indices 0, 1, 2, 3, then place G at 4. Four references are copied, capacity becomes 8, and frontIndex becomes 0. Copying physical order and resetting the front would incorrectly put E first.</w:t>
      </w:r>
    </w:p>
    <w:p>
      <w:r>
        <w:t>The remaining removals return C, D, E, F, G. Front indices become 1, 2, 3, 4, 5; sizes become 4, 3, 2, 1, 0. Each removed slot is null. The extra dequeue returns null and keeps frontIndex 5 and size 0. A later enqueue uses slot 5. peek never changes size or frontIndex.</w:t>
      </w:r>
    </w:p>
    <w:p>
      <w:r>
        <w:t>Without shrinking, dequeue is O(1) worst-case. A non-growing enqueue is O(1); a growth enqueue is O(n). Doubling gives amortized O(1) enqueue. Printing queue or state is linear and should not be included when discussing the core operations.</w:t>
      </w:r>
    </w:p>
    <w:p>
      <w:pPr>
        <w:pStyle w:val="Heading1"/>
        <w:pageBreakBefore/>
      </w:pPr>
      <w:r>
        <w:t>Circular Queue Reference Methods</w:t>
      </w:r>
    </w:p>
    <w:p>
      <w:r>
        <w:t>Replace enqueue and dequeue in the starter with these methods and add resize. All fields, accessors, peek, get, debugState, and EncounterDesk remain as supplied. The repository also includes the complete class.</w:t>
      </w:r>
    </w:p>
    <w:p>
      <w:pPr>
        <w:spacing w:line="240" w:lineRule="auto" w:after="100"/>
      </w:pPr>
      <w:r>
        <w:rPr>
          <w:rFonts w:ascii="DejaVu Sans Mono" w:hAnsi="DejaVu Sans Mono"/>
          <w:sz w:val="18"/>
        </w:rPr>
        <w:t xml:space="preserve">    public boolean enqueue(String event) {</w:t>
        <w:br/>
        <w:t xml:space="preserve">        if (event == null) { return false; }</w:t>
        <w:br/>
        <w:t xml:space="preserve">        if (size == events.length) { resize(events.length * 2); }</w:t>
        <w:br/>
        <w:t xml:space="preserve">        int nextIndex = (frontIndex + size) % events.length;</w:t>
        <w:br/>
        <w:t xml:space="preserve">        events[nextIndex] = event;</w:t>
        <w:br/>
        <w:t xml:space="preserve">        size++;</w:t>
        <w:br/>
        <w:t xml:space="preserve">        return true;</w:t>
        <w:br/>
        <w:t xml:space="preserve">    }</w:t>
        <w:br/>
        <w:br/>
        <w:t xml:space="preserve">    public String dequeue() {</w:t>
        <w:br/>
        <w:t xml:space="preserve">        if (size == 0) { return null; }</w:t>
        <w:br/>
        <w:t xml:space="preserve">        String removed = events[frontIndex];</w:t>
        <w:br/>
        <w:t xml:space="preserve">        events[frontIndex] = null;</w:t>
        <w:br/>
        <w:t xml:space="preserve">        frontIndex = (frontIndex + 1) % events.length;</w:t>
        <w:br/>
        <w:t xml:space="preserve">        size--;</w:t>
        <w:br/>
        <w:t xml:space="preserve">        return removed;</w:t>
        <w:br/>
        <w:t xml:space="preserve">    }</w:t>
        <w:br/>
        <w:br/>
        <w:t xml:space="preserve">    private void resize(int newCapacity) {</w:t>
        <w:br/>
        <w:t xml:space="preserve">        String[] larger = new String[newCapacity];</w:t>
        <w:br/>
        <w:t xml:space="preserve">        for (int offset = 0; offset &lt; size; offset++) {</w:t>
        <w:br/>
        <w:t xml:space="preserve">            larger[offset] = events[(frontIndex + offset) % events.length];</w:t>
        <w:br/>
        <w:t xml:space="preserve">        }</w:t>
        <w:br/>
        <w:t xml:space="preserve">        events = larger;</w:t>
        <w:br/>
        <w:t xml:space="preserve">        frontIndex = 0;</w:t>
        <w:br/>
        <w:t xml:space="preserve">    }</w:t>
      </w:r>
    </w:p>
    <w:p>
      <w:pPr>
        <w:pStyle w:val="Heading2"/>
      </w:pPr>
      <w:r>
        <w:t>What to Look For</w:t>
      </w:r>
    </w:p>
    <w:p>
      <w:r>
        <w:t>The insertion index is calculated after any resize. During copying, the modulo uses the old array length; events is replaced only after copying finishes. Resizing resets frontIndex without changing size. Removal clears the old front before advancing it. Empty removal exits before touching either counter.</w:t>
      </w:r>
    </w:p>
    <w:p>
      <w:r>
        <w:t>A common wrong solution works until the first resize from a wrapped state. Require both state and queue output: correct logical output alone may conceal a shifting implementation. The no-shift requirement also needs a source review. The reference uses no loop in dequeue.</w:t>
      </w:r>
    </w:p>
    <w:p>
      <w:pPr>
        <w:pStyle w:val="Heading1"/>
        <w:pageBreakBefore/>
      </w:pPr>
      <w:r>
        <w:t>Assessment and Completion Evidence</w:t>
      </w:r>
    </w:p>
    <w:tbl>
      <w:tblPr>
        <w:tblW w:type="auto" w:w="0"/>
        <w:jc w:val="center"/>
        <w:tblLayout w:type="fixed"/>
        <w:tblLook w:firstColumn="1" w:firstRow="1" w:lastColumn="0" w:lastRow="0" w:noHBand="0" w:noVBand="1" w:val="04A0"/>
      </w:tblPr>
      <w:tblGrid>
        <w:gridCol w:w="2376"/>
        <w:gridCol w:w="5832"/>
      </w:tblGrid>
      <w:tr>
        <w:trPr>
          <w:tblHeader/>
        </w:trPr>
        <w:tc>
          <w:tcPr>
            <w:tcW w:type="dxa" w:w="2376"/>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Activity and criterion</w:t>
            </w:r>
          </w:p>
        </w:tc>
        <w:tc>
          <w:tcPr>
            <w:tcW w:type="dxa" w:w="5832"/>
            <w:shd w:fill="E7E6E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b/>
                <w:sz w:val="20"/>
              </w:rPr>
              <w:t>Evidence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Inventory implementation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Growth, identity-preserving removal, cleared slots, order</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Inventory verification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Boundary cases and complete collect–drop–collect route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Inventory reasoning</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Trace, operation costs, copy counts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Inventory AI or alternative</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Specific exchange or claim analysis supported by evidence</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Queue implementation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Circular enqueue/dequeue and correct wrapped growth</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Queue trace and costs</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Physical versus logical order and operation costs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Queue verification</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Required sequence plus empty, reuse, null, and wraparound cases</w:t>
            </w:r>
          </w:p>
        </w:tc>
      </w:tr>
      <w:tr>
        <w:tc>
          <w:tcPr>
            <w:tcW w:type="dxa" w:w="237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Queue AI or alternative</w:t>
            </w:r>
          </w:p>
        </w:tc>
        <w:tc>
          <w:tcPr>
            <w:tcW w:type="dxa" w:w="583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before="40"/>
            </w:pPr>
            <w:r>
              <w:rPr>
                <w:sz w:val="20"/>
              </w:rPr>
              <w:t>Three checked steps and a supported correction or confirmation</w:t>
            </w:r>
          </w:p>
        </w:tc>
      </w:tr>
    </w:tbl>
    <w:p/>
    <w:p>
      <w:r>
        <w:t>Use these criteria to guide feedback on reasoning and implementation. Animation polish and access to a particular AI tool do not establish understanding.</w:t>
      </w:r>
    </w:p>
    <w:p>
      <w:pPr>
        <w:pStyle w:val="Heading2"/>
      </w:pPr>
      <w:r>
        <w:t>Feasibility Evidence</w:t>
      </w:r>
    </w:p>
    <w:p>
      <w:r>
        <w:t>InventoryCompletion checks identity, identifier equality, removal positions, missing items, null rejection, cleared slots, growth, and reuse. A command test completes the five-item adventure and checks recollection order. Copy counts are derived from observed growth and checked against the reference loop.</w:t>
      </w:r>
    </w:p>
    <w:p>
      <w:r>
        <w:t>QueueCompletion checks wrapped storage, FIFO, growth, empty behavior, peek, reuse, and 1,000 deterministic operations against ArrayDeque. Console tests check both the starter and completed workshop sequence.</w:t>
      </w:r>
    </w:p>
    <w:p>
      <w:r>
        <w:t>Verification also checks protected files and Word starter listings. Together, the solution and checks demonstrate a permitted completion path. Student timing and live AI output still need classroom observation. Every AI task has a concrete verification method and an access alternative.</w:t>
      </w:r>
    </w:p>
    <w:p>
      <w:r>
        <w:br w:type="page"/>
      </w:r>
    </w:p>
    <w:p>
      <w:pPr>
        <w:pStyle w:val="Heading1"/>
      </w:pPr>
      <w:r>
        <w:t>Publication License and AI Disclosure</w:t>
      </w:r>
    </w:p>
    <w:p>
      <w:pPr>
        <w:pStyle w:val="Heading2"/>
      </w:pPr>
      <w:r>
        <w:t>Open Reuse</w:t>
      </w:r>
    </w:p>
    <w:p>
      <w:r>
        <w:t>To the extent the project rights holders own copyright or related rights, they dedicate the original contributions to Data Dungeon: The Linked Labyrinth to the public domain under CC0 1.0 Universal. This includes original teaching materials, Java code, verification code, and project artwork. You may copy, modify, redistribute, and use these contributions commercially. Attribution is appreciated but is not required for these CC0 contributions.</w:t>
      </w:r>
    </w:p>
    <w:p>
      <w:r>
        <w:t>CC0 1.0 Universal: https://creativecommons.org/publicdomain/zero/1.0/</w:t>
      </w:r>
    </w:p>
    <w:p>
      <w:pPr>
        <w:pStyle w:val="Heading2"/>
      </w:pPr>
      <w:r>
        <w:t>Source Attribution and Exceptions</w:t>
      </w:r>
    </w:p>
    <w:p>
      <w:r>
        <w:t>Pat Morin, Open Data Structures, Java edition: https://opendatastructures.org/ods-java/. The textbook and its accompanying source code are released under Creative Commons Attribution 2.5 Canada: https://creativecommons.org/licenses/by/2.5/ca/. Any reproduced or adapted Morin material retains that license and attribution requirement; this project’s CC0 dedication does not waive his rights. The companion adds a dungeon setting, focused workshops, renamed and simplified implementations, tests, instructor guidance, and AI learning activities. No endorsement by Pat Morin is implied.</w:t>
      </w:r>
    </w:p>
    <w:p>
      <w:r>
        <w:t>Format inspiration: Michael Penta, Companion Materials for OpenStax: Introduction to Python Programming, Chapter 5 (2025), supplied under CC0 1.0. Other third-party material retains its applicable terms. CC0 applies only to rights held by the project rights holders and does not assert that AI-generated material is copyrightable.</w:t>
      </w:r>
    </w:p>
    <w:p>
      <w:pPr>
        <w:pStyle w:val="Heading2"/>
      </w:pPr>
      <w:r>
        <w:t>AI Disclosure</w:t>
      </w:r>
    </w:p>
    <w:p>
      <w:r>
        <w:t>This work was AI-created, human-prompted, human-edited, and human-verified. Text, instructional activities, and code were generated using ChatGPT (OpenAI). Decorative artwork was generated using OpenAI image generation.</w:t>
      </w:r>
    </w:p>
    <w:p>
      <w:r>
        <w:t>AI tool citation: OpenAI. (2026). ChatGPT [large language model]. https://chatgpt.com/. Exact model-version identifiers were not recorded. Human prompting, editing, and verification do not imply that the work is error-free or that classroom trials have been completed.</w:t>
      </w:r>
    </w:p>
    <w:sectPr>
      <w:headerReference w:type="default" r:id="rId10"/>
      <w:footerReference w:type="default" r:id="rId11"/>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Data Dungeon  |  Chapter 2 Instructor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40" w:lineRule="auto"/>
      <w:ind w:left="0" w:firstLine="0"/>
    </w:pPr>
    <w:rPr>
      <w:rFonts w:ascii="Calibri" w:hAnsi="Calibri"/>
      <w:color w:val="000000"/>
      <w:sz w:val="22"/>
    </w:rPr>
  </w:style>
  <w:style w:type="paragraph" w:styleId="Heading1">
    <w:name w:val="heading 1"/>
    <w:basedOn w:val="Normal"/>
    <w:next w:val="Normal"/>
    <w:pPr>
      <w:keepNext w:val="1"/>
      <w:keepLines w:val="1"/>
      <w:spacing w:after="100" w:before="360" w:line="252" w:lineRule="auto"/>
      <w:ind w:left="0" w:firstLine="0"/>
    </w:pPr>
    <w:rPr>
      <w:rFonts w:ascii="Calibri" w:cs="Play" w:eastAsia="Play" w:hAnsi="Calibri"/>
      <w:color w:val="000000"/>
      <w:sz w:val="40"/>
      <w:szCs w:val="40"/>
    </w:rPr>
  </w:style>
  <w:style w:type="paragraph" w:styleId="Heading2">
    <w:name w:val="heading 2"/>
    <w:basedOn w:val="Normal"/>
    <w:next w:val="Normal"/>
    <w:pPr>
      <w:keepNext w:val="1"/>
      <w:keepLines w:val="1"/>
      <w:spacing w:after="100" w:before="160" w:line="252" w:lineRule="auto"/>
      <w:ind w:left="0" w:firstLine="0"/>
    </w:pPr>
    <w:rPr>
      <w:rFonts w:ascii="Calibri" w:cs="Play" w:eastAsia="Play" w:hAnsi="Calibri"/>
      <w:color w:val="000000"/>
      <w:sz w:val="32"/>
      <w:szCs w:val="32"/>
    </w:rPr>
  </w:style>
  <w:style w:type="paragraph" w:styleId="Heading3">
    <w:name w:val="heading 3"/>
    <w:basedOn w:val="Normal"/>
    <w:next w:val="Normal"/>
    <w:pPr>
      <w:keepNext w:val="1"/>
      <w:keepLines w:val="1"/>
      <w:spacing w:after="100" w:before="160" w:line="252" w:lineRule="auto"/>
      <w:ind w:left="0" w:firstLine="0"/>
    </w:pPr>
    <w:rPr>
      <w:rFonts w:ascii="Calibri" w:hAnsi="Calibri"/>
      <w:color w:val="000000"/>
      <w:sz w:val="28"/>
      <w:szCs w:val="28"/>
    </w:rPr>
  </w:style>
  <w:style w:type="paragraph" w:styleId="Heading4">
    <w:name w:val="heading 4"/>
    <w:basedOn w:val="Normal"/>
    <w:next w:val="Normal"/>
    <w:pPr>
      <w:keepNext w:val="1"/>
      <w:keepLines w:val="1"/>
      <w:spacing w:after="40" w:before="80" w:line="278.00000000000006" w:lineRule="auto"/>
      <w:ind w:left="864" w:hanging="864"/>
    </w:pPr>
    <w:rPr>
      <w:i w:val="1"/>
      <w:iCs w:val="1"/>
      <w:color w:val="0f4761"/>
    </w:rPr>
  </w:style>
  <w:style w:type="paragraph" w:styleId="Heading5">
    <w:name w:val="heading 5"/>
    <w:basedOn w:val="Normal"/>
    <w:next w:val="Normal"/>
    <w:pPr>
      <w:keepNext w:val="1"/>
      <w:keepLines w:val="1"/>
      <w:spacing w:after="40" w:before="80" w:line="278.00000000000006" w:lineRule="auto"/>
      <w:ind w:left="1008" w:hanging="1008"/>
    </w:pPr>
    <w:rPr>
      <w:color w:val="0f4761"/>
    </w:rPr>
  </w:style>
  <w:style w:type="paragraph" w:styleId="Heading6">
    <w:name w:val="heading 6"/>
    <w:basedOn w:val="Normal"/>
    <w:next w:val="Normal"/>
    <w:pPr>
      <w:keepNext w:val="1"/>
      <w:keepLines w:val="1"/>
      <w:spacing w:after="0" w:before="40" w:line="278.00000000000006" w:lineRule="auto"/>
      <w:ind w:left="1152" w:hanging="1152"/>
    </w:pPr>
    <w:rPr>
      <w:i w:val="1"/>
      <w:iCs w:val="1"/>
      <w:color w:val="595959"/>
    </w:rPr>
  </w:style>
  <w:style w:type="paragraph" w:styleId="Title">
    <w:name w:val="Title"/>
    <w:basedOn w:val="Normal"/>
    <w:next w:val="Normal"/>
    <w:pPr>
      <w:spacing w:after="100" w:line="252" w:lineRule="auto"/>
      <w:ind w:left="0" w:firstLine="0"/>
    </w:pPr>
    <w:rPr>
      <w:rFonts w:ascii="Calibri" w:cs="Play" w:eastAsia="Play" w:hAnsi="Calibri"/>
      <w:color w:val="000000"/>
      <w:sz w:val="56"/>
      <w:szCs w:val="56"/>
    </w:rPr>
  </w:style>
  <w:style w:type="paragraph" w:styleId="Heading7">
    <w:name w:val="heading 7"/>
    <w:basedOn w:val="Normal"/>
    <w:next w:val="Normal"/>
    <w:link w:val="Heading7Char"/>
    <w:uiPriority w:val="9"/>
    <w:semiHidden w:val="1"/>
    <w:unhideWhenUsed w:val="1"/>
    <w:qFormat w:val="1"/>
    <w:rsid w:val="00D60EF0"/>
    <w:pPr>
      <w:keepNext w:val="1"/>
      <w:keepLines w:val="1"/>
      <w:numPr>
        <w:ilvl w:val="6"/>
        <w:numId w:val="4"/>
      </w:numPr>
      <w:spacing w:after="0" w:before="40" w:line="278" w:lineRule="auto"/>
      <w:outlineLvl w:val="6"/>
    </w:pPr>
    <w:rPr>
      <w:rFonts w:cstheme="majorBidi" w:eastAsiaTheme="majorEastAsia"/>
      <w:color w:val="595959" w:themeColor="text1" w:themeTint="0000A6"/>
      <w:kern w:val="2"/>
      <w:szCs w:val="24"/>
    </w:rPr>
  </w:style>
  <w:style w:type="paragraph" w:styleId="Heading8">
    <w:name w:val="heading 8"/>
    <w:basedOn w:val="Normal"/>
    <w:next w:val="Normal"/>
    <w:link w:val="Heading8Char"/>
    <w:uiPriority w:val="9"/>
    <w:semiHidden w:val="1"/>
    <w:unhideWhenUsed w:val="1"/>
    <w:qFormat w:val="1"/>
    <w:rsid w:val="00D60EF0"/>
    <w:pPr>
      <w:keepNext w:val="1"/>
      <w:keepLines w:val="1"/>
      <w:numPr>
        <w:ilvl w:val="7"/>
        <w:numId w:val="4"/>
      </w:numPr>
      <w:spacing w:after="0" w:line="278" w:lineRule="auto"/>
      <w:outlineLvl w:val="7"/>
    </w:pPr>
    <w:rPr>
      <w:rFonts w:cstheme="majorBidi" w:eastAsiaTheme="majorEastAsia"/>
      <w:i w:val="1"/>
      <w:iCs w:val="1"/>
      <w:color w:val="272727" w:themeColor="text1" w:themeTint="0000D8"/>
      <w:kern w:val="2"/>
      <w:szCs w:val="24"/>
    </w:rPr>
  </w:style>
  <w:style w:type="paragraph" w:styleId="Heading9">
    <w:name w:val="heading 9"/>
    <w:basedOn w:val="Normal"/>
    <w:next w:val="Normal"/>
    <w:link w:val="Heading9Char"/>
    <w:uiPriority w:val="9"/>
    <w:semiHidden w:val="1"/>
    <w:unhideWhenUsed w:val="1"/>
    <w:qFormat w:val="1"/>
    <w:rsid w:val="00D60EF0"/>
    <w:pPr>
      <w:keepNext w:val="1"/>
      <w:keepLines w:val="1"/>
      <w:numPr>
        <w:ilvl w:val="8"/>
        <w:numId w:val="4"/>
      </w:numPr>
      <w:spacing w:after="0" w:line="278" w:lineRule="auto"/>
      <w:outlineLvl w:val="8"/>
    </w:pPr>
    <w:rPr>
      <w:rFonts w:cstheme="majorBidi" w:eastAsiaTheme="majorEastAsia"/>
      <w:color w:val="272727" w:themeColor="text1" w:themeTint="0000D8"/>
      <w:kern w:val="2"/>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D2A95"/>
    <w:rPr>
      <w:rFonts w:asciiTheme="majorHAnsi" w:cstheme="majorBidi" w:eastAsiaTheme="majorEastAsia" w:hAnsiTheme="majorHAnsi"/>
      <w:color w:val="000000" w:themeColor="text1"/>
      <w:sz w:val="40"/>
      <w:szCs w:val="40"/>
    </w:rPr>
  </w:style>
  <w:style w:type="character" w:styleId="Heading2Char" w:customStyle="1">
    <w:name w:val="Heading 2 Char"/>
    <w:basedOn w:val="DefaultParagraphFont"/>
    <w:link w:val="Heading2"/>
    <w:uiPriority w:val="9"/>
    <w:rsid w:val="009D2A95"/>
    <w:rPr>
      <w:rFonts w:asciiTheme="majorHAnsi" w:cstheme="majorBidi" w:eastAsiaTheme="majorEastAsia" w:hAnsiTheme="majorHAnsi"/>
      <w:color w:val="000000" w:themeColor="text1"/>
      <w:sz w:val="32"/>
      <w:szCs w:val="32"/>
    </w:rPr>
  </w:style>
  <w:style w:type="character" w:styleId="Heading3Char" w:customStyle="1">
    <w:name w:val="Heading 3 Char"/>
    <w:basedOn w:val="DefaultParagraphFont"/>
    <w:link w:val="Heading3"/>
    <w:uiPriority w:val="9"/>
    <w:rsid w:val="009D2A95"/>
    <w:rPr>
      <w:rFonts w:cstheme="majorBidi" w:eastAsiaTheme="majorEastAsia"/>
      <w:color w:val="000000" w:themeColor="text1"/>
      <w:sz w:val="28"/>
      <w:szCs w:val="28"/>
    </w:rPr>
  </w:style>
  <w:style w:type="character" w:styleId="Heading4Char" w:customStyle="1">
    <w:name w:val="Heading 4 Char"/>
    <w:basedOn w:val="DefaultParagraphFont"/>
    <w:link w:val="Heading4"/>
    <w:uiPriority w:val="9"/>
    <w:rsid w:val="00D60E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60E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60E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60E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60E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60E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60E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60E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60EF0"/>
    <w:pPr>
      <w:spacing w:after="160" w:before="160" w:line="278" w:lineRule="auto"/>
      <w:jc w:val="center"/>
    </w:pPr>
    <w:rPr>
      <w:rFonts w:eastAsiaTheme="minorHAnsi"/>
      <w:i w:val="1"/>
      <w:iCs w:val="1"/>
      <w:color w:val="404040" w:themeColor="text1" w:themeTint="0000BF"/>
      <w:kern w:val="2"/>
      <w:szCs w:val="24"/>
    </w:rPr>
  </w:style>
  <w:style w:type="character" w:styleId="QuoteChar" w:customStyle="1">
    <w:name w:val="Quote Char"/>
    <w:basedOn w:val="DefaultParagraphFont"/>
    <w:link w:val="Quote"/>
    <w:uiPriority w:val="29"/>
    <w:rsid w:val="00D60EF0"/>
    <w:rPr>
      <w:i w:val="1"/>
      <w:iCs w:val="1"/>
      <w:color w:val="404040" w:themeColor="text1" w:themeTint="0000BF"/>
    </w:rPr>
  </w:style>
  <w:style w:type="paragraph" w:styleId="ListParagraph">
    <w:name w:val="List Paragraph"/>
    <w:basedOn w:val="Normal"/>
    <w:uiPriority w:val="34"/>
    <w:qFormat w:val="1"/>
    <w:rsid w:val="00D60EF0"/>
    <w:pPr>
      <w:spacing w:after="160" w:line="278" w:lineRule="auto"/>
      <w:ind w:left="720"/>
      <w:contextualSpacing w:val="1"/>
    </w:pPr>
    <w:rPr>
      <w:rFonts w:eastAsiaTheme="minorHAnsi"/>
      <w:kern w:val="2"/>
      <w:szCs w:val="24"/>
    </w:rPr>
  </w:style>
  <w:style w:type="character" w:styleId="IntenseEmphasis">
    <w:name w:val="Intense Emphasis"/>
    <w:basedOn w:val="DefaultParagraphFont"/>
    <w:uiPriority w:val="21"/>
    <w:qFormat w:val="1"/>
    <w:rsid w:val="00D60EF0"/>
    <w:rPr>
      <w:i w:val="1"/>
      <w:iCs w:val="1"/>
      <w:color w:val="0f4761" w:themeColor="accent1" w:themeShade="0000BF"/>
    </w:rPr>
  </w:style>
  <w:style w:type="paragraph" w:styleId="IntenseQuote">
    <w:name w:val="Intense Quote"/>
    <w:basedOn w:val="Normal"/>
    <w:next w:val="Normal"/>
    <w:link w:val="IntenseQuoteChar"/>
    <w:uiPriority w:val="30"/>
    <w:qFormat w:val="1"/>
    <w:rsid w:val="00D60EF0"/>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eastAsiaTheme="minorHAnsi"/>
      <w:i w:val="1"/>
      <w:iCs w:val="1"/>
      <w:color w:val="0f4761" w:themeColor="accent1" w:themeShade="0000BF"/>
      <w:kern w:val="2"/>
      <w:szCs w:val="24"/>
    </w:rPr>
  </w:style>
  <w:style w:type="character" w:styleId="IntenseQuoteChar" w:customStyle="1">
    <w:name w:val="Intense Quote Char"/>
    <w:basedOn w:val="DefaultParagraphFont"/>
    <w:link w:val="IntenseQuote"/>
    <w:uiPriority w:val="30"/>
    <w:rsid w:val="00D60EF0"/>
    <w:rPr>
      <w:i w:val="1"/>
      <w:iCs w:val="1"/>
      <w:color w:val="0f4761" w:themeColor="accent1" w:themeShade="0000BF"/>
    </w:rPr>
  </w:style>
  <w:style w:type="character" w:styleId="IntenseReference">
    <w:name w:val="Intense Reference"/>
    <w:basedOn w:val="DefaultParagraphFont"/>
    <w:uiPriority w:val="32"/>
    <w:qFormat w:val="1"/>
    <w:rsid w:val="00D60EF0"/>
    <w:rPr>
      <w:b w:val="1"/>
      <w:bCs w:val="1"/>
      <w:smallCaps w:val="1"/>
      <w:color w:val="0f4761" w:themeColor="accent1" w:themeShade="0000BF"/>
      <w:spacing w:val="5"/>
    </w:rPr>
  </w:style>
  <w:style w:type="paragraph" w:styleId="NoSpacing">
    <w:name w:val="No Spacing"/>
    <w:uiPriority w:val="1"/>
    <w:qFormat w:val="1"/>
    <w:rsid w:val="005278B4"/>
    <w:pPr>
      <w:spacing w:after="0" w:line="240" w:lineRule="auto"/>
    </w:pPr>
    <w:rPr>
      <w:rFonts w:eastAsiaTheme="minorEastAsia"/>
      <w:kern w:val="0"/>
      <w:sz w:val="22"/>
      <w:szCs w:val="22"/>
    </w:rPr>
  </w:style>
  <w:style w:type="character" w:styleId="SubtleEmphasis">
    <w:name w:val="Subtle Emphasis"/>
    <w:basedOn w:val="DefaultParagraphFont"/>
    <w:uiPriority w:val="19"/>
    <w:qFormat w:val="1"/>
    <w:rsid w:val="009D2A95"/>
    <w:rPr>
      <w:i w:val="1"/>
      <w:iCs w:val="1"/>
      <w:color w:val="404040" w:themeColor="text1" w:themeTint="0000BF"/>
    </w:rPr>
  </w:style>
  <w:style w:type="paragraph" w:styleId="Caption">
    <w:name w:val="caption"/>
    <w:basedOn w:val="Normal"/>
    <w:next w:val="Normal"/>
    <w:uiPriority w:val="35"/>
    <w:unhideWhenUsed w:val="1"/>
    <w:qFormat w:val="1"/>
    <w:rsid w:val="00D528F7"/>
    <w:pPr>
      <w:spacing w:line="240" w:lineRule="auto"/>
    </w:pPr>
    <w:rPr>
      <w:rFonts w:ascii="Calibri" w:hAnsi="Calibri"/>
      <w:i w:val="1"/>
      <w:iCs w:val="1"/>
      <w:color w:val="0e2841" w:themeColor="text2"/>
      <w:sz w:val="18"/>
      <w:szCs w:val="18"/>
    </w:rPr>
  </w:style>
  <w:style w:type="paragraph" w:styleId="Subtitle">
    <w:name w:val="Subtitle"/>
    <w:basedOn w:val="Normal"/>
    <w:next w:val="Normal"/>
    <w:pPr>
      <w:spacing w:after="100" w:line="252" w:lineRule="auto"/>
      <w:ind w:left="0" w:firstLine="0"/>
    </w:pPr>
    <w:rPr>
      <w:rFonts w:ascii="Calibri" w:hAnsi="Calibri"/>
      <w:color w:val="00000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reativecommons.org/publicdomain/zero/1.0/" TargetMode="External"/><Relationship Id="rId8" Type="http://schemas.openxmlformats.org/officeDocument/2006/relationships/image" Target="media/image2.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lfLALFI4RU+izeUi9w48YNdUiw==">CgMxLjAyDmgudHFzcnM1YTh1MnhpMg5oLnRnMDhhMW5hc285bjIOaC44ejRtanpzdWd1MXgyDmguNDNoY3Y4d2NwMDN1OAByITF6UzdTYzNTZnFFcjdzcmNuczI1cEUzd3FwQUtERXFHRQ==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2025-12-16T16:38:00Z</dcterms:created>
  <dc:creator/>
  <dc:title>Data Dungeon Chapter 2 Instructor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4ac8253c-ba26-4bdb-aa68-16a7007c07a4</vt:lpwstr>
  </property>
</Properties>
</file>