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MANNO  NINFA ROSA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VIA AMUDSEN, 19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20900 Monza (MB)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24/06/2018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Non assegnato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Non assegnato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208 - SECONDO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DI NOTO MARIANNA Dal: 24/06/2018 Al: 01/07/2018 Tel.  - Cell.3319700697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VIia della Villora, 13 - 20900 Monza (MB)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