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LONGONI SERGIO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ISONZO, 121/C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22066 MARIANO COMENSE (CO)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107 -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COMPAGNONI ATTILIO GIORGIO Dal: 17/06/2018 Al: 01/07/2018 Tel. 0362238171 -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C/O IST.DON ORIONE VIA VERDI, 95 - 20831 SEREGNO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