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B374" w14:textId="77777777" w:rsidR="00AA2480" w:rsidRDefault="00AA2480" w:rsidP="00AA2480">
      <w:pPr>
        <w:jc w:val="center"/>
        <w:rPr>
          <w:rFonts w:ascii="Garamond" w:hAnsi="Garamond"/>
          <w:b/>
          <w:bCs/>
          <w:i/>
          <w:w w:val="110"/>
          <w:sz w:val="36"/>
          <w:szCs w:val="36"/>
          <w:u w:val="single"/>
        </w:rPr>
      </w:pPr>
      <w:r w:rsidRPr="009128C5">
        <w:rPr>
          <w:rFonts w:ascii="Garamond" w:hAnsi="Garamond"/>
          <w:b/>
          <w:bCs/>
          <w:i/>
          <w:w w:val="110"/>
          <w:sz w:val="36"/>
          <w:szCs w:val="36"/>
          <w:u w:val="single"/>
        </w:rPr>
        <w:t xml:space="preserve">FROM CRUDE OIL TO CONSUMER INFLATION: TRANSMISSION AND ATTENUATION ACROSS INDIA’S PRICE SYSTEM </w:t>
      </w:r>
    </w:p>
    <w:p w14:paraId="3B96466D" w14:textId="77777777" w:rsidR="00AA2480" w:rsidRPr="009128C5" w:rsidRDefault="00AA2480" w:rsidP="00AA2480">
      <w:pPr>
        <w:jc w:val="center"/>
        <w:rPr>
          <w:rFonts w:ascii="Garamond" w:hAnsi="Garamond"/>
          <w:b/>
          <w:bCs/>
          <w:i/>
          <w:w w:val="110"/>
          <w:sz w:val="36"/>
          <w:szCs w:val="36"/>
          <w:u w:val="single"/>
        </w:rPr>
      </w:pPr>
    </w:p>
    <w:p w14:paraId="0F18A2E9" w14:textId="77777777" w:rsidR="00AA2480" w:rsidRPr="004C358A" w:rsidRDefault="00AA2480" w:rsidP="00AA2480">
      <w:pPr>
        <w:widowControl w:val="0"/>
        <w:autoSpaceDE w:val="0"/>
        <w:autoSpaceDN w:val="0"/>
        <w:spacing w:after="0" w:line="240" w:lineRule="auto"/>
        <w:jc w:val="center"/>
        <w:rPr>
          <w:rFonts w:ascii="Garamond" w:eastAsia="Calibri" w:hAnsi="Garamond"/>
          <w:sz w:val="28"/>
          <w:szCs w:val="28"/>
          <w:lang w:bidi="en-US"/>
        </w:rPr>
      </w:pPr>
      <w:r w:rsidRPr="004C358A">
        <w:rPr>
          <w:rFonts w:ascii="Garamond" w:eastAsia="Calibri" w:hAnsi="Garamond"/>
          <w:sz w:val="28"/>
          <w:szCs w:val="28"/>
          <w:lang w:bidi="en-US"/>
        </w:rPr>
        <w:t>A dissertation submitted to the Jawaharlal Nehru University</w:t>
      </w:r>
    </w:p>
    <w:p w14:paraId="3F2E79EB" w14:textId="77777777" w:rsidR="00AA2480" w:rsidRPr="004C358A" w:rsidRDefault="00AA2480" w:rsidP="00AA2480">
      <w:pPr>
        <w:widowControl w:val="0"/>
        <w:autoSpaceDE w:val="0"/>
        <w:autoSpaceDN w:val="0"/>
        <w:spacing w:after="0" w:line="240" w:lineRule="auto"/>
        <w:jc w:val="center"/>
        <w:rPr>
          <w:rFonts w:ascii="Garamond" w:eastAsia="Calibri" w:hAnsi="Garamond"/>
          <w:sz w:val="28"/>
          <w:szCs w:val="28"/>
          <w:lang w:bidi="en-US"/>
        </w:rPr>
      </w:pPr>
      <w:r w:rsidRPr="004C358A">
        <w:rPr>
          <w:rFonts w:ascii="Garamond" w:eastAsia="Calibri" w:hAnsi="Garamond"/>
          <w:sz w:val="28"/>
          <w:szCs w:val="28"/>
          <w:lang w:bidi="en-US"/>
        </w:rPr>
        <w:t>in partial fulfilment of the requirements</w:t>
      </w:r>
    </w:p>
    <w:p w14:paraId="75080BD4" w14:textId="77777777" w:rsidR="00AA2480" w:rsidRPr="004C358A" w:rsidRDefault="00AA2480" w:rsidP="00AA2480">
      <w:pPr>
        <w:widowControl w:val="0"/>
        <w:autoSpaceDE w:val="0"/>
        <w:autoSpaceDN w:val="0"/>
        <w:spacing w:after="0" w:line="240" w:lineRule="auto"/>
        <w:jc w:val="center"/>
        <w:rPr>
          <w:rFonts w:ascii="Garamond" w:eastAsia="Calibri" w:hAnsi="Garamond"/>
          <w:sz w:val="28"/>
          <w:szCs w:val="28"/>
          <w:lang w:bidi="en-US"/>
        </w:rPr>
      </w:pPr>
      <w:r w:rsidRPr="004C358A">
        <w:rPr>
          <w:rFonts w:ascii="Garamond" w:eastAsia="Calibri" w:hAnsi="Garamond"/>
          <w:sz w:val="28"/>
          <w:szCs w:val="28"/>
          <w:lang w:bidi="en-US"/>
        </w:rPr>
        <w:t>for the award of the degree of</w:t>
      </w:r>
    </w:p>
    <w:p w14:paraId="50BAAD97" w14:textId="77777777" w:rsidR="00AA2480" w:rsidRDefault="00AA2480" w:rsidP="00AA2480">
      <w:pPr>
        <w:widowControl w:val="0"/>
        <w:autoSpaceDE w:val="0"/>
        <w:autoSpaceDN w:val="0"/>
        <w:spacing w:after="0" w:line="480" w:lineRule="auto"/>
        <w:jc w:val="center"/>
        <w:rPr>
          <w:rFonts w:ascii="Garamond" w:eastAsia="Calibri" w:hAnsi="Garamond" w:cs="Mangal"/>
          <w:sz w:val="28"/>
          <w:szCs w:val="24"/>
          <w:lang w:bidi="en-US"/>
        </w:rPr>
      </w:pPr>
    </w:p>
    <w:p w14:paraId="24A25126" w14:textId="77777777" w:rsidR="00AA2480" w:rsidRDefault="00AA2480" w:rsidP="00AA2480">
      <w:pPr>
        <w:widowControl w:val="0"/>
        <w:autoSpaceDE w:val="0"/>
        <w:autoSpaceDN w:val="0"/>
        <w:spacing w:after="0"/>
        <w:jc w:val="center"/>
        <w:rPr>
          <w:rFonts w:ascii="Garamond" w:eastAsia="Calibri" w:hAnsi="Garamond" w:cs="Mangal"/>
          <w:b/>
          <w:sz w:val="32"/>
          <w:szCs w:val="32"/>
          <w:lang w:bidi="en-US"/>
        </w:rPr>
      </w:pPr>
      <w:r w:rsidRPr="003E7D46">
        <w:rPr>
          <w:rFonts w:ascii="Garamond" w:eastAsia="Calibri" w:hAnsi="Garamond" w:cs="Mangal"/>
          <w:b/>
          <w:sz w:val="32"/>
          <w:szCs w:val="32"/>
          <w:lang w:bidi="en-US"/>
        </w:rPr>
        <w:t xml:space="preserve">MASTER OF </w:t>
      </w:r>
      <w:r>
        <w:rPr>
          <w:rFonts w:ascii="Garamond" w:eastAsia="Calibri" w:hAnsi="Garamond" w:cs="Mangal"/>
          <w:b/>
          <w:sz w:val="32"/>
          <w:szCs w:val="32"/>
          <w:lang w:bidi="en-US"/>
        </w:rPr>
        <w:t>SCIENCE</w:t>
      </w:r>
    </w:p>
    <w:p w14:paraId="020FE9BD" w14:textId="77777777" w:rsidR="00AA2480" w:rsidRDefault="00AA2480" w:rsidP="00AA2480">
      <w:pPr>
        <w:widowControl w:val="0"/>
        <w:autoSpaceDE w:val="0"/>
        <w:autoSpaceDN w:val="0"/>
        <w:spacing w:after="0"/>
        <w:jc w:val="center"/>
        <w:rPr>
          <w:rFonts w:ascii="Garamond" w:eastAsia="Calibri" w:hAnsi="Garamond" w:cs="Mangal"/>
          <w:b/>
          <w:sz w:val="32"/>
          <w:szCs w:val="32"/>
          <w:lang w:bidi="en-US"/>
        </w:rPr>
      </w:pPr>
      <w:r>
        <w:rPr>
          <w:rFonts w:ascii="Garamond" w:eastAsia="Calibri" w:hAnsi="Garamond" w:cs="Mangal"/>
          <w:b/>
          <w:sz w:val="32"/>
          <w:szCs w:val="32"/>
          <w:lang w:bidi="en-US"/>
        </w:rPr>
        <w:t>IN</w:t>
      </w:r>
    </w:p>
    <w:p w14:paraId="37869D5A" w14:textId="77777777" w:rsidR="00AA2480" w:rsidRPr="009128C5" w:rsidRDefault="00AA2480" w:rsidP="00AA2480">
      <w:pPr>
        <w:widowControl w:val="0"/>
        <w:autoSpaceDE w:val="0"/>
        <w:autoSpaceDN w:val="0"/>
        <w:spacing w:after="0"/>
        <w:jc w:val="center"/>
        <w:rPr>
          <w:rFonts w:ascii="Garamond" w:eastAsia="Calibri" w:hAnsi="Garamond" w:cs="Mangal"/>
          <w:b/>
          <w:sz w:val="32"/>
          <w:szCs w:val="32"/>
          <w:lang w:bidi="en-US"/>
        </w:rPr>
      </w:pPr>
      <w:r>
        <w:rPr>
          <w:rFonts w:ascii="Garamond" w:eastAsia="Calibri" w:hAnsi="Garamond" w:cs="Mangal"/>
          <w:b/>
          <w:sz w:val="32"/>
          <w:szCs w:val="32"/>
          <w:lang w:bidi="en-US"/>
        </w:rPr>
        <w:t>ECONOMICS</w:t>
      </w:r>
    </w:p>
    <w:p w14:paraId="424F472F" w14:textId="77777777" w:rsidR="00AA2480" w:rsidRPr="003E7D46" w:rsidRDefault="00AA2480" w:rsidP="00AA2480">
      <w:pPr>
        <w:widowControl w:val="0"/>
        <w:autoSpaceDE w:val="0"/>
        <w:autoSpaceDN w:val="0"/>
        <w:spacing w:after="0" w:line="240" w:lineRule="auto"/>
        <w:jc w:val="center"/>
        <w:rPr>
          <w:rFonts w:ascii="Garamond" w:eastAsia="Calibri" w:hAnsi="Garamond" w:cs="Mangal"/>
          <w:sz w:val="28"/>
          <w:szCs w:val="24"/>
          <w:lang w:bidi="en-US"/>
        </w:rPr>
      </w:pPr>
    </w:p>
    <w:p w14:paraId="766ABD79" w14:textId="77777777" w:rsidR="00AA2480" w:rsidRPr="003E7D46" w:rsidRDefault="00AA2480" w:rsidP="00AA2480">
      <w:pPr>
        <w:widowControl w:val="0"/>
        <w:autoSpaceDE w:val="0"/>
        <w:autoSpaceDN w:val="0"/>
        <w:spacing w:after="0" w:line="480" w:lineRule="auto"/>
        <w:jc w:val="center"/>
        <w:rPr>
          <w:rFonts w:ascii="Garamond" w:eastAsia="Calibri" w:hAnsi="Garamond" w:cs="Mangal"/>
          <w:sz w:val="32"/>
          <w:szCs w:val="32"/>
          <w:lang w:bidi="en-US"/>
        </w:rPr>
      </w:pPr>
      <w:r w:rsidRPr="003E7D46">
        <w:rPr>
          <w:rFonts w:ascii="Garamond" w:eastAsia="Calibri" w:hAnsi="Garamond" w:cs="Mangal"/>
          <w:sz w:val="32"/>
          <w:szCs w:val="32"/>
          <w:lang w:bidi="en-US"/>
        </w:rPr>
        <w:t>By</w:t>
      </w:r>
    </w:p>
    <w:p w14:paraId="77F3BE45" w14:textId="77777777" w:rsidR="00AA2480" w:rsidRDefault="00AA2480" w:rsidP="00AA2480">
      <w:pPr>
        <w:widowControl w:val="0"/>
        <w:autoSpaceDE w:val="0"/>
        <w:autoSpaceDN w:val="0"/>
        <w:spacing w:after="0" w:line="240" w:lineRule="auto"/>
        <w:jc w:val="center"/>
        <w:rPr>
          <w:rFonts w:ascii="Garamond" w:eastAsia="Calibri" w:hAnsi="Garamond"/>
          <w:b/>
          <w:i/>
          <w:sz w:val="32"/>
          <w:szCs w:val="32"/>
          <w:u w:val="single"/>
          <w:lang w:bidi="en-US"/>
        </w:rPr>
      </w:pPr>
      <w:r>
        <w:rPr>
          <w:rFonts w:ascii="Garamond" w:eastAsia="Calibri" w:hAnsi="Garamond"/>
          <w:b/>
          <w:i/>
          <w:sz w:val="32"/>
          <w:szCs w:val="32"/>
          <w:u w:val="single"/>
          <w:lang w:bidi="en-US"/>
        </w:rPr>
        <w:t>ANIKET PANDEY</w:t>
      </w:r>
    </w:p>
    <w:p w14:paraId="5CD74BE2" w14:textId="77777777" w:rsidR="00AA2480" w:rsidRDefault="00AA2480" w:rsidP="00AA2480">
      <w:pPr>
        <w:widowControl w:val="0"/>
        <w:autoSpaceDE w:val="0"/>
        <w:autoSpaceDN w:val="0"/>
        <w:spacing w:after="0" w:line="240" w:lineRule="auto"/>
        <w:jc w:val="center"/>
        <w:rPr>
          <w:rFonts w:ascii="Garamond" w:eastAsia="Calibri" w:hAnsi="Garamond"/>
          <w:b/>
          <w:i/>
          <w:sz w:val="32"/>
          <w:szCs w:val="32"/>
          <w:u w:val="single"/>
          <w:lang w:bidi="en-US"/>
        </w:rPr>
      </w:pPr>
      <w:r>
        <w:rPr>
          <w:rFonts w:ascii="Garamond" w:eastAsia="Calibri" w:hAnsi="Garamond"/>
          <w:b/>
          <w:i/>
          <w:sz w:val="32"/>
          <w:szCs w:val="32"/>
          <w:u w:val="single"/>
          <w:lang w:bidi="en-US"/>
        </w:rPr>
        <w:t>(21/11/EE/025)</w:t>
      </w:r>
    </w:p>
    <w:p w14:paraId="4A870FD1" w14:textId="77777777" w:rsidR="00AA2480" w:rsidRPr="009128C5" w:rsidRDefault="00AA2480" w:rsidP="00AA2480">
      <w:pPr>
        <w:widowControl w:val="0"/>
        <w:autoSpaceDE w:val="0"/>
        <w:autoSpaceDN w:val="0"/>
        <w:spacing w:after="0" w:line="240" w:lineRule="auto"/>
        <w:jc w:val="center"/>
        <w:rPr>
          <w:rFonts w:ascii="Garamond" w:eastAsia="Calibri" w:hAnsi="Garamond"/>
          <w:b/>
          <w:i/>
          <w:sz w:val="32"/>
          <w:szCs w:val="32"/>
          <w:u w:val="single"/>
          <w:lang w:bidi="en-US"/>
        </w:rPr>
      </w:pPr>
    </w:p>
    <w:p w14:paraId="3A76A249" w14:textId="77777777" w:rsidR="00AA2480" w:rsidRDefault="00AA2480" w:rsidP="00AA2480">
      <w:pPr>
        <w:widowControl w:val="0"/>
        <w:autoSpaceDE w:val="0"/>
        <w:autoSpaceDN w:val="0"/>
        <w:spacing w:after="0" w:line="480" w:lineRule="auto"/>
        <w:jc w:val="center"/>
        <w:rPr>
          <w:rFonts w:ascii="Garamond" w:eastAsia="Calibri" w:hAnsi="Garamond" w:cs="Mangal"/>
          <w:sz w:val="32"/>
          <w:szCs w:val="32"/>
          <w:lang w:bidi="en-US"/>
        </w:rPr>
      </w:pPr>
      <w:r w:rsidRPr="004C358A">
        <w:rPr>
          <w:rFonts w:ascii="Garamond" w:eastAsia="Calibri" w:hAnsi="Garamond" w:cs="Mangal"/>
          <w:sz w:val="32"/>
          <w:szCs w:val="32"/>
          <w:lang w:bidi="en-US"/>
        </w:rPr>
        <w:t>Under the guidance of</w:t>
      </w:r>
    </w:p>
    <w:p w14:paraId="743CB0CB" w14:textId="77777777" w:rsidR="00AA2480" w:rsidRDefault="00AA2480" w:rsidP="00AA2480">
      <w:pPr>
        <w:widowControl w:val="0"/>
        <w:autoSpaceDE w:val="0"/>
        <w:autoSpaceDN w:val="0"/>
        <w:spacing w:after="0" w:line="240" w:lineRule="auto"/>
        <w:jc w:val="center"/>
        <w:rPr>
          <w:rFonts w:ascii="Garamond" w:eastAsia="Calibri" w:hAnsi="Garamond"/>
          <w:b/>
          <w:i/>
          <w:sz w:val="32"/>
          <w:szCs w:val="32"/>
          <w:u w:val="single"/>
          <w:lang w:bidi="en-US"/>
        </w:rPr>
      </w:pPr>
      <w:r>
        <w:rPr>
          <w:rFonts w:ascii="Garamond" w:eastAsia="Calibri" w:hAnsi="Garamond"/>
          <w:b/>
          <w:i/>
          <w:sz w:val="32"/>
          <w:szCs w:val="32"/>
          <w:u w:val="single"/>
          <w:lang w:bidi="en-US"/>
        </w:rPr>
        <w:t>PROFESSOR SHAKTI KUMAR</w:t>
      </w:r>
    </w:p>
    <w:p w14:paraId="575759A0" w14:textId="77777777" w:rsidR="00AA2480" w:rsidRPr="00C43CB4" w:rsidRDefault="00AA2480" w:rsidP="00AA2480">
      <w:pPr>
        <w:widowControl w:val="0"/>
        <w:autoSpaceDE w:val="0"/>
        <w:autoSpaceDN w:val="0"/>
        <w:spacing w:after="0" w:line="240" w:lineRule="auto"/>
        <w:jc w:val="center"/>
        <w:rPr>
          <w:rFonts w:ascii="Garamond" w:eastAsia="Calibri" w:hAnsi="Garamond"/>
          <w:b/>
          <w:i/>
          <w:sz w:val="32"/>
          <w:szCs w:val="32"/>
          <w:u w:val="single"/>
          <w:lang w:bidi="en-US"/>
        </w:rPr>
      </w:pPr>
      <w:r>
        <w:rPr>
          <w:rFonts w:ascii="Garamond" w:eastAsia="Calibri" w:hAnsi="Garamond"/>
          <w:b/>
          <w:i/>
          <w:sz w:val="32"/>
          <w:szCs w:val="32"/>
          <w:u w:val="single"/>
          <w:lang w:bidi="en-US"/>
        </w:rPr>
        <w:t>(CESP)</w:t>
      </w:r>
    </w:p>
    <w:p w14:paraId="4D162EF5" w14:textId="77777777" w:rsidR="00AA2480" w:rsidRDefault="00AA2480" w:rsidP="00AA2480">
      <w:pPr>
        <w:widowControl w:val="0"/>
        <w:autoSpaceDE w:val="0"/>
        <w:autoSpaceDN w:val="0"/>
        <w:spacing w:after="0" w:line="480" w:lineRule="auto"/>
        <w:jc w:val="center"/>
        <w:rPr>
          <w:rFonts w:ascii="Garamond" w:eastAsia="Calibri" w:hAnsi="Garamond" w:cs="Mangal"/>
          <w:sz w:val="32"/>
          <w:szCs w:val="32"/>
          <w:lang w:bidi="en-US"/>
        </w:rPr>
      </w:pPr>
    </w:p>
    <w:p w14:paraId="6714530E" w14:textId="77777777" w:rsidR="00AA2480" w:rsidRPr="003E7D46" w:rsidRDefault="00AA2480" w:rsidP="00AA2480">
      <w:pPr>
        <w:widowControl w:val="0"/>
        <w:autoSpaceDE w:val="0"/>
        <w:autoSpaceDN w:val="0"/>
        <w:spacing w:after="240" w:line="240" w:lineRule="auto"/>
        <w:jc w:val="center"/>
        <w:rPr>
          <w:rFonts w:ascii="Cambria" w:eastAsia="Calibri" w:hAnsi="Cambria" w:cs="Mangal"/>
          <w:sz w:val="28"/>
          <w:szCs w:val="24"/>
          <w:lang w:bidi="en-US"/>
        </w:rPr>
      </w:pPr>
      <w:r>
        <w:rPr>
          <w:noProof/>
          <w:lang w:eastAsia="en-IN"/>
        </w:rPr>
        <w:drawing>
          <wp:inline distT="0" distB="0" distL="0" distR="0" wp14:anchorId="2339AAFA" wp14:editId="7661052B">
            <wp:extent cx="1379361" cy="1079500"/>
            <wp:effectExtent l="0" t="0" r="0" b="6350"/>
            <wp:docPr id="1867379361" name="Picture 1867379361" descr="C:\Users\Ganesha\Desktop\JN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23179" name="Picture 1" descr="C:\Users\Ganesha\Desktop\JNU_Logo.jp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416914" cy="1108889"/>
                    </a:xfrm>
                    <a:prstGeom prst="rect">
                      <a:avLst/>
                    </a:prstGeom>
                    <a:noFill/>
                    <a:ln>
                      <a:noFill/>
                    </a:ln>
                  </pic:spPr>
                </pic:pic>
              </a:graphicData>
            </a:graphic>
          </wp:inline>
        </w:drawing>
      </w:r>
    </w:p>
    <w:p w14:paraId="11C32910" w14:textId="77777777" w:rsidR="00AA2480" w:rsidRPr="009135C3" w:rsidRDefault="00AA2480" w:rsidP="00AA2480">
      <w:pPr>
        <w:widowControl w:val="0"/>
        <w:autoSpaceDE w:val="0"/>
        <w:autoSpaceDN w:val="0"/>
        <w:spacing w:after="0" w:line="240" w:lineRule="auto"/>
        <w:jc w:val="center"/>
        <w:rPr>
          <w:rFonts w:eastAsia="Calibri"/>
          <w:b/>
          <w:sz w:val="28"/>
          <w:szCs w:val="28"/>
          <w:lang w:bidi="en-US"/>
        </w:rPr>
      </w:pPr>
      <w:r w:rsidRPr="009135C3">
        <w:rPr>
          <w:rFonts w:eastAsia="Calibri"/>
          <w:b/>
          <w:sz w:val="28"/>
          <w:szCs w:val="28"/>
          <w:lang w:bidi="en-US"/>
        </w:rPr>
        <w:t xml:space="preserve">SCHOOL OF </w:t>
      </w:r>
      <w:r>
        <w:rPr>
          <w:rFonts w:eastAsia="Calibri"/>
          <w:b/>
          <w:sz w:val="28"/>
          <w:szCs w:val="28"/>
          <w:lang w:bidi="en-US"/>
        </w:rPr>
        <w:t>ENGINEERING</w:t>
      </w:r>
    </w:p>
    <w:p w14:paraId="070B10A6" w14:textId="77777777" w:rsidR="00AA2480" w:rsidRPr="009135C3" w:rsidRDefault="00AA2480" w:rsidP="00AA2480">
      <w:pPr>
        <w:widowControl w:val="0"/>
        <w:autoSpaceDE w:val="0"/>
        <w:autoSpaceDN w:val="0"/>
        <w:spacing w:after="0" w:line="240" w:lineRule="auto"/>
        <w:jc w:val="center"/>
        <w:rPr>
          <w:rFonts w:eastAsia="Calibri"/>
          <w:b/>
          <w:sz w:val="28"/>
          <w:szCs w:val="28"/>
          <w:lang w:bidi="en-US"/>
        </w:rPr>
      </w:pPr>
      <w:r w:rsidRPr="009135C3">
        <w:rPr>
          <w:rFonts w:eastAsia="Calibri"/>
          <w:b/>
          <w:sz w:val="28"/>
          <w:szCs w:val="28"/>
          <w:lang w:bidi="en-US"/>
        </w:rPr>
        <w:t>JAWAHARLAL NEHRU UNIVERSITY</w:t>
      </w:r>
    </w:p>
    <w:p w14:paraId="4E8A6EDF" w14:textId="77777777" w:rsidR="00AA2480" w:rsidRPr="009135C3" w:rsidRDefault="00AA2480" w:rsidP="00AA2480">
      <w:pPr>
        <w:widowControl w:val="0"/>
        <w:autoSpaceDE w:val="0"/>
        <w:autoSpaceDN w:val="0"/>
        <w:spacing w:after="0" w:line="240" w:lineRule="auto"/>
        <w:jc w:val="center"/>
        <w:rPr>
          <w:rFonts w:eastAsia="Calibri"/>
          <w:b/>
          <w:sz w:val="28"/>
          <w:szCs w:val="28"/>
          <w:lang w:bidi="en-US"/>
        </w:rPr>
      </w:pPr>
      <w:r w:rsidRPr="009135C3">
        <w:rPr>
          <w:rFonts w:eastAsia="Calibri"/>
          <w:b/>
          <w:sz w:val="28"/>
          <w:szCs w:val="28"/>
          <w:lang w:bidi="en-US"/>
        </w:rPr>
        <w:t>NEW DELHI-110067</w:t>
      </w:r>
    </w:p>
    <w:p w14:paraId="2FCC2E30" w14:textId="77777777" w:rsidR="00AA2480" w:rsidRPr="003E7D46" w:rsidRDefault="00AA2480" w:rsidP="00AA2480">
      <w:pPr>
        <w:widowControl w:val="0"/>
        <w:autoSpaceDE w:val="0"/>
        <w:autoSpaceDN w:val="0"/>
        <w:spacing w:after="0" w:line="240" w:lineRule="auto"/>
        <w:jc w:val="center"/>
        <w:rPr>
          <w:rFonts w:ascii="Cambria" w:eastAsia="Calibri" w:hAnsi="Cambria" w:cs="Mangal"/>
          <w:b/>
          <w:sz w:val="8"/>
          <w:szCs w:val="8"/>
          <w:lang w:bidi="en-US"/>
        </w:rPr>
      </w:pPr>
    </w:p>
    <w:p w14:paraId="4714C4B9" w14:textId="77777777" w:rsidR="00AA2480" w:rsidRDefault="00AA2480" w:rsidP="00AA2480">
      <w:pPr>
        <w:widowControl w:val="0"/>
        <w:autoSpaceDE w:val="0"/>
        <w:autoSpaceDN w:val="0"/>
        <w:spacing w:after="0" w:line="240" w:lineRule="auto"/>
        <w:jc w:val="center"/>
        <w:rPr>
          <w:rFonts w:ascii="Garamond" w:eastAsia="Calibri" w:hAnsi="Garamond" w:cs="Mangal"/>
          <w:b/>
          <w:sz w:val="32"/>
          <w:szCs w:val="32"/>
          <w:lang w:bidi="en-US"/>
        </w:rPr>
      </w:pPr>
      <w:r>
        <w:rPr>
          <w:rFonts w:ascii="Garamond" w:eastAsia="Calibri" w:hAnsi="Garamond" w:cs="Mangal"/>
          <w:b/>
          <w:sz w:val="32"/>
          <w:szCs w:val="32"/>
          <w:lang w:bidi="en-US"/>
        </w:rPr>
        <w:t>MAY</w:t>
      </w:r>
      <w:r w:rsidRPr="003E7D46">
        <w:rPr>
          <w:rFonts w:ascii="Garamond" w:eastAsia="Calibri" w:hAnsi="Garamond" w:cs="Mangal"/>
          <w:b/>
          <w:sz w:val="32"/>
          <w:szCs w:val="32"/>
          <w:lang w:bidi="en-US"/>
        </w:rPr>
        <w:t xml:space="preserve"> </w:t>
      </w:r>
      <w:r>
        <w:rPr>
          <w:rFonts w:ascii="Garamond" w:eastAsia="Calibri" w:hAnsi="Garamond" w:cs="Mangal"/>
          <w:b/>
          <w:sz w:val="32"/>
          <w:szCs w:val="32"/>
          <w:lang w:bidi="en-US"/>
        </w:rPr>
        <w:t>2026</w:t>
      </w:r>
    </w:p>
    <w:p w14:paraId="02CBCC85" w14:textId="77777777" w:rsidR="00AA2480" w:rsidRDefault="00AA2480" w:rsidP="00AA2480">
      <w:pPr>
        <w:widowControl w:val="0"/>
        <w:autoSpaceDE w:val="0"/>
        <w:autoSpaceDN w:val="0"/>
        <w:spacing w:after="0" w:line="240" w:lineRule="auto"/>
        <w:jc w:val="center"/>
        <w:rPr>
          <w:rFonts w:ascii="Garamond" w:eastAsia="Calibri" w:hAnsi="Garamond" w:cs="Mangal"/>
          <w:b/>
          <w:sz w:val="32"/>
          <w:szCs w:val="32"/>
          <w:lang w:bidi="en-US"/>
        </w:rPr>
      </w:pPr>
    </w:p>
    <w:p w14:paraId="5F71BF97" w14:textId="77777777" w:rsidR="00AA2480" w:rsidRPr="003E7D46" w:rsidRDefault="00AA2480" w:rsidP="00AA2480">
      <w:pPr>
        <w:widowControl w:val="0"/>
        <w:autoSpaceDE w:val="0"/>
        <w:autoSpaceDN w:val="0"/>
        <w:spacing w:after="0" w:line="240" w:lineRule="auto"/>
        <w:rPr>
          <w:rFonts w:ascii="Garamond" w:eastAsia="Calibri" w:hAnsi="Garamond" w:cs="Mangal"/>
          <w:b/>
          <w:sz w:val="32"/>
          <w:szCs w:val="32"/>
          <w:lang w:bidi="en-US"/>
        </w:rPr>
        <w:sectPr w:rsidR="00AA2480" w:rsidRPr="003E7D46" w:rsidSect="00AA2480">
          <w:footerReference w:type="default" r:id="rId7"/>
          <w:footerReference w:type="first" r:id="rId8"/>
          <w:pgSz w:w="11906" w:h="16838"/>
          <w:pgMar w:top="1702" w:right="1416" w:bottom="1134" w:left="1276" w:header="708" w:footer="708" w:gutter="0"/>
          <w:cols w:space="708"/>
          <w:titlePg/>
          <w:docGrid w:linePitch="360"/>
        </w:sectPr>
      </w:pPr>
    </w:p>
    <w:p w14:paraId="29CFE351" w14:textId="77777777" w:rsidR="00AA2480" w:rsidRDefault="00AA2480" w:rsidP="00AA2480">
      <w:pPr>
        <w:widowControl w:val="0"/>
        <w:autoSpaceDE w:val="0"/>
        <w:autoSpaceDN w:val="0"/>
        <w:spacing w:after="0" w:line="480" w:lineRule="auto"/>
        <w:rPr>
          <w:szCs w:val="24"/>
          <w:lang w:bidi="en-US"/>
        </w:rPr>
        <w:sectPr w:rsidR="00AA2480" w:rsidSect="00AA2480">
          <w:footerReference w:type="default" r:id="rId9"/>
          <w:type w:val="continuous"/>
          <w:pgSz w:w="11906" w:h="16838"/>
          <w:pgMar w:top="1440" w:right="1440" w:bottom="1440" w:left="2126" w:header="709" w:footer="709" w:gutter="0"/>
          <w:pgNumType w:fmt="lowerRoman"/>
          <w:cols w:space="708"/>
          <w:docGrid w:linePitch="360"/>
        </w:sectPr>
      </w:pPr>
    </w:p>
    <w:tbl>
      <w:tblPr>
        <w:tblStyle w:val="TableGrid"/>
        <w:tblW w:w="906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82"/>
        <w:gridCol w:w="6885"/>
      </w:tblGrid>
      <w:tr w:rsidR="00AA2480" w14:paraId="436ECB0F" w14:textId="77777777" w:rsidTr="00473AB1">
        <w:trPr>
          <w:trHeight w:val="1757"/>
        </w:trPr>
        <w:tc>
          <w:tcPr>
            <w:tcW w:w="2182" w:type="dxa"/>
            <w:tcMar>
              <w:left w:w="0" w:type="dxa"/>
              <w:right w:w="0" w:type="dxa"/>
            </w:tcMar>
            <w:vAlign w:val="center"/>
          </w:tcPr>
          <w:p w14:paraId="275074A4" w14:textId="77777777" w:rsidR="00AA2480" w:rsidRDefault="00AA2480" w:rsidP="00473AB1">
            <w:pPr>
              <w:widowControl w:val="0"/>
              <w:autoSpaceDE w:val="0"/>
              <w:autoSpaceDN w:val="0"/>
              <w:jc w:val="center"/>
              <w:rPr>
                <w:rFonts w:ascii="Garamond" w:eastAsia="Calibri" w:hAnsi="Garamond" w:cs="Mangal"/>
                <w:b/>
                <w:sz w:val="32"/>
                <w:szCs w:val="32"/>
                <w:lang w:bidi="en-US"/>
              </w:rPr>
            </w:pPr>
            <w:bookmarkStart w:id="0" w:name="_Toc393442086"/>
            <w:bookmarkStart w:id="1" w:name="_Toc14626617"/>
            <w:r>
              <w:rPr>
                <w:noProof/>
                <w:lang w:eastAsia="en-IN"/>
              </w:rPr>
              <w:lastRenderedPageBreak/>
              <w:drawing>
                <wp:inline distT="0" distB="0" distL="0" distR="0" wp14:anchorId="03104659" wp14:editId="2267843F">
                  <wp:extent cx="1379361" cy="1079500"/>
                  <wp:effectExtent l="0" t="0" r="0" b="6350"/>
                  <wp:docPr id="901536275" name="Picture 901536275" descr="C:\Users\Ganesha\Desktop\JN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52677" name="Picture 1" descr="C:\Users\Ganesha\Desktop\JNU_Logo.jp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416914" cy="1108889"/>
                          </a:xfrm>
                          <a:prstGeom prst="rect">
                            <a:avLst/>
                          </a:prstGeom>
                          <a:noFill/>
                          <a:ln>
                            <a:noFill/>
                          </a:ln>
                        </pic:spPr>
                      </pic:pic>
                    </a:graphicData>
                  </a:graphic>
                </wp:inline>
              </w:drawing>
            </w:r>
          </w:p>
        </w:tc>
        <w:tc>
          <w:tcPr>
            <w:tcW w:w="6885" w:type="dxa"/>
            <w:tcMar>
              <w:left w:w="0" w:type="dxa"/>
              <w:right w:w="0" w:type="dxa"/>
            </w:tcMar>
            <w:vAlign w:val="center"/>
          </w:tcPr>
          <w:p w14:paraId="549785BA" w14:textId="77777777" w:rsidR="00AA2480" w:rsidRPr="00696900" w:rsidRDefault="00AA2480" w:rsidP="00473AB1">
            <w:pPr>
              <w:widowControl w:val="0"/>
              <w:autoSpaceDE w:val="0"/>
              <w:autoSpaceDN w:val="0"/>
              <w:spacing w:before="120"/>
              <w:jc w:val="center"/>
              <w:rPr>
                <w:b/>
                <w:sz w:val="28"/>
                <w:szCs w:val="28"/>
                <w:lang w:bidi="en-US"/>
              </w:rPr>
            </w:pPr>
            <w:r w:rsidRPr="00696900">
              <w:rPr>
                <w:b/>
                <w:sz w:val="28"/>
                <w:szCs w:val="28"/>
                <w:lang w:bidi="en-US"/>
              </w:rPr>
              <w:t xml:space="preserve">SCHOOL OF </w:t>
            </w:r>
            <w:r>
              <w:rPr>
                <w:b/>
                <w:sz w:val="28"/>
                <w:szCs w:val="28"/>
                <w:lang w:bidi="en-US"/>
              </w:rPr>
              <w:t>ENGINEERING</w:t>
            </w:r>
          </w:p>
          <w:p w14:paraId="53F21BB8" w14:textId="77777777" w:rsidR="00AA2480" w:rsidRPr="00696900" w:rsidRDefault="00AA2480" w:rsidP="00473AB1">
            <w:pPr>
              <w:widowControl w:val="0"/>
              <w:autoSpaceDE w:val="0"/>
              <w:autoSpaceDN w:val="0"/>
              <w:jc w:val="center"/>
              <w:rPr>
                <w:b/>
                <w:sz w:val="28"/>
                <w:szCs w:val="28"/>
                <w:lang w:bidi="en-US"/>
              </w:rPr>
            </w:pPr>
            <w:r w:rsidRPr="00696900">
              <w:rPr>
                <w:b/>
                <w:sz w:val="28"/>
                <w:szCs w:val="28"/>
                <w:lang w:bidi="en-US"/>
              </w:rPr>
              <w:t>JAWAHARLAL NEHRU UNIVERSITY</w:t>
            </w:r>
          </w:p>
          <w:p w14:paraId="0A1E31F2" w14:textId="77777777" w:rsidR="00AA2480" w:rsidRPr="00696900" w:rsidRDefault="00AA2480" w:rsidP="00473AB1">
            <w:pPr>
              <w:widowControl w:val="0"/>
              <w:autoSpaceDE w:val="0"/>
              <w:autoSpaceDN w:val="0"/>
              <w:jc w:val="center"/>
              <w:rPr>
                <w:b/>
                <w:sz w:val="28"/>
                <w:szCs w:val="24"/>
                <w:lang w:bidi="en-US"/>
              </w:rPr>
            </w:pPr>
            <w:r w:rsidRPr="00696900">
              <w:rPr>
                <w:b/>
                <w:sz w:val="28"/>
                <w:szCs w:val="28"/>
                <w:lang w:bidi="en-US"/>
              </w:rPr>
              <w:t>NEW DELHI-110067</w:t>
            </w:r>
          </w:p>
        </w:tc>
      </w:tr>
    </w:tbl>
    <w:p w14:paraId="0C70D67E" w14:textId="77777777" w:rsidR="00AA2480" w:rsidRDefault="00AA2480" w:rsidP="00AA2480">
      <w:pPr>
        <w:widowControl w:val="0"/>
        <w:autoSpaceDE w:val="0"/>
        <w:autoSpaceDN w:val="0"/>
        <w:spacing w:after="0" w:line="240" w:lineRule="auto"/>
        <w:jc w:val="center"/>
        <w:rPr>
          <w:rFonts w:ascii="Garamond" w:eastAsia="Calibri" w:hAnsi="Garamond"/>
          <w:b/>
          <w:sz w:val="40"/>
          <w:szCs w:val="40"/>
          <w:u w:val="single"/>
          <w:lang w:bidi="en-US"/>
        </w:rPr>
      </w:pPr>
    </w:p>
    <w:p w14:paraId="5FE163A8" w14:textId="77777777" w:rsidR="00AA2480" w:rsidRDefault="00AA2480" w:rsidP="00AA2480">
      <w:pPr>
        <w:widowControl w:val="0"/>
        <w:autoSpaceDE w:val="0"/>
        <w:autoSpaceDN w:val="0"/>
        <w:spacing w:after="0" w:line="240" w:lineRule="auto"/>
        <w:jc w:val="center"/>
        <w:rPr>
          <w:rFonts w:ascii="Garamond" w:eastAsia="Calibri" w:hAnsi="Garamond"/>
          <w:b/>
          <w:sz w:val="32"/>
          <w:szCs w:val="32"/>
          <w:u w:val="single"/>
          <w:lang w:bidi="en-US"/>
        </w:rPr>
      </w:pPr>
    </w:p>
    <w:p w14:paraId="64B91399" w14:textId="77777777" w:rsidR="00AA2480" w:rsidRPr="00C43CB4" w:rsidRDefault="00AA2480" w:rsidP="00AA2480">
      <w:pPr>
        <w:widowControl w:val="0"/>
        <w:autoSpaceDE w:val="0"/>
        <w:autoSpaceDN w:val="0"/>
        <w:spacing w:after="0" w:line="240" w:lineRule="auto"/>
        <w:jc w:val="center"/>
        <w:rPr>
          <w:rFonts w:ascii="Garamond" w:eastAsia="Calibri" w:hAnsi="Garamond"/>
          <w:b/>
          <w:sz w:val="32"/>
          <w:szCs w:val="32"/>
          <w:u w:val="single"/>
          <w:lang w:bidi="en-US"/>
        </w:rPr>
      </w:pPr>
      <w:r w:rsidRPr="00C43CB4">
        <w:rPr>
          <w:rFonts w:ascii="Garamond" w:eastAsia="Calibri" w:hAnsi="Garamond"/>
          <w:b/>
          <w:sz w:val="32"/>
          <w:szCs w:val="32"/>
          <w:u w:val="single"/>
          <w:lang w:bidi="en-US"/>
        </w:rPr>
        <w:t>DECLARATION</w:t>
      </w:r>
      <w:bookmarkEnd w:id="0"/>
      <w:bookmarkEnd w:id="1"/>
    </w:p>
    <w:p w14:paraId="2B31C02E" w14:textId="77777777" w:rsidR="00AA2480" w:rsidRPr="003E7D46" w:rsidRDefault="00AA2480" w:rsidP="00AA2480">
      <w:pPr>
        <w:widowControl w:val="0"/>
        <w:autoSpaceDE w:val="0"/>
        <w:autoSpaceDN w:val="0"/>
        <w:spacing w:after="0" w:line="480" w:lineRule="auto"/>
        <w:rPr>
          <w:szCs w:val="24"/>
          <w:lang w:bidi="en-US"/>
        </w:rPr>
      </w:pPr>
    </w:p>
    <w:p w14:paraId="2EA67842" w14:textId="77777777" w:rsidR="00AA2480" w:rsidRPr="009135C3" w:rsidRDefault="00AA2480" w:rsidP="00AA2480">
      <w:pPr>
        <w:spacing w:line="480" w:lineRule="auto"/>
        <w:rPr>
          <w:b/>
          <w:szCs w:val="24"/>
          <w:lang w:bidi="en-US"/>
        </w:rPr>
      </w:pPr>
      <w:r w:rsidRPr="00535C88">
        <w:rPr>
          <w:szCs w:val="24"/>
          <w:lang w:bidi="en-US"/>
        </w:rPr>
        <w:t xml:space="preserve">This is to certify that the dissertation entitled </w:t>
      </w:r>
      <w:r w:rsidRPr="009135C3">
        <w:rPr>
          <w:b/>
          <w:szCs w:val="24"/>
          <w:lang w:bidi="en-US"/>
        </w:rPr>
        <w:t>“</w:t>
      </w:r>
      <w:r w:rsidRPr="009128C5">
        <w:rPr>
          <w:b/>
          <w:bCs/>
          <w:i/>
          <w:szCs w:val="24"/>
          <w:u w:val="single"/>
          <w:lang w:bidi="en-US"/>
        </w:rPr>
        <w:t>FROM CRUDE OIL TO CONSUMER INFLATION: TRANSMISSION AND ATTENUATION ACROSS INDIA’S PRICE SYSTEM</w:t>
      </w:r>
      <w:r>
        <w:rPr>
          <w:b/>
          <w:szCs w:val="24"/>
          <w:lang w:bidi="en-US"/>
        </w:rPr>
        <w:t xml:space="preserve">” </w:t>
      </w:r>
      <w:r w:rsidRPr="00535C88">
        <w:rPr>
          <w:szCs w:val="24"/>
          <w:lang w:bidi="en-US"/>
        </w:rPr>
        <w:t xml:space="preserve">is being submitted to the School of </w:t>
      </w:r>
      <w:r>
        <w:rPr>
          <w:szCs w:val="24"/>
          <w:lang w:bidi="en-US"/>
        </w:rPr>
        <w:t>Engineering</w:t>
      </w:r>
      <w:r w:rsidRPr="00535C88">
        <w:rPr>
          <w:szCs w:val="24"/>
          <w:lang w:bidi="en-US"/>
        </w:rPr>
        <w:t xml:space="preserve">, Jawaharlal Nehru University, New Delhi, in partial fulfilment of the requirements for the award of the degree of </w:t>
      </w:r>
      <w:r>
        <w:rPr>
          <w:szCs w:val="24"/>
          <w:lang w:bidi="en-US"/>
        </w:rPr>
        <w:t xml:space="preserve"> </w:t>
      </w:r>
      <w:r w:rsidRPr="00535C88">
        <w:rPr>
          <w:b/>
          <w:szCs w:val="24"/>
          <w:lang w:bidi="en-US"/>
        </w:rPr>
        <w:t xml:space="preserve">Master of </w:t>
      </w:r>
      <w:r>
        <w:rPr>
          <w:b/>
          <w:szCs w:val="24"/>
          <w:lang w:bidi="en-US"/>
        </w:rPr>
        <w:t>Science</w:t>
      </w:r>
      <w:r w:rsidRPr="00535C88">
        <w:rPr>
          <w:b/>
          <w:szCs w:val="24"/>
          <w:lang w:bidi="en-US"/>
        </w:rPr>
        <w:t xml:space="preserve"> </w:t>
      </w:r>
      <w:r w:rsidRPr="00C43CB4">
        <w:rPr>
          <w:szCs w:val="24"/>
          <w:lang w:bidi="en-US"/>
        </w:rPr>
        <w:t>in</w:t>
      </w:r>
      <w:r w:rsidRPr="00535C88">
        <w:rPr>
          <w:b/>
          <w:szCs w:val="24"/>
          <w:lang w:bidi="en-US"/>
        </w:rPr>
        <w:t xml:space="preserve"> </w:t>
      </w:r>
      <w:r>
        <w:rPr>
          <w:b/>
          <w:i/>
          <w:szCs w:val="24"/>
          <w:u w:val="single"/>
          <w:lang w:bidi="en-US"/>
        </w:rPr>
        <w:t>Economics</w:t>
      </w:r>
      <w:r w:rsidRPr="00535C88">
        <w:rPr>
          <w:szCs w:val="24"/>
          <w:lang w:bidi="en-US"/>
        </w:rPr>
        <w:t xml:space="preserve">, </w:t>
      </w:r>
      <w:r>
        <w:rPr>
          <w:szCs w:val="24"/>
          <w:lang w:bidi="en-US"/>
        </w:rPr>
        <w:t xml:space="preserve">as part of the dual degree </w:t>
      </w:r>
      <w:proofErr w:type="spellStart"/>
      <w:r>
        <w:rPr>
          <w:szCs w:val="24"/>
          <w:lang w:bidi="en-US"/>
        </w:rPr>
        <w:t>programme</w:t>
      </w:r>
      <w:proofErr w:type="spellEnd"/>
      <w:r>
        <w:rPr>
          <w:szCs w:val="24"/>
          <w:lang w:bidi="en-US"/>
        </w:rPr>
        <w:t xml:space="preserve"> in the School of Engineering, </w:t>
      </w:r>
      <w:r w:rsidRPr="00535C88">
        <w:rPr>
          <w:szCs w:val="24"/>
          <w:lang w:bidi="en-US"/>
        </w:rPr>
        <w:t xml:space="preserve">is a record of bona fide work carried out by me under the supervision of </w:t>
      </w:r>
      <w:r>
        <w:rPr>
          <w:b/>
          <w:i/>
          <w:szCs w:val="24"/>
          <w:u w:val="single"/>
          <w:lang w:bidi="en-US"/>
        </w:rPr>
        <w:t>Prof. Shakti Kumar</w:t>
      </w:r>
      <w:r w:rsidRPr="00535C88">
        <w:rPr>
          <w:szCs w:val="24"/>
          <w:lang w:bidi="en-US"/>
        </w:rPr>
        <w:t>.</w:t>
      </w:r>
    </w:p>
    <w:p w14:paraId="436043C2" w14:textId="77777777" w:rsidR="00AA2480" w:rsidRPr="00535C88" w:rsidRDefault="00AA2480" w:rsidP="00AA2480">
      <w:pPr>
        <w:widowControl w:val="0"/>
        <w:autoSpaceDE w:val="0"/>
        <w:autoSpaceDN w:val="0"/>
        <w:spacing w:after="0" w:line="480" w:lineRule="auto"/>
        <w:rPr>
          <w:szCs w:val="24"/>
          <w:lang w:bidi="en-US"/>
        </w:rPr>
      </w:pPr>
      <w:r w:rsidRPr="00535C88">
        <w:rPr>
          <w:szCs w:val="24"/>
          <w:lang w:bidi="en-US"/>
        </w:rPr>
        <w:t>The matter embodied in the dissertation has not been submitted in part or full to any university or institution for the award of any degree or diploma.</w:t>
      </w:r>
    </w:p>
    <w:p w14:paraId="5F1443C3" w14:textId="77777777" w:rsidR="00AA2480" w:rsidRPr="003E7D46" w:rsidRDefault="00AA2480" w:rsidP="00AA2480">
      <w:pPr>
        <w:widowControl w:val="0"/>
        <w:autoSpaceDE w:val="0"/>
        <w:autoSpaceDN w:val="0"/>
        <w:spacing w:after="0" w:line="480" w:lineRule="auto"/>
        <w:rPr>
          <w:szCs w:val="24"/>
          <w:lang w:bidi="en-US"/>
        </w:rPr>
      </w:pPr>
    </w:p>
    <w:p w14:paraId="27788B53" w14:textId="77777777" w:rsidR="00AA2480" w:rsidRPr="00C43CB4" w:rsidRDefault="00AA2480" w:rsidP="00AA2480">
      <w:pPr>
        <w:widowControl w:val="0"/>
        <w:autoSpaceDE w:val="0"/>
        <w:autoSpaceDN w:val="0"/>
        <w:spacing w:after="0" w:line="480" w:lineRule="auto"/>
        <w:rPr>
          <w:i/>
          <w:szCs w:val="24"/>
          <w:u w:val="single"/>
          <w:lang w:bidi="en-US"/>
        </w:rPr>
      </w:pPr>
    </w:p>
    <w:p w14:paraId="5685AFD0" w14:textId="77777777" w:rsidR="00AA2480" w:rsidRPr="00C43CB4" w:rsidRDefault="00AA2480" w:rsidP="00AA2480">
      <w:pPr>
        <w:widowControl w:val="0"/>
        <w:autoSpaceDE w:val="0"/>
        <w:autoSpaceDN w:val="0"/>
        <w:spacing w:after="0" w:line="240" w:lineRule="auto"/>
        <w:contextualSpacing/>
        <w:jc w:val="right"/>
        <w:rPr>
          <w:b/>
          <w:i/>
          <w:szCs w:val="24"/>
          <w:u w:val="single"/>
          <w:lang w:bidi="en-US"/>
        </w:rPr>
      </w:pPr>
      <w:r>
        <w:rPr>
          <w:b/>
          <w:i/>
          <w:szCs w:val="24"/>
          <w:u w:val="single"/>
          <w:lang w:bidi="en-US"/>
        </w:rPr>
        <w:t>Aniket Pandey</w:t>
      </w:r>
    </w:p>
    <w:p w14:paraId="61B6B566" w14:textId="77777777" w:rsidR="00AA2480" w:rsidRPr="00535C88" w:rsidRDefault="00AA2480" w:rsidP="00AA2480">
      <w:pPr>
        <w:widowControl w:val="0"/>
        <w:autoSpaceDE w:val="0"/>
        <w:autoSpaceDN w:val="0"/>
        <w:spacing w:after="0" w:line="240" w:lineRule="auto"/>
        <w:contextualSpacing/>
        <w:jc w:val="right"/>
        <w:rPr>
          <w:szCs w:val="24"/>
          <w:lang w:bidi="en-US"/>
        </w:rPr>
      </w:pPr>
      <w:r w:rsidRPr="00535C88">
        <w:rPr>
          <w:szCs w:val="24"/>
          <w:lang w:bidi="en-US"/>
        </w:rPr>
        <w:t>(</w:t>
      </w:r>
      <w:r>
        <w:rPr>
          <w:b/>
          <w:i/>
          <w:szCs w:val="24"/>
          <w:u w:val="single"/>
          <w:lang w:bidi="en-US"/>
        </w:rPr>
        <w:t>21/11/EE/025</w:t>
      </w:r>
      <w:r w:rsidRPr="00535C88">
        <w:rPr>
          <w:szCs w:val="24"/>
          <w:lang w:bidi="en-US"/>
        </w:rPr>
        <w:t>)</w:t>
      </w:r>
    </w:p>
    <w:p w14:paraId="3959E70B" w14:textId="77777777" w:rsidR="00AA2480" w:rsidRPr="003E7D46" w:rsidRDefault="00AA2480" w:rsidP="00AA2480">
      <w:pPr>
        <w:widowControl w:val="0"/>
        <w:autoSpaceDE w:val="0"/>
        <w:autoSpaceDN w:val="0"/>
        <w:spacing w:after="0" w:line="480" w:lineRule="auto"/>
        <w:jc w:val="center"/>
        <w:rPr>
          <w:szCs w:val="24"/>
          <w:lang w:bidi="en-US"/>
        </w:rPr>
      </w:pPr>
      <w:r>
        <w:rPr>
          <w:szCs w:val="24"/>
          <w:lang w:bidi="en-US"/>
        </w:rPr>
        <w:br w:type="textWrapping" w:clear="all"/>
      </w:r>
    </w:p>
    <w:p w14:paraId="4901546E" w14:textId="77777777" w:rsidR="00AA2480" w:rsidRPr="003E7D46" w:rsidRDefault="00AA2480" w:rsidP="00AA2480">
      <w:pPr>
        <w:widowControl w:val="0"/>
        <w:autoSpaceDE w:val="0"/>
        <w:autoSpaceDN w:val="0"/>
        <w:spacing w:after="0" w:line="240" w:lineRule="auto"/>
        <w:rPr>
          <w:szCs w:val="24"/>
          <w:lang w:bidi="en-US"/>
        </w:rPr>
      </w:pPr>
      <w:r>
        <w:rPr>
          <w:szCs w:val="24"/>
          <w:lang w:bidi="en-US"/>
        </w:rPr>
        <w:br w:type="page"/>
      </w:r>
    </w:p>
    <w:p w14:paraId="5310EC15" w14:textId="77777777" w:rsidR="00AA2480" w:rsidRPr="003E7D46" w:rsidRDefault="00AA2480" w:rsidP="00AA2480">
      <w:pPr>
        <w:keepNext/>
        <w:keepLines/>
        <w:spacing w:after="0" w:line="240" w:lineRule="auto"/>
        <w:contextualSpacing/>
        <w:jc w:val="center"/>
        <w:rPr>
          <w:rFonts w:eastAsia="Calibri" w:cs="Mangal"/>
          <w:szCs w:val="24"/>
        </w:rPr>
      </w:pPr>
    </w:p>
    <w:p w14:paraId="4B3DBF97" w14:textId="77777777" w:rsidR="00AA2480" w:rsidRPr="003E7D46" w:rsidRDefault="00AA2480" w:rsidP="00AA2480">
      <w:pPr>
        <w:keepNext/>
        <w:keepLines/>
        <w:spacing w:after="0" w:line="240" w:lineRule="auto"/>
        <w:contextualSpacing/>
        <w:jc w:val="center"/>
        <w:rPr>
          <w:rFonts w:eastAsia="Calibri" w:cs="Mangal"/>
          <w:szCs w:val="24"/>
        </w:rPr>
      </w:pPr>
    </w:p>
    <w:tbl>
      <w:tblPr>
        <w:tblStyle w:val="TableGrid"/>
        <w:tblW w:w="906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82"/>
        <w:gridCol w:w="6885"/>
      </w:tblGrid>
      <w:tr w:rsidR="00AA2480" w14:paraId="4CB702F4" w14:textId="77777777" w:rsidTr="00473AB1">
        <w:trPr>
          <w:trHeight w:val="1757"/>
        </w:trPr>
        <w:tc>
          <w:tcPr>
            <w:tcW w:w="2182" w:type="dxa"/>
            <w:tcMar>
              <w:left w:w="0" w:type="dxa"/>
              <w:right w:w="0" w:type="dxa"/>
            </w:tcMar>
            <w:vAlign w:val="center"/>
          </w:tcPr>
          <w:p w14:paraId="1AEBD528" w14:textId="77777777" w:rsidR="00AA2480" w:rsidRDefault="00AA2480" w:rsidP="00473AB1">
            <w:pPr>
              <w:widowControl w:val="0"/>
              <w:autoSpaceDE w:val="0"/>
              <w:autoSpaceDN w:val="0"/>
              <w:jc w:val="center"/>
              <w:rPr>
                <w:rFonts w:ascii="Garamond" w:eastAsia="Calibri" w:hAnsi="Garamond" w:cs="Mangal"/>
                <w:b/>
                <w:sz w:val="32"/>
                <w:szCs w:val="32"/>
                <w:lang w:bidi="en-US"/>
              </w:rPr>
            </w:pPr>
            <w:bookmarkStart w:id="2" w:name="_Toc393442087"/>
            <w:bookmarkStart w:id="3" w:name="_Toc14626618"/>
            <w:r>
              <w:rPr>
                <w:noProof/>
                <w:lang w:eastAsia="en-IN"/>
              </w:rPr>
              <w:drawing>
                <wp:inline distT="0" distB="0" distL="0" distR="0" wp14:anchorId="78493C67" wp14:editId="2C9F3241">
                  <wp:extent cx="1379361" cy="1079500"/>
                  <wp:effectExtent l="0" t="0" r="0" b="6350"/>
                  <wp:docPr id="1525207990" name="Picture 1525207990" descr="C:\Users\Ganesha\Desktop\JN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00808" name="Picture 1" descr="C:\Users\Ganesha\Desktop\JNU_Logo.jp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416914" cy="1108889"/>
                          </a:xfrm>
                          <a:prstGeom prst="rect">
                            <a:avLst/>
                          </a:prstGeom>
                          <a:noFill/>
                          <a:ln>
                            <a:noFill/>
                          </a:ln>
                        </pic:spPr>
                      </pic:pic>
                    </a:graphicData>
                  </a:graphic>
                </wp:inline>
              </w:drawing>
            </w:r>
          </w:p>
        </w:tc>
        <w:tc>
          <w:tcPr>
            <w:tcW w:w="6885" w:type="dxa"/>
            <w:tcMar>
              <w:left w:w="0" w:type="dxa"/>
              <w:right w:w="0" w:type="dxa"/>
            </w:tcMar>
            <w:vAlign w:val="center"/>
          </w:tcPr>
          <w:p w14:paraId="645D1614" w14:textId="77777777" w:rsidR="00AA2480" w:rsidRPr="00696900" w:rsidRDefault="00AA2480" w:rsidP="00473AB1">
            <w:pPr>
              <w:widowControl w:val="0"/>
              <w:autoSpaceDE w:val="0"/>
              <w:autoSpaceDN w:val="0"/>
              <w:spacing w:before="120"/>
              <w:jc w:val="center"/>
              <w:rPr>
                <w:b/>
                <w:sz w:val="28"/>
                <w:szCs w:val="28"/>
                <w:lang w:bidi="en-US"/>
              </w:rPr>
            </w:pPr>
            <w:r w:rsidRPr="00696900">
              <w:rPr>
                <w:b/>
                <w:sz w:val="28"/>
                <w:szCs w:val="28"/>
                <w:lang w:bidi="en-US"/>
              </w:rPr>
              <w:t xml:space="preserve">SCHOOL OF </w:t>
            </w:r>
            <w:r>
              <w:rPr>
                <w:b/>
                <w:sz w:val="28"/>
                <w:szCs w:val="28"/>
                <w:lang w:bidi="en-US"/>
              </w:rPr>
              <w:t>ENGINEERING</w:t>
            </w:r>
          </w:p>
          <w:p w14:paraId="6224E018" w14:textId="77777777" w:rsidR="00AA2480" w:rsidRPr="00696900" w:rsidRDefault="00AA2480" w:rsidP="00473AB1">
            <w:pPr>
              <w:widowControl w:val="0"/>
              <w:autoSpaceDE w:val="0"/>
              <w:autoSpaceDN w:val="0"/>
              <w:jc w:val="center"/>
              <w:rPr>
                <w:b/>
                <w:sz w:val="28"/>
                <w:szCs w:val="28"/>
                <w:lang w:bidi="en-US"/>
              </w:rPr>
            </w:pPr>
            <w:r w:rsidRPr="00696900">
              <w:rPr>
                <w:b/>
                <w:sz w:val="28"/>
                <w:szCs w:val="28"/>
                <w:lang w:bidi="en-US"/>
              </w:rPr>
              <w:t>JAWAHARLAL NEHRU UNIVERSITY</w:t>
            </w:r>
          </w:p>
          <w:p w14:paraId="3BB5E8F6" w14:textId="77777777" w:rsidR="00AA2480" w:rsidRPr="00696900" w:rsidRDefault="00AA2480" w:rsidP="00473AB1">
            <w:pPr>
              <w:widowControl w:val="0"/>
              <w:autoSpaceDE w:val="0"/>
              <w:autoSpaceDN w:val="0"/>
              <w:jc w:val="center"/>
              <w:rPr>
                <w:b/>
                <w:sz w:val="28"/>
                <w:szCs w:val="24"/>
                <w:lang w:bidi="en-US"/>
              </w:rPr>
            </w:pPr>
            <w:r w:rsidRPr="00696900">
              <w:rPr>
                <w:b/>
                <w:sz w:val="28"/>
                <w:szCs w:val="28"/>
                <w:lang w:bidi="en-US"/>
              </w:rPr>
              <w:t>NEW DELHI-110067</w:t>
            </w:r>
          </w:p>
        </w:tc>
      </w:tr>
    </w:tbl>
    <w:p w14:paraId="23F91F76" w14:textId="77777777" w:rsidR="00AA2480" w:rsidRDefault="00AA2480" w:rsidP="00AA2480">
      <w:pPr>
        <w:widowControl w:val="0"/>
        <w:autoSpaceDE w:val="0"/>
        <w:autoSpaceDN w:val="0"/>
        <w:spacing w:before="240" w:after="0" w:line="240" w:lineRule="auto"/>
        <w:jc w:val="center"/>
        <w:rPr>
          <w:rFonts w:ascii="Garamond" w:eastAsia="Calibri" w:hAnsi="Garamond"/>
          <w:b/>
          <w:sz w:val="40"/>
          <w:szCs w:val="40"/>
          <w:u w:val="single"/>
          <w:lang w:bidi="en-US"/>
        </w:rPr>
      </w:pPr>
    </w:p>
    <w:p w14:paraId="2738BD06" w14:textId="77777777" w:rsidR="00AA2480" w:rsidRPr="00C43CB4" w:rsidRDefault="00AA2480" w:rsidP="00AA2480">
      <w:pPr>
        <w:widowControl w:val="0"/>
        <w:autoSpaceDE w:val="0"/>
        <w:autoSpaceDN w:val="0"/>
        <w:spacing w:before="240" w:after="0" w:line="240" w:lineRule="auto"/>
        <w:jc w:val="center"/>
        <w:rPr>
          <w:rFonts w:ascii="Garamond" w:eastAsia="Calibri" w:hAnsi="Garamond"/>
          <w:b/>
          <w:sz w:val="32"/>
          <w:szCs w:val="32"/>
          <w:u w:val="single"/>
          <w:lang w:bidi="en-US"/>
        </w:rPr>
      </w:pPr>
      <w:r w:rsidRPr="00C43CB4">
        <w:rPr>
          <w:rFonts w:ascii="Garamond" w:eastAsia="Calibri" w:hAnsi="Garamond"/>
          <w:b/>
          <w:sz w:val="32"/>
          <w:szCs w:val="32"/>
          <w:u w:val="single"/>
          <w:lang w:bidi="en-US"/>
        </w:rPr>
        <w:t>CERTIFICATE</w:t>
      </w:r>
      <w:bookmarkEnd w:id="2"/>
      <w:bookmarkEnd w:id="3"/>
    </w:p>
    <w:p w14:paraId="46B849C6" w14:textId="77777777" w:rsidR="00AA2480" w:rsidRPr="003E7D46" w:rsidRDefault="00AA2480" w:rsidP="00AA2480">
      <w:pPr>
        <w:widowControl w:val="0"/>
        <w:autoSpaceDE w:val="0"/>
        <w:autoSpaceDN w:val="0"/>
        <w:spacing w:after="0" w:line="480" w:lineRule="auto"/>
        <w:rPr>
          <w:szCs w:val="24"/>
          <w:lang w:bidi="en-US"/>
        </w:rPr>
      </w:pPr>
    </w:p>
    <w:p w14:paraId="26F30C6B" w14:textId="77777777" w:rsidR="00AA2480" w:rsidRPr="00535C88" w:rsidRDefault="00AA2480" w:rsidP="00AA2480">
      <w:pPr>
        <w:widowControl w:val="0"/>
        <w:autoSpaceDE w:val="0"/>
        <w:autoSpaceDN w:val="0"/>
        <w:spacing w:after="0" w:line="480" w:lineRule="auto"/>
        <w:rPr>
          <w:szCs w:val="24"/>
          <w:lang w:bidi="en-US"/>
        </w:rPr>
      </w:pPr>
      <w:r w:rsidRPr="00535C88">
        <w:rPr>
          <w:szCs w:val="24"/>
          <w:lang w:bidi="en-US"/>
        </w:rPr>
        <w:t>This is to certify that this dissertation entitled “</w:t>
      </w:r>
      <w:r w:rsidRPr="009128C5">
        <w:rPr>
          <w:b/>
          <w:i/>
          <w:szCs w:val="24"/>
          <w:u w:val="single"/>
          <w:lang w:bidi="en-US"/>
        </w:rPr>
        <w:t>FROM CRUDE OIL TO CONSUMER INFLATION: TRANSMISSION AND ATTENUATION ACROSS INDIA’S PRICE SYSTEM</w:t>
      </w:r>
      <w:r w:rsidRPr="00535C88">
        <w:rPr>
          <w:szCs w:val="24"/>
          <w:lang w:bidi="en-US"/>
        </w:rPr>
        <w:t xml:space="preserve">” submitted by </w:t>
      </w:r>
      <w:r>
        <w:rPr>
          <w:b/>
          <w:i/>
          <w:szCs w:val="24"/>
          <w:u w:val="single"/>
          <w:lang w:bidi="en-US"/>
        </w:rPr>
        <w:t xml:space="preserve">Aniket Pandey </w:t>
      </w:r>
      <w:r w:rsidRPr="00535C88">
        <w:rPr>
          <w:szCs w:val="24"/>
          <w:lang w:bidi="en-US"/>
        </w:rPr>
        <w:t xml:space="preserve"> to the School of </w:t>
      </w:r>
      <w:r>
        <w:rPr>
          <w:szCs w:val="24"/>
          <w:lang w:bidi="en-US"/>
        </w:rPr>
        <w:t>Engineering</w:t>
      </w:r>
      <w:r w:rsidRPr="00535C88">
        <w:rPr>
          <w:szCs w:val="24"/>
          <w:lang w:bidi="en-US"/>
        </w:rPr>
        <w:t xml:space="preserve">, Jawaharlal Nehru University, New Delhi for the award of the degree of </w:t>
      </w:r>
      <w:r w:rsidRPr="00535C88">
        <w:rPr>
          <w:b/>
          <w:szCs w:val="24"/>
          <w:lang w:bidi="en-US"/>
        </w:rPr>
        <w:t xml:space="preserve">Master of </w:t>
      </w:r>
      <w:r>
        <w:rPr>
          <w:b/>
          <w:szCs w:val="24"/>
          <w:lang w:bidi="en-US"/>
        </w:rPr>
        <w:t>Science</w:t>
      </w:r>
      <w:r w:rsidRPr="00535C88">
        <w:rPr>
          <w:b/>
          <w:szCs w:val="24"/>
          <w:lang w:bidi="en-US"/>
        </w:rPr>
        <w:t xml:space="preserve"> </w:t>
      </w:r>
      <w:r w:rsidRPr="00C43CB4">
        <w:rPr>
          <w:szCs w:val="24"/>
          <w:lang w:bidi="en-US"/>
        </w:rPr>
        <w:t>in</w:t>
      </w:r>
      <w:r w:rsidRPr="00535C88">
        <w:rPr>
          <w:b/>
          <w:szCs w:val="24"/>
          <w:lang w:bidi="en-US"/>
        </w:rPr>
        <w:t xml:space="preserve"> </w:t>
      </w:r>
      <w:r>
        <w:rPr>
          <w:b/>
          <w:i/>
          <w:szCs w:val="24"/>
          <w:u w:val="single"/>
          <w:lang w:bidi="en-US"/>
        </w:rPr>
        <w:t xml:space="preserve">Economics </w:t>
      </w:r>
      <w:r>
        <w:rPr>
          <w:szCs w:val="24"/>
          <w:lang w:bidi="en-US"/>
        </w:rPr>
        <w:t xml:space="preserve">as part of the dual degree </w:t>
      </w:r>
      <w:proofErr w:type="spellStart"/>
      <w:r>
        <w:rPr>
          <w:szCs w:val="24"/>
          <w:lang w:bidi="en-US"/>
        </w:rPr>
        <w:t>programme</w:t>
      </w:r>
      <w:proofErr w:type="spellEnd"/>
      <w:r>
        <w:rPr>
          <w:szCs w:val="24"/>
          <w:lang w:bidi="en-US"/>
        </w:rPr>
        <w:t xml:space="preserve"> in the School of Engineering, </w:t>
      </w:r>
      <w:r w:rsidRPr="00535C88">
        <w:rPr>
          <w:szCs w:val="24"/>
          <w:lang w:bidi="en-US"/>
        </w:rPr>
        <w:t xml:space="preserve">is a research work carried out by </w:t>
      </w:r>
      <w:r w:rsidRPr="006800D8">
        <w:rPr>
          <w:b/>
          <w:i/>
          <w:szCs w:val="24"/>
          <w:u w:val="single"/>
          <w:lang w:bidi="en-US"/>
        </w:rPr>
        <w:t>him</w:t>
      </w:r>
      <w:r>
        <w:rPr>
          <w:b/>
          <w:i/>
          <w:szCs w:val="24"/>
          <w:u w:val="single"/>
          <w:lang w:bidi="en-US"/>
        </w:rPr>
        <w:t xml:space="preserve"> </w:t>
      </w:r>
      <w:r w:rsidRPr="00535C88">
        <w:rPr>
          <w:szCs w:val="24"/>
          <w:lang w:bidi="en-US"/>
        </w:rPr>
        <w:t xml:space="preserve"> under the supervision of </w:t>
      </w:r>
      <w:r w:rsidRPr="00C43CB4">
        <w:rPr>
          <w:b/>
          <w:i/>
          <w:szCs w:val="24"/>
          <w:u w:val="single"/>
          <w:lang w:bidi="en-US"/>
        </w:rPr>
        <w:t>S</w:t>
      </w:r>
      <w:r>
        <w:rPr>
          <w:b/>
          <w:i/>
          <w:szCs w:val="24"/>
          <w:u w:val="single"/>
          <w:lang w:bidi="en-US"/>
        </w:rPr>
        <w:t>hakti Kumar .</w:t>
      </w:r>
    </w:p>
    <w:p w14:paraId="55303664" w14:textId="77777777" w:rsidR="00AA2480" w:rsidRPr="003E7D46" w:rsidRDefault="00AA2480" w:rsidP="00AA2480">
      <w:pPr>
        <w:widowControl w:val="0"/>
        <w:autoSpaceDE w:val="0"/>
        <w:autoSpaceDN w:val="0"/>
        <w:spacing w:after="0" w:line="480" w:lineRule="auto"/>
        <w:rPr>
          <w:szCs w:val="24"/>
          <w:lang w:bidi="en-US"/>
        </w:rPr>
      </w:pPr>
    </w:p>
    <w:p w14:paraId="35A38C25" w14:textId="77777777" w:rsidR="00AA2480" w:rsidRPr="003E7D46" w:rsidRDefault="00AA2480" w:rsidP="00AA2480">
      <w:pPr>
        <w:widowControl w:val="0"/>
        <w:autoSpaceDE w:val="0"/>
        <w:autoSpaceDN w:val="0"/>
        <w:spacing w:after="0" w:line="480" w:lineRule="auto"/>
        <w:rPr>
          <w:szCs w:val="24"/>
          <w:lang w:bidi="en-US"/>
        </w:rPr>
      </w:pPr>
    </w:p>
    <w:p w14:paraId="5E443DE8" w14:textId="77777777" w:rsidR="00AA2480" w:rsidRPr="00C43CB4" w:rsidRDefault="00AA2480" w:rsidP="00AA2480">
      <w:pPr>
        <w:widowControl w:val="0"/>
        <w:autoSpaceDE w:val="0"/>
        <w:autoSpaceDN w:val="0"/>
        <w:spacing w:after="0" w:line="240" w:lineRule="auto"/>
        <w:contextualSpacing/>
        <w:jc w:val="right"/>
        <w:rPr>
          <w:b/>
          <w:i/>
          <w:szCs w:val="24"/>
          <w:u w:val="single"/>
          <w:lang w:bidi="en-US"/>
        </w:rPr>
      </w:pPr>
      <w:r w:rsidRPr="00C43CB4">
        <w:rPr>
          <w:b/>
          <w:i/>
          <w:szCs w:val="24"/>
          <w:u w:val="single"/>
          <w:lang w:bidi="en-US"/>
        </w:rPr>
        <w:t>S</w:t>
      </w:r>
      <w:r>
        <w:rPr>
          <w:b/>
          <w:i/>
          <w:szCs w:val="24"/>
          <w:u w:val="single"/>
          <w:lang w:bidi="en-US"/>
        </w:rPr>
        <w:t>hakti Kumar</w:t>
      </w:r>
    </w:p>
    <w:p w14:paraId="7B07DEA5" w14:textId="77777777" w:rsidR="00AA2480" w:rsidRPr="00535C88" w:rsidRDefault="00AA2480" w:rsidP="00AA2480">
      <w:pPr>
        <w:widowControl w:val="0"/>
        <w:autoSpaceDE w:val="0"/>
        <w:autoSpaceDN w:val="0"/>
        <w:spacing w:after="0" w:line="240" w:lineRule="auto"/>
        <w:contextualSpacing/>
        <w:jc w:val="right"/>
        <w:rPr>
          <w:szCs w:val="24"/>
          <w:lang w:bidi="en-US"/>
        </w:rPr>
      </w:pPr>
      <w:r w:rsidRPr="00535C88">
        <w:rPr>
          <w:szCs w:val="24"/>
          <w:lang w:bidi="en-US"/>
        </w:rPr>
        <w:t>(Supervisor)</w:t>
      </w:r>
    </w:p>
    <w:p w14:paraId="77F55952" w14:textId="77777777" w:rsidR="00AA2480" w:rsidRDefault="00AA2480" w:rsidP="00AA2480">
      <w:pPr>
        <w:widowControl w:val="0"/>
        <w:autoSpaceDE w:val="0"/>
        <w:autoSpaceDN w:val="0"/>
        <w:spacing w:after="0" w:line="480" w:lineRule="auto"/>
        <w:jc w:val="right"/>
        <w:rPr>
          <w:szCs w:val="24"/>
          <w:lang w:bidi="en-US"/>
        </w:rPr>
      </w:pPr>
    </w:p>
    <w:p w14:paraId="1A70A8E2" w14:textId="77777777" w:rsidR="00AA2480" w:rsidRDefault="00AA2480" w:rsidP="00AA2480">
      <w:pPr>
        <w:widowControl w:val="0"/>
        <w:autoSpaceDE w:val="0"/>
        <w:autoSpaceDN w:val="0"/>
        <w:spacing w:after="0" w:line="480" w:lineRule="auto"/>
        <w:jc w:val="right"/>
        <w:rPr>
          <w:szCs w:val="24"/>
          <w:lang w:bidi="en-US"/>
        </w:rPr>
      </w:pPr>
    </w:p>
    <w:p w14:paraId="6F0BB6F2" w14:textId="77777777" w:rsidR="00AA2480" w:rsidRPr="00535C88" w:rsidRDefault="00AA2480" w:rsidP="00AA2480">
      <w:pPr>
        <w:widowControl w:val="0"/>
        <w:autoSpaceDE w:val="0"/>
        <w:autoSpaceDN w:val="0"/>
        <w:spacing w:after="0" w:line="480" w:lineRule="auto"/>
        <w:jc w:val="right"/>
        <w:rPr>
          <w:szCs w:val="24"/>
          <w:lang w:bidi="en-US"/>
        </w:rPr>
      </w:pPr>
    </w:p>
    <w:p w14:paraId="2F7661BE" w14:textId="77777777" w:rsidR="00AA2480" w:rsidRPr="00C43CB4" w:rsidRDefault="00AA2480" w:rsidP="00AA2480">
      <w:pPr>
        <w:widowControl w:val="0"/>
        <w:autoSpaceDE w:val="0"/>
        <w:autoSpaceDN w:val="0"/>
        <w:spacing w:after="0" w:line="240" w:lineRule="auto"/>
        <w:contextualSpacing/>
        <w:jc w:val="right"/>
        <w:rPr>
          <w:b/>
          <w:i/>
          <w:szCs w:val="24"/>
          <w:u w:val="single"/>
          <w:lang w:bidi="en-US"/>
        </w:rPr>
      </w:pPr>
      <w:r w:rsidRPr="00C43CB4">
        <w:rPr>
          <w:b/>
          <w:i/>
          <w:szCs w:val="24"/>
          <w:u w:val="single"/>
          <w:lang w:bidi="en-US"/>
        </w:rPr>
        <w:t>Dean’s Name</w:t>
      </w:r>
    </w:p>
    <w:p w14:paraId="6B908B37" w14:textId="77777777" w:rsidR="00AA2480" w:rsidRDefault="00AA2480" w:rsidP="00AA2480">
      <w:pPr>
        <w:widowControl w:val="0"/>
        <w:autoSpaceDE w:val="0"/>
        <w:autoSpaceDN w:val="0"/>
        <w:spacing w:after="0" w:line="480" w:lineRule="auto"/>
        <w:jc w:val="right"/>
      </w:pPr>
      <w:r w:rsidRPr="00535C88">
        <w:rPr>
          <w:szCs w:val="24"/>
          <w:lang w:bidi="en-US"/>
        </w:rPr>
        <w:t xml:space="preserve"> (Dean</w:t>
      </w:r>
    </w:p>
    <w:p w14:paraId="6E88FF94" w14:textId="77777777" w:rsidR="00AA2480" w:rsidRDefault="00AA2480">
      <w:pPr>
        <w:pStyle w:val="Heading1"/>
        <w:rPr>
          <w:rFonts w:ascii="Times New Roman" w:hAnsi="Times New Roman"/>
        </w:rPr>
      </w:pPr>
    </w:p>
    <w:p w14:paraId="5B9AACF2" w14:textId="77777777" w:rsidR="00AA2480" w:rsidRDefault="00AA2480">
      <w:pPr>
        <w:spacing w:after="200" w:line="276" w:lineRule="auto"/>
        <w:jc w:val="left"/>
        <w:rPr>
          <w:rFonts w:eastAsiaTheme="majorEastAsia" w:cstheme="majorBidi"/>
          <w:b/>
          <w:bCs/>
          <w:color w:val="000000"/>
          <w:sz w:val="40"/>
          <w:szCs w:val="28"/>
        </w:rPr>
      </w:pPr>
      <w:r>
        <w:br w:type="page"/>
      </w:r>
    </w:p>
    <w:p w14:paraId="20DAD61A" w14:textId="18C1BDCA" w:rsidR="00D23216" w:rsidRDefault="00000000">
      <w:pPr>
        <w:pStyle w:val="Heading1"/>
      </w:pPr>
      <w:r>
        <w:rPr>
          <w:rFonts w:ascii="Times New Roman" w:hAnsi="Times New Roman"/>
        </w:rPr>
        <w:lastRenderedPageBreak/>
        <w:br/>
      </w:r>
      <w:bookmarkStart w:id="4" w:name="_Toc228196686"/>
      <w:r>
        <w:rPr>
          <w:rFonts w:ascii="Times New Roman" w:hAnsi="Times New Roman"/>
        </w:rPr>
        <w:t>Abstract</w:t>
      </w:r>
      <w:bookmarkEnd w:id="4"/>
    </w:p>
    <w:p w14:paraId="06545B7F" w14:textId="77777777" w:rsidR="00D23216" w:rsidRDefault="00000000">
      <w:r>
        <w:t>India imports around 87% of its crude petroleum, yet oil-price shocks do not pass evenly through the domestic price system. This dissertation studies oil-price pass-through in India as a layered transmission process rather than as a single coefficient on the wholesale price index (WPI) or the consumer price index (CPI). The shock is traced across four points in the chain: international Brent crude in rupee terms, retail petrol prices at the pump, fuel-sensitive sub-indices of the wholesale and consumer price indices, and the two headline aggregates. Monthly data are drawn from official WPI series spliced to the 2011-12 base, Petroleum Planning and Analysis Cell (PPAC) retail fuel prices, Brent crude prices, the INR/USD exchange rate, and CPI series, with the WPI evidence covering a long historical sample from 1983 and the CPI and PPAC retail fuel evidence covering the shorter but policy-relevant post-2004 period. The main estimates use short-run asymmetric autoregressive distributed lag (ADL) models in log differences with Newey-West HAC inference, cumulative pass-through tests, and a restricted-residual circular block bootstrap with 4,999 replications for symmetry checks. Nonlinear ARDL bounds tests are reported as supplementary long-run evidence. The evidence shows a clear ordering. Retail petrol and WPI Fuel and Power respond strongly to rupee oil shocks; headline WPI responds significantly but with a much smaller coefficient; headline CPI shows only weak positive pass-through and no reliable evidence of short-run asymmetry. The pre/post-2010 WPI split is consistent with stronger pass-through after the move toward more market-linked fuel pricing, although it should be read as institutional evidence rather than a clean causal estimate of deregulation. The conclusion is that oil shocks are not absent from Indian prices; they are absorbed unevenly, with much of the shock diluted before it reaches headline consumer inflation.</w:t>
      </w:r>
    </w:p>
    <w:p w14:paraId="68EB7073" w14:textId="77777777" w:rsidR="001070D3" w:rsidRDefault="00000000">
      <w:pPr>
        <w:spacing w:after="200" w:line="276" w:lineRule="auto"/>
        <w:jc w:val="left"/>
      </w:pPr>
      <w:r>
        <w:br w:type="page"/>
      </w:r>
      <w:r w:rsidR="001070D3">
        <w:lastRenderedPageBreak/>
        <w:br w:type="page"/>
      </w:r>
    </w:p>
    <w:sdt>
      <w:sdtPr>
        <w:id w:val="1727494223"/>
        <w:docPartObj>
          <w:docPartGallery w:val="Table of Contents"/>
          <w:docPartUnique/>
        </w:docPartObj>
      </w:sdtPr>
      <w:sdtEndPr>
        <w:rPr>
          <w:rFonts w:ascii="Times New Roman" w:eastAsia="Times New Roman" w:hAnsi="Times New Roman" w:cs="Times New Roman"/>
          <w:noProof/>
          <w:color w:val="auto"/>
          <w:sz w:val="24"/>
          <w:szCs w:val="22"/>
        </w:rPr>
      </w:sdtEndPr>
      <w:sdtContent>
        <w:p w14:paraId="2B45E8FC" w14:textId="272437C4" w:rsidR="001070D3" w:rsidRDefault="001070D3">
          <w:pPr>
            <w:pStyle w:val="TOCHeading"/>
          </w:pPr>
          <w:r>
            <w:t>Table of Contents</w:t>
          </w:r>
        </w:p>
        <w:p w14:paraId="69725E85" w14:textId="4C44B35C" w:rsidR="001070D3" w:rsidRDefault="001070D3">
          <w:pPr>
            <w:pStyle w:val="TOC1"/>
            <w:tabs>
              <w:tab w:val="right" w:leader="dot" w:pos="8449"/>
            </w:tabs>
            <w:rPr>
              <w:rFonts w:eastAsiaTheme="minorEastAsia" w:cs="Mangal"/>
              <w:b w:val="0"/>
              <w:bCs w:val="0"/>
              <w:i w:val="0"/>
              <w:iCs w:val="0"/>
              <w:noProof/>
              <w:kern w:val="2"/>
              <w:szCs w:val="21"/>
              <w:lang w:bidi="hi-IN"/>
              <w14:ligatures w14:val="standardContextual"/>
            </w:rPr>
          </w:pPr>
          <w:r>
            <w:rPr>
              <w:b w:val="0"/>
              <w:bCs w:val="0"/>
            </w:rPr>
            <w:fldChar w:fldCharType="begin"/>
          </w:r>
          <w:r>
            <w:instrText xml:space="preserve"> TOC \o "1-3" \h \z \u </w:instrText>
          </w:r>
          <w:r>
            <w:rPr>
              <w:b w:val="0"/>
              <w:bCs w:val="0"/>
            </w:rPr>
            <w:fldChar w:fldCharType="separate"/>
          </w:r>
          <w:hyperlink w:anchor="_Toc228196686" w:history="1">
            <w:r w:rsidRPr="00C547A9">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_Toc228196686 \h </w:instrText>
            </w:r>
            <w:r>
              <w:rPr>
                <w:noProof/>
                <w:webHidden/>
              </w:rPr>
            </w:r>
            <w:r>
              <w:rPr>
                <w:noProof/>
                <w:webHidden/>
              </w:rPr>
              <w:fldChar w:fldCharType="separate"/>
            </w:r>
            <w:r>
              <w:rPr>
                <w:noProof/>
                <w:webHidden/>
              </w:rPr>
              <w:t>4</w:t>
            </w:r>
            <w:r>
              <w:rPr>
                <w:noProof/>
                <w:webHidden/>
              </w:rPr>
              <w:fldChar w:fldCharType="end"/>
            </w:r>
          </w:hyperlink>
        </w:p>
        <w:p w14:paraId="63A111E5" w14:textId="0FCB557B" w:rsidR="001070D3" w:rsidRDefault="001070D3">
          <w:pPr>
            <w:pStyle w:val="TOC1"/>
            <w:tabs>
              <w:tab w:val="right" w:leader="dot" w:pos="8449"/>
            </w:tabs>
            <w:rPr>
              <w:rFonts w:eastAsiaTheme="minorEastAsia" w:cs="Mangal"/>
              <w:b w:val="0"/>
              <w:bCs w:val="0"/>
              <w:i w:val="0"/>
              <w:iCs w:val="0"/>
              <w:noProof/>
              <w:kern w:val="2"/>
              <w:szCs w:val="21"/>
              <w:lang w:bidi="hi-IN"/>
              <w14:ligatures w14:val="standardContextual"/>
            </w:rPr>
          </w:pPr>
          <w:hyperlink w:anchor="_Toc228196687" w:history="1">
            <w:r w:rsidRPr="00C547A9">
              <w:rPr>
                <w:rStyle w:val="Hyperlink"/>
                <w:rFonts w:ascii="Times New Roman" w:hAnsi="Times New Roman"/>
                <w:noProof/>
              </w:rPr>
              <w:t>Chapter 1 Introduction</w:t>
            </w:r>
            <w:r>
              <w:rPr>
                <w:noProof/>
                <w:webHidden/>
              </w:rPr>
              <w:tab/>
            </w:r>
            <w:r>
              <w:rPr>
                <w:noProof/>
                <w:webHidden/>
              </w:rPr>
              <w:fldChar w:fldCharType="begin"/>
            </w:r>
            <w:r>
              <w:rPr>
                <w:noProof/>
                <w:webHidden/>
              </w:rPr>
              <w:instrText xml:space="preserve"> PAGEREF _Toc228196687 \h </w:instrText>
            </w:r>
            <w:r>
              <w:rPr>
                <w:noProof/>
                <w:webHidden/>
              </w:rPr>
            </w:r>
            <w:r>
              <w:rPr>
                <w:noProof/>
                <w:webHidden/>
              </w:rPr>
              <w:fldChar w:fldCharType="separate"/>
            </w:r>
            <w:r>
              <w:rPr>
                <w:noProof/>
                <w:webHidden/>
              </w:rPr>
              <w:t>6</w:t>
            </w:r>
            <w:r>
              <w:rPr>
                <w:noProof/>
                <w:webHidden/>
              </w:rPr>
              <w:fldChar w:fldCharType="end"/>
            </w:r>
          </w:hyperlink>
        </w:p>
        <w:p w14:paraId="35386884" w14:textId="033FAB4C"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688" w:history="1">
            <w:r w:rsidRPr="00C547A9">
              <w:rPr>
                <w:rStyle w:val="Hyperlink"/>
                <w:rFonts w:ascii="Times New Roman" w:hAnsi="Times New Roman"/>
                <w:noProof/>
              </w:rPr>
              <w:t>1.1 Motivation and Empirical Puzzle</w:t>
            </w:r>
            <w:r>
              <w:rPr>
                <w:noProof/>
                <w:webHidden/>
              </w:rPr>
              <w:tab/>
            </w:r>
            <w:r>
              <w:rPr>
                <w:noProof/>
                <w:webHidden/>
              </w:rPr>
              <w:fldChar w:fldCharType="begin"/>
            </w:r>
            <w:r>
              <w:rPr>
                <w:noProof/>
                <w:webHidden/>
              </w:rPr>
              <w:instrText xml:space="preserve"> PAGEREF _Toc228196688 \h </w:instrText>
            </w:r>
            <w:r>
              <w:rPr>
                <w:noProof/>
                <w:webHidden/>
              </w:rPr>
            </w:r>
            <w:r>
              <w:rPr>
                <w:noProof/>
                <w:webHidden/>
              </w:rPr>
              <w:fldChar w:fldCharType="separate"/>
            </w:r>
            <w:r>
              <w:rPr>
                <w:noProof/>
                <w:webHidden/>
              </w:rPr>
              <w:t>6</w:t>
            </w:r>
            <w:r>
              <w:rPr>
                <w:noProof/>
                <w:webHidden/>
              </w:rPr>
              <w:fldChar w:fldCharType="end"/>
            </w:r>
          </w:hyperlink>
        </w:p>
        <w:p w14:paraId="500E6020" w14:textId="2B68054B"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689" w:history="1">
            <w:r w:rsidRPr="00C547A9">
              <w:rPr>
                <w:rStyle w:val="Hyperlink"/>
                <w:rFonts w:ascii="Times New Roman" w:hAnsi="Times New Roman"/>
                <w:noProof/>
              </w:rPr>
              <w:t>1.2 Research Question and Approach</w:t>
            </w:r>
            <w:r>
              <w:rPr>
                <w:noProof/>
                <w:webHidden/>
              </w:rPr>
              <w:tab/>
            </w:r>
            <w:r>
              <w:rPr>
                <w:noProof/>
                <w:webHidden/>
              </w:rPr>
              <w:fldChar w:fldCharType="begin"/>
            </w:r>
            <w:r>
              <w:rPr>
                <w:noProof/>
                <w:webHidden/>
              </w:rPr>
              <w:instrText xml:space="preserve"> PAGEREF _Toc228196689 \h </w:instrText>
            </w:r>
            <w:r>
              <w:rPr>
                <w:noProof/>
                <w:webHidden/>
              </w:rPr>
            </w:r>
            <w:r>
              <w:rPr>
                <w:noProof/>
                <w:webHidden/>
              </w:rPr>
              <w:fldChar w:fldCharType="separate"/>
            </w:r>
            <w:r>
              <w:rPr>
                <w:noProof/>
                <w:webHidden/>
              </w:rPr>
              <w:t>6</w:t>
            </w:r>
            <w:r>
              <w:rPr>
                <w:noProof/>
                <w:webHidden/>
              </w:rPr>
              <w:fldChar w:fldCharType="end"/>
            </w:r>
          </w:hyperlink>
        </w:p>
        <w:p w14:paraId="528A931A" w14:textId="219D2568"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690" w:history="1">
            <w:r w:rsidRPr="00C547A9">
              <w:rPr>
                <w:rStyle w:val="Hyperlink"/>
                <w:rFonts w:ascii="Times New Roman" w:hAnsi="Times New Roman"/>
                <w:noProof/>
              </w:rPr>
              <w:t>1.3 Main Findings</w:t>
            </w:r>
            <w:r>
              <w:rPr>
                <w:noProof/>
                <w:webHidden/>
              </w:rPr>
              <w:tab/>
            </w:r>
            <w:r>
              <w:rPr>
                <w:noProof/>
                <w:webHidden/>
              </w:rPr>
              <w:fldChar w:fldCharType="begin"/>
            </w:r>
            <w:r>
              <w:rPr>
                <w:noProof/>
                <w:webHidden/>
              </w:rPr>
              <w:instrText xml:space="preserve"> PAGEREF _Toc228196690 \h </w:instrText>
            </w:r>
            <w:r>
              <w:rPr>
                <w:noProof/>
                <w:webHidden/>
              </w:rPr>
            </w:r>
            <w:r>
              <w:rPr>
                <w:noProof/>
                <w:webHidden/>
              </w:rPr>
              <w:fldChar w:fldCharType="separate"/>
            </w:r>
            <w:r>
              <w:rPr>
                <w:noProof/>
                <w:webHidden/>
              </w:rPr>
              <w:t>7</w:t>
            </w:r>
            <w:r>
              <w:rPr>
                <w:noProof/>
                <w:webHidden/>
              </w:rPr>
              <w:fldChar w:fldCharType="end"/>
            </w:r>
          </w:hyperlink>
        </w:p>
        <w:p w14:paraId="293A205E" w14:textId="2F589470"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691" w:history="1">
            <w:r w:rsidRPr="00C547A9">
              <w:rPr>
                <w:rStyle w:val="Hyperlink"/>
                <w:rFonts w:ascii="Times New Roman" w:hAnsi="Times New Roman"/>
                <w:noProof/>
              </w:rPr>
              <w:t>1.4 Why the Question Matters for Policy</w:t>
            </w:r>
            <w:r>
              <w:rPr>
                <w:noProof/>
                <w:webHidden/>
              </w:rPr>
              <w:tab/>
            </w:r>
            <w:r>
              <w:rPr>
                <w:noProof/>
                <w:webHidden/>
              </w:rPr>
              <w:fldChar w:fldCharType="begin"/>
            </w:r>
            <w:r>
              <w:rPr>
                <w:noProof/>
                <w:webHidden/>
              </w:rPr>
              <w:instrText xml:space="preserve"> PAGEREF _Toc228196691 \h </w:instrText>
            </w:r>
            <w:r>
              <w:rPr>
                <w:noProof/>
                <w:webHidden/>
              </w:rPr>
            </w:r>
            <w:r>
              <w:rPr>
                <w:noProof/>
                <w:webHidden/>
              </w:rPr>
              <w:fldChar w:fldCharType="separate"/>
            </w:r>
            <w:r>
              <w:rPr>
                <w:noProof/>
                <w:webHidden/>
              </w:rPr>
              <w:t>7</w:t>
            </w:r>
            <w:r>
              <w:rPr>
                <w:noProof/>
                <w:webHidden/>
              </w:rPr>
              <w:fldChar w:fldCharType="end"/>
            </w:r>
          </w:hyperlink>
        </w:p>
        <w:p w14:paraId="35F87A69" w14:textId="55967F2F"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692" w:history="1">
            <w:r w:rsidRPr="00C547A9">
              <w:rPr>
                <w:rStyle w:val="Hyperlink"/>
                <w:rFonts w:ascii="Times New Roman" w:hAnsi="Times New Roman"/>
                <w:noProof/>
              </w:rPr>
              <w:t>1.5 Contribution and Structure</w:t>
            </w:r>
            <w:r>
              <w:rPr>
                <w:noProof/>
                <w:webHidden/>
              </w:rPr>
              <w:tab/>
            </w:r>
            <w:r>
              <w:rPr>
                <w:noProof/>
                <w:webHidden/>
              </w:rPr>
              <w:fldChar w:fldCharType="begin"/>
            </w:r>
            <w:r>
              <w:rPr>
                <w:noProof/>
                <w:webHidden/>
              </w:rPr>
              <w:instrText xml:space="preserve"> PAGEREF _Toc228196692 \h </w:instrText>
            </w:r>
            <w:r>
              <w:rPr>
                <w:noProof/>
                <w:webHidden/>
              </w:rPr>
            </w:r>
            <w:r>
              <w:rPr>
                <w:noProof/>
                <w:webHidden/>
              </w:rPr>
              <w:fldChar w:fldCharType="separate"/>
            </w:r>
            <w:r>
              <w:rPr>
                <w:noProof/>
                <w:webHidden/>
              </w:rPr>
              <w:t>8</w:t>
            </w:r>
            <w:r>
              <w:rPr>
                <w:noProof/>
                <w:webHidden/>
              </w:rPr>
              <w:fldChar w:fldCharType="end"/>
            </w:r>
          </w:hyperlink>
        </w:p>
        <w:p w14:paraId="187CD3D5" w14:textId="76CC5B0E" w:rsidR="001070D3" w:rsidRDefault="001070D3">
          <w:pPr>
            <w:pStyle w:val="TOC1"/>
            <w:tabs>
              <w:tab w:val="right" w:leader="dot" w:pos="8449"/>
            </w:tabs>
            <w:rPr>
              <w:rFonts w:eastAsiaTheme="minorEastAsia" w:cs="Mangal"/>
              <w:b w:val="0"/>
              <w:bCs w:val="0"/>
              <w:i w:val="0"/>
              <w:iCs w:val="0"/>
              <w:noProof/>
              <w:kern w:val="2"/>
              <w:szCs w:val="21"/>
              <w:lang w:bidi="hi-IN"/>
              <w14:ligatures w14:val="standardContextual"/>
            </w:rPr>
          </w:pPr>
          <w:hyperlink w:anchor="_Toc228196693" w:history="1">
            <w:r w:rsidRPr="00C547A9">
              <w:rPr>
                <w:rStyle w:val="Hyperlink"/>
                <w:rFonts w:ascii="Times New Roman" w:hAnsi="Times New Roman"/>
                <w:noProof/>
              </w:rPr>
              <w:t>Chapter 2 Institutional Background and Literature</w:t>
            </w:r>
            <w:r>
              <w:rPr>
                <w:noProof/>
                <w:webHidden/>
              </w:rPr>
              <w:tab/>
            </w:r>
            <w:r>
              <w:rPr>
                <w:noProof/>
                <w:webHidden/>
              </w:rPr>
              <w:fldChar w:fldCharType="begin"/>
            </w:r>
            <w:r>
              <w:rPr>
                <w:noProof/>
                <w:webHidden/>
              </w:rPr>
              <w:instrText xml:space="preserve"> PAGEREF _Toc228196693 \h </w:instrText>
            </w:r>
            <w:r>
              <w:rPr>
                <w:noProof/>
                <w:webHidden/>
              </w:rPr>
            </w:r>
            <w:r>
              <w:rPr>
                <w:noProof/>
                <w:webHidden/>
              </w:rPr>
              <w:fldChar w:fldCharType="separate"/>
            </w:r>
            <w:r>
              <w:rPr>
                <w:noProof/>
                <w:webHidden/>
              </w:rPr>
              <w:t>9</w:t>
            </w:r>
            <w:r>
              <w:rPr>
                <w:noProof/>
                <w:webHidden/>
              </w:rPr>
              <w:fldChar w:fldCharType="end"/>
            </w:r>
          </w:hyperlink>
        </w:p>
        <w:p w14:paraId="07D74303" w14:textId="35295072"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694" w:history="1">
            <w:r w:rsidRPr="00C547A9">
              <w:rPr>
                <w:rStyle w:val="Hyperlink"/>
                <w:rFonts w:ascii="Times New Roman" w:hAnsi="Times New Roman"/>
                <w:noProof/>
              </w:rPr>
              <w:t>2.1 India's Oil Pricing and Inflation Context</w:t>
            </w:r>
            <w:r>
              <w:rPr>
                <w:noProof/>
                <w:webHidden/>
              </w:rPr>
              <w:tab/>
            </w:r>
            <w:r>
              <w:rPr>
                <w:noProof/>
                <w:webHidden/>
              </w:rPr>
              <w:fldChar w:fldCharType="begin"/>
            </w:r>
            <w:r>
              <w:rPr>
                <w:noProof/>
                <w:webHidden/>
              </w:rPr>
              <w:instrText xml:space="preserve"> PAGEREF _Toc228196694 \h </w:instrText>
            </w:r>
            <w:r>
              <w:rPr>
                <w:noProof/>
                <w:webHidden/>
              </w:rPr>
            </w:r>
            <w:r>
              <w:rPr>
                <w:noProof/>
                <w:webHidden/>
              </w:rPr>
              <w:fldChar w:fldCharType="separate"/>
            </w:r>
            <w:r>
              <w:rPr>
                <w:noProof/>
                <w:webHidden/>
              </w:rPr>
              <w:t>9</w:t>
            </w:r>
            <w:r>
              <w:rPr>
                <w:noProof/>
                <w:webHidden/>
              </w:rPr>
              <w:fldChar w:fldCharType="end"/>
            </w:r>
          </w:hyperlink>
        </w:p>
        <w:p w14:paraId="68327925" w14:textId="519D2D0E"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695" w:history="1">
            <w:r w:rsidRPr="00C547A9">
              <w:rPr>
                <w:rStyle w:val="Hyperlink"/>
                <w:rFonts w:ascii="Times New Roman" w:hAnsi="Times New Roman"/>
                <w:noProof/>
              </w:rPr>
              <w:t>2.2 What Existing Studies Already Show</w:t>
            </w:r>
            <w:r>
              <w:rPr>
                <w:noProof/>
                <w:webHidden/>
              </w:rPr>
              <w:tab/>
            </w:r>
            <w:r>
              <w:rPr>
                <w:noProof/>
                <w:webHidden/>
              </w:rPr>
              <w:fldChar w:fldCharType="begin"/>
            </w:r>
            <w:r>
              <w:rPr>
                <w:noProof/>
                <w:webHidden/>
              </w:rPr>
              <w:instrText xml:space="preserve"> PAGEREF _Toc228196695 \h </w:instrText>
            </w:r>
            <w:r>
              <w:rPr>
                <w:noProof/>
                <w:webHidden/>
              </w:rPr>
            </w:r>
            <w:r>
              <w:rPr>
                <w:noProof/>
                <w:webHidden/>
              </w:rPr>
              <w:fldChar w:fldCharType="separate"/>
            </w:r>
            <w:r>
              <w:rPr>
                <w:noProof/>
                <w:webHidden/>
              </w:rPr>
              <w:t>10</w:t>
            </w:r>
            <w:r>
              <w:rPr>
                <w:noProof/>
                <w:webHidden/>
              </w:rPr>
              <w:fldChar w:fldCharType="end"/>
            </w:r>
          </w:hyperlink>
        </w:p>
        <w:p w14:paraId="735E5CFA" w14:textId="5A7625E5"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696" w:history="1">
            <w:r w:rsidRPr="00C547A9">
              <w:rPr>
                <w:rStyle w:val="Hyperlink"/>
                <w:rFonts w:ascii="Times New Roman" w:hAnsi="Times New Roman"/>
                <w:noProof/>
              </w:rPr>
              <w:t>2.3 Gap and Hypotheses</w:t>
            </w:r>
            <w:r>
              <w:rPr>
                <w:noProof/>
                <w:webHidden/>
              </w:rPr>
              <w:tab/>
            </w:r>
            <w:r>
              <w:rPr>
                <w:noProof/>
                <w:webHidden/>
              </w:rPr>
              <w:fldChar w:fldCharType="begin"/>
            </w:r>
            <w:r>
              <w:rPr>
                <w:noProof/>
                <w:webHidden/>
              </w:rPr>
              <w:instrText xml:space="preserve"> PAGEREF _Toc228196696 \h </w:instrText>
            </w:r>
            <w:r>
              <w:rPr>
                <w:noProof/>
                <w:webHidden/>
              </w:rPr>
            </w:r>
            <w:r>
              <w:rPr>
                <w:noProof/>
                <w:webHidden/>
              </w:rPr>
              <w:fldChar w:fldCharType="separate"/>
            </w:r>
            <w:r>
              <w:rPr>
                <w:noProof/>
                <w:webHidden/>
              </w:rPr>
              <w:t>11</w:t>
            </w:r>
            <w:r>
              <w:rPr>
                <w:noProof/>
                <w:webHidden/>
              </w:rPr>
              <w:fldChar w:fldCharType="end"/>
            </w:r>
          </w:hyperlink>
        </w:p>
        <w:p w14:paraId="0621C92D" w14:textId="5A4CE68C" w:rsidR="001070D3" w:rsidRDefault="001070D3">
          <w:pPr>
            <w:pStyle w:val="TOC1"/>
            <w:tabs>
              <w:tab w:val="right" w:leader="dot" w:pos="8449"/>
            </w:tabs>
            <w:rPr>
              <w:rFonts w:eastAsiaTheme="minorEastAsia" w:cs="Mangal"/>
              <w:b w:val="0"/>
              <w:bCs w:val="0"/>
              <w:i w:val="0"/>
              <w:iCs w:val="0"/>
              <w:noProof/>
              <w:kern w:val="2"/>
              <w:szCs w:val="21"/>
              <w:lang w:bidi="hi-IN"/>
              <w14:ligatures w14:val="standardContextual"/>
            </w:rPr>
          </w:pPr>
          <w:hyperlink w:anchor="_Toc228196697" w:history="1">
            <w:r w:rsidRPr="00C547A9">
              <w:rPr>
                <w:rStyle w:val="Hyperlink"/>
                <w:rFonts w:ascii="Times New Roman" w:hAnsi="Times New Roman"/>
                <w:noProof/>
              </w:rPr>
              <w:t>Chapter 3 Data and Variables</w:t>
            </w:r>
            <w:r>
              <w:rPr>
                <w:noProof/>
                <w:webHidden/>
              </w:rPr>
              <w:tab/>
            </w:r>
            <w:r>
              <w:rPr>
                <w:noProof/>
                <w:webHidden/>
              </w:rPr>
              <w:fldChar w:fldCharType="begin"/>
            </w:r>
            <w:r>
              <w:rPr>
                <w:noProof/>
                <w:webHidden/>
              </w:rPr>
              <w:instrText xml:space="preserve"> PAGEREF _Toc228196697 \h </w:instrText>
            </w:r>
            <w:r>
              <w:rPr>
                <w:noProof/>
                <w:webHidden/>
              </w:rPr>
            </w:r>
            <w:r>
              <w:rPr>
                <w:noProof/>
                <w:webHidden/>
              </w:rPr>
              <w:fldChar w:fldCharType="separate"/>
            </w:r>
            <w:r>
              <w:rPr>
                <w:noProof/>
                <w:webHidden/>
              </w:rPr>
              <w:t>12</w:t>
            </w:r>
            <w:r>
              <w:rPr>
                <w:noProof/>
                <w:webHidden/>
              </w:rPr>
              <w:fldChar w:fldCharType="end"/>
            </w:r>
          </w:hyperlink>
        </w:p>
        <w:p w14:paraId="592F7B78" w14:textId="4288651F"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698" w:history="1">
            <w:r w:rsidRPr="00C547A9">
              <w:rPr>
                <w:rStyle w:val="Hyperlink"/>
                <w:rFonts w:ascii="Times New Roman" w:hAnsi="Times New Roman"/>
                <w:noProof/>
              </w:rPr>
              <w:t>3.1 Data Sources</w:t>
            </w:r>
            <w:r>
              <w:rPr>
                <w:noProof/>
                <w:webHidden/>
              </w:rPr>
              <w:tab/>
            </w:r>
            <w:r>
              <w:rPr>
                <w:noProof/>
                <w:webHidden/>
              </w:rPr>
              <w:fldChar w:fldCharType="begin"/>
            </w:r>
            <w:r>
              <w:rPr>
                <w:noProof/>
                <w:webHidden/>
              </w:rPr>
              <w:instrText xml:space="preserve"> PAGEREF _Toc228196698 \h </w:instrText>
            </w:r>
            <w:r>
              <w:rPr>
                <w:noProof/>
                <w:webHidden/>
              </w:rPr>
            </w:r>
            <w:r>
              <w:rPr>
                <w:noProof/>
                <w:webHidden/>
              </w:rPr>
              <w:fldChar w:fldCharType="separate"/>
            </w:r>
            <w:r>
              <w:rPr>
                <w:noProof/>
                <w:webHidden/>
              </w:rPr>
              <w:t>12</w:t>
            </w:r>
            <w:r>
              <w:rPr>
                <w:noProof/>
                <w:webHidden/>
              </w:rPr>
              <w:fldChar w:fldCharType="end"/>
            </w:r>
          </w:hyperlink>
        </w:p>
        <w:p w14:paraId="0DA0864F" w14:textId="51928246"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699" w:history="1">
            <w:r w:rsidRPr="00C547A9">
              <w:rPr>
                <w:rStyle w:val="Hyperlink"/>
                <w:rFonts w:ascii="Times New Roman" w:hAnsi="Times New Roman"/>
                <w:noProof/>
              </w:rPr>
              <w:t>3.2 Main Variables and Transformations</w:t>
            </w:r>
            <w:r>
              <w:rPr>
                <w:noProof/>
                <w:webHidden/>
              </w:rPr>
              <w:tab/>
            </w:r>
            <w:r>
              <w:rPr>
                <w:noProof/>
                <w:webHidden/>
              </w:rPr>
              <w:fldChar w:fldCharType="begin"/>
            </w:r>
            <w:r>
              <w:rPr>
                <w:noProof/>
                <w:webHidden/>
              </w:rPr>
              <w:instrText xml:space="preserve"> PAGEREF _Toc228196699 \h </w:instrText>
            </w:r>
            <w:r>
              <w:rPr>
                <w:noProof/>
                <w:webHidden/>
              </w:rPr>
            </w:r>
            <w:r>
              <w:rPr>
                <w:noProof/>
                <w:webHidden/>
              </w:rPr>
              <w:fldChar w:fldCharType="separate"/>
            </w:r>
            <w:r>
              <w:rPr>
                <w:noProof/>
                <w:webHidden/>
              </w:rPr>
              <w:t>12</w:t>
            </w:r>
            <w:r>
              <w:rPr>
                <w:noProof/>
                <w:webHidden/>
              </w:rPr>
              <w:fldChar w:fldCharType="end"/>
            </w:r>
          </w:hyperlink>
        </w:p>
        <w:p w14:paraId="624D44C3" w14:textId="20A2B187"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00" w:history="1">
            <w:r w:rsidRPr="00C547A9">
              <w:rPr>
                <w:rStyle w:val="Hyperlink"/>
                <w:rFonts w:ascii="Times New Roman" w:hAnsi="Times New Roman"/>
                <w:noProof/>
              </w:rPr>
              <w:t>3.3 Splice and Chaining of the WPI Series</w:t>
            </w:r>
            <w:r>
              <w:rPr>
                <w:noProof/>
                <w:webHidden/>
              </w:rPr>
              <w:tab/>
            </w:r>
            <w:r>
              <w:rPr>
                <w:noProof/>
                <w:webHidden/>
              </w:rPr>
              <w:fldChar w:fldCharType="begin"/>
            </w:r>
            <w:r>
              <w:rPr>
                <w:noProof/>
                <w:webHidden/>
              </w:rPr>
              <w:instrText xml:space="preserve"> PAGEREF _Toc228196700 \h </w:instrText>
            </w:r>
            <w:r>
              <w:rPr>
                <w:noProof/>
                <w:webHidden/>
              </w:rPr>
            </w:r>
            <w:r>
              <w:rPr>
                <w:noProof/>
                <w:webHidden/>
              </w:rPr>
              <w:fldChar w:fldCharType="separate"/>
            </w:r>
            <w:r>
              <w:rPr>
                <w:noProof/>
                <w:webHidden/>
              </w:rPr>
              <w:t>13</w:t>
            </w:r>
            <w:r>
              <w:rPr>
                <w:noProof/>
                <w:webHidden/>
              </w:rPr>
              <w:fldChar w:fldCharType="end"/>
            </w:r>
          </w:hyperlink>
        </w:p>
        <w:p w14:paraId="4953D24B" w14:textId="2A10B2B9"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01" w:history="1">
            <w:r w:rsidRPr="00C547A9">
              <w:rPr>
                <w:rStyle w:val="Hyperlink"/>
                <w:rFonts w:ascii="Times New Roman" w:hAnsi="Times New Roman"/>
                <w:noProof/>
              </w:rPr>
              <w:t>3.4 Descriptive Patterns</w:t>
            </w:r>
            <w:r>
              <w:rPr>
                <w:noProof/>
                <w:webHidden/>
              </w:rPr>
              <w:tab/>
            </w:r>
            <w:r>
              <w:rPr>
                <w:noProof/>
                <w:webHidden/>
              </w:rPr>
              <w:fldChar w:fldCharType="begin"/>
            </w:r>
            <w:r>
              <w:rPr>
                <w:noProof/>
                <w:webHidden/>
              </w:rPr>
              <w:instrText xml:space="preserve"> PAGEREF _Toc228196701 \h </w:instrText>
            </w:r>
            <w:r>
              <w:rPr>
                <w:noProof/>
                <w:webHidden/>
              </w:rPr>
            </w:r>
            <w:r>
              <w:rPr>
                <w:noProof/>
                <w:webHidden/>
              </w:rPr>
              <w:fldChar w:fldCharType="separate"/>
            </w:r>
            <w:r>
              <w:rPr>
                <w:noProof/>
                <w:webHidden/>
              </w:rPr>
              <w:t>14</w:t>
            </w:r>
            <w:r>
              <w:rPr>
                <w:noProof/>
                <w:webHidden/>
              </w:rPr>
              <w:fldChar w:fldCharType="end"/>
            </w:r>
          </w:hyperlink>
        </w:p>
        <w:p w14:paraId="2FB75ED7" w14:textId="26BC4BB0"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02" w:history="1">
            <w:r w:rsidRPr="00C547A9">
              <w:rPr>
                <w:rStyle w:val="Hyperlink"/>
                <w:rFonts w:ascii="Times New Roman" w:hAnsi="Times New Roman"/>
                <w:noProof/>
              </w:rPr>
              <w:t>3.5 Data Table and Model Specifications</w:t>
            </w:r>
            <w:r>
              <w:rPr>
                <w:noProof/>
                <w:webHidden/>
              </w:rPr>
              <w:tab/>
            </w:r>
            <w:r>
              <w:rPr>
                <w:noProof/>
                <w:webHidden/>
              </w:rPr>
              <w:fldChar w:fldCharType="begin"/>
            </w:r>
            <w:r>
              <w:rPr>
                <w:noProof/>
                <w:webHidden/>
              </w:rPr>
              <w:instrText xml:space="preserve"> PAGEREF _Toc228196702 \h </w:instrText>
            </w:r>
            <w:r>
              <w:rPr>
                <w:noProof/>
                <w:webHidden/>
              </w:rPr>
            </w:r>
            <w:r>
              <w:rPr>
                <w:noProof/>
                <w:webHidden/>
              </w:rPr>
              <w:fldChar w:fldCharType="separate"/>
            </w:r>
            <w:r>
              <w:rPr>
                <w:noProof/>
                <w:webHidden/>
              </w:rPr>
              <w:t>14</w:t>
            </w:r>
            <w:r>
              <w:rPr>
                <w:noProof/>
                <w:webHidden/>
              </w:rPr>
              <w:fldChar w:fldCharType="end"/>
            </w:r>
          </w:hyperlink>
        </w:p>
        <w:p w14:paraId="28BE1E8C" w14:textId="2C418589" w:rsidR="001070D3" w:rsidRDefault="001070D3">
          <w:pPr>
            <w:pStyle w:val="TOC1"/>
            <w:tabs>
              <w:tab w:val="right" w:leader="dot" w:pos="8449"/>
            </w:tabs>
            <w:rPr>
              <w:rFonts w:eastAsiaTheme="minorEastAsia" w:cs="Mangal"/>
              <w:b w:val="0"/>
              <w:bCs w:val="0"/>
              <w:i w:val="0"/>
              <w:iCs w:val="0"/>
              <w:noProof/>
              <w:kern w:val="2"/>
              <w:szCs w:val="21"/>
              <w:lang w:bidi="hi-IN"/>
              <w14:ligatures w14:val="standardContextual"/>
            </w:rPr>
          </w:pPr>
          <w:hyperlink w:anchor="_Toc228196703" w:history="1">
            <w:r w:rsidRPr="00C547A9">
              <w:rPr>
                <w:rStyle w:val="Hyperlink"/>
                <w:rFonts w:ascii="Times New Roman" w:hAnsi="Times New Roman"/>
                <w:noProof/>
              </w:rPr>
              <w:t>Chapter 4 Empirical Methodology</w:t>
            </w:r>
            <w:r>
              <w:rPr>
                <w:noProof/>
                <w:webHidden/>
              </w:rPr>
              <w:tab/>
            </w:r>
            <w:r>
              <w:rPr>
                <w:noProof/>
                <w:webHidden/>
              </w:rPr>
              <w:fldChar w:fldCharType="begin"/>
            </w:r>
            <w:r>
              <w:rPr>
                <w:noProof/>
                <w:webHidden/>
              </w:rPr>
              <w:instrText xml:space="preserve"> PAGEREF _Toc228196703 \h </w:instrText>
            </w:r>
            <w:r>
              <w:rPr>
                <w:noProof/>
                <w:webHidden/>
              </w:rPr>
            </w:r>
            <w:r>
              <w:rPr>
                <w:noProof/>
                <w:webHidden/>
              </w:rPr>
              <w:fldChar w:fldCharType="separate"/>
            </w:r>
            <w:r>
              <w:rPr>
                <w:noProof/>
                <w:webHidden/>
              </w:rPr>
              <w:t>16</w:t>
            </w:r>
            <w:r>
              <w:rPr>
                <w:noProof/>
                <w:webHidden/>
              </w:rPr>
              <w:fldChar w:fldCharType="end"/>
            </w:r>
          </w:hyperlink>
        </w:p>
        <w:p w14:paraId="20A69C6E" w14:textId="43F0E07B"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04" w:history="1">
            <w:r w:rsidRPr="00C547A9">
              <w:rPr>
                <w:rStyle w:val="Hyperlink"/>
                <w:rFonts w:ascii="Times New Roman" w:hAnsi="Times New Roman"/>
                <w:noProof/>
              </w:rPr>
              <w:t>4.1 Main ADL Specification</w:t>
            </w:r>
            <w:r>
              <w:rPr>
                <w:noProof/>
                <w:webHidden/>
              </w:rPr>
              <w:tab/>
            </w:r>
            <w:r>
              <w:rPr>
                <w:noProof/>
                <w:webHidden/>
              </w:rPr>
              <w:fldChar w:fldCharType="begin"/>
            </w:r>
            <w:r>
              <w:rPr>
                <w:noProof/>
                <w:webHidden/>
              </w:rPr>
              <w:instrText xml:space="preserve"> PAGEREF _Toc228196704 \h </w:instrText>
            </w:r>
            <w:r>
              <w:rPr>
                <w:noProof/>
                <w:webHidden/>
              </w:rPr>
            </w:r>
            <w:r>
              <w:rPr>
                <w:noProof/>
                <w:webHidden/>
              </w:rPr>
              <w:fldChar w:fldCharType="separate"/>
            </w:r>
            <w:r>
              <w:rPr>
                <w:noProof/>
                <w:webHidden/>
              </w:rPr>
              <w:t>16</w:t>
            </w:r>
            <w:r>
              <w:rPr>
                <w:noProof/>
                <w:webHidden/>
              </w:rPr>
              <w:fldChar w:fldCharType="end"/>
            </w:r>
          </w:hyperlink>
        </w:p>
        <w:p w14:paraId="32CBEAF3" w14:textId="6A209228"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05" w:history="1">
            <w:r w:rsidRPr="00C547A9">
              <w:rPr>
                <w:rStyle w:val="Hyperlink"/>
                <w:rFonts w:ascii="Times New Roman" w:hAnsi="Times New Roman"/>
                <w:noProof/>
              </w:rPr>
              <w:t>4.2 Inference</w:t>
            </w:r>
            <w:r>
              <w:rPr>
                <w:noProof/>
                <w:webHidden/>
              </w:rPr>
              <w:tab/>
            </w:r>
            <w:r>
              <w:rPr>
                <w:noProof/>
                <w:webHidden/>
              </w:rPr>
              <w:fldChar w:fldCharType="begin"/>
            </w:r>
            <w:r>
              <w:rPr>
                <w:noProof/>
                <w:webHidden/>
              </w:rPr>
              <w:instrText xml:space="preserve"> PAGEREF _Toc228196705 \h </w:instrText>
            </w:r>
            <w:r>
              <w:rPr>
                <w:noProof/>
                <w:webHidden/>
              </w:rPr>
            </w:r>
            <w:r>
              <w:rPr>
                <w:noProof/>
                <w:webHidden/>
              </w:rPr>
              <w:fldChar w:fldCharType="separate"/>
            </w:r>
            <w:r>
              <w:rPr>
                <w:noProof/>
                <w:webHidden/>
              </w:rPr>
              <w:t>17</w:t>
            </w:r>
            <w:r>
              <w:rPr>
                <w:noProof/>
                <w:webHidden/>
              </w:rPr>
              <w:fldChar w:fldCharType="end"/>
            </w:r>
          </w:hyperlink>
        </w:p>
        <w:p w14:paraId="54012E97" w14:textId="0DA7826C"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06" w:history="1">
            <w:r w:rsidRPr="00C547A9">
              <w:rPr>
                <w:rStyle w:val="Hyperlink"/>
                <w:rFonts w:ascii="Times New Roman" w:hAnsi="Times New Roman"/>
                <w:noProof/>
              </w:rPr>
              <w:t>4.3 Stationarity and Lag Selection</w:t>
            </w:r>
            <w:r>
              <w:rPr>
                <w:noProof/>
                <w:webHidden/>
              </w:rPr>
              <w:tab/>
            </w:r>
            <w:r>
              <w:rPr>
                <w:noProof/>
                <w:webHidden/>
              </w:rPr>
              <w:fldChar w:fldCharType="begin"/>
            </w:r>
            <w:r>
              <w:rPr>
                <w:noProof/>
                <w:webHidden/>
              </w:rPr>
              <w:instrText xml:space="preserve"> PAGEREF _Toc228196706 \h </w:instrText>
            </w:r>
            <w:r>
              <w:rPr>
                <w:noProof/>
                <w:webHidden/>
              </w:rPr>
            </w:r>
            <w:r>
              <w:rPr>
                <w:noProof/>
                <w:webHidden/>
              </w:rPr>
              <w:fldChar w:fldCharType="separate"/>
            </w:r>
            <w:r>
              <w:rPr>
                <w:noProof/>
                <w:webHidden/>
              </w:rPr>
              <w:t>17</w:t>
            </w:r>
            <w:r>
              <w:rPr>
                <w:noProof/>
                <w:webHidden/>
              </w:rPr>
              <w:fldChar w:fldCharType="end"/>
            </w:r>
          </w:hyperlink>
        </w:p>
        <w:p w14:paraId="4C65272E" w14:textId="23435AAA"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07" w:history="1">
            <w:r w:rsidRPr="00C547A9">
              <w:rPr>
                <w:rStyle w:val="Hyperlink"/>
                <w:rFonts w:ascii="Times New Roman" w:hAnsi="Times New Roman"/>
                <w:noProof/>
              </w:rPr>
              <w:t>4.4 NARDL as Supplementary Evidence</w:t>
            </w:r>
            <w:r>
              <w:rPr>
                <w:noProof/>
                <w:webHidden/>
              </w:rPr>
              <w:tab/>
            </w:r>
            <w:r>
              <w:rPr>
                <w:noProof/>
                <w:webHidden/>
              </w:rPr>
              <w:fldChar w:fldCharType="begin"/>
            </w:r>
            <w:r>
              <w:rPr>
                <w:noProof/>
                <w:webHidden/>
              </w:rPr>
              <w:instrText xml:space="preserve"> PAGEREF _Toc228196707 \h </w:instrText>
            </w:r>
            <w:r>
              <w:rPr>
                <w:noProof/>
                <w:webHidden/>
              </w:rPr>
            </w:r>
            <w:r>
              <w:rPr>
                <w:noProof/>
                <w:webHidden/>
              </w:rPr>
              <w:fldChar w:fldCharType="separate"/>
            </w:r>
            <w:r>
              <w:rPr>
                <w:noProof/>
                <w:webHidden/>
              </w:rPr>
              <w:t>18</w:t>
            </w:r>
            <w:r>
              <w:rPr>
                <w:noProof/>
                <w:webHidden/>
              </w:rPr>
              <w:fldChar w:fldCharType="end"/>
            </w:r>
          </w:hyperlink>
        </w:p>
        <w:p w14:paraId="5F9CDEC2" w14:textId="36B89BA3" w:rsidR="001070D3" w:rsidRDefault="001070D3">
          <w:pPr>
            <w:pStyle w:val="TOC1"/>
            <w:tabs>
              <w:tab w:val="right" w:leader="dot" w:pos="8449"/>
            </w:tabs>
            <w:rPr>
              <w:rFonts w:eastAsiaTheme="minorEastAsia" w:cs="Mangal"/>
              <w:b w:val="0"/>
              <w:bCs w:val="0"/>
              <w:i w:val="0"/>
              <w:iCs w:val="0"/>
              <w:noProof/>
              <w:kern w:val="2"/>
              <w:szCs w:val="21"/>
              <w:lang w:bidi="hi-IN"/>
              <w14:ligatures w14:val="standardContextual"/>
            </w:rPr>
          </w:pPr>
          <w:hyperlink w:anchor="_Toc228196708" w:history="1">
            <w:r w:rsidRPr="00C547A9">
              <w:rPr>
                <w:rStyle w:val="Hyperlink"/>
                <w:rFonts w:ascii="Times New Roman" w:hAnsi="Times New Roman"/>
                <w:noProof/>
              </w:rPr>
              <w:t>Chapter 5 Results</w:t>
            </w:r>
            <w:r>
              <w:rPr>
                <w:noProof/>
                <w:webHidden/>
              </w:rPr>
              <w:tab/>
            </w:r>
            <w:r>
              <w:rPr>
                <w:noProof/>
                <w:webHidden/>
              </w:rPr>
              <w:fldChar w:fldCharType="begin"/>
            </w:r>
            <w:r>
              <w:rPr>
                <w:noProof/>
                <w:webHidden/>
              </w:rPr>
              <w:instrText xml:space="preserve"> PAGEREF _Toc228196708 \h </w:instrText>
            </w:r>
            <w:r>
              <w:rPr>
                <w:noProof/>
                <w:webHidden/>
              </w:rPr>
            </w:r>
            <w:r>
              <w:rPr>
                <w:noProof/>
                <w:webHidden/>
              </w:rPr>
              <w:fldChar w:fldCharType="separate"/>
            </w:r>
            <w:r>
              <w:rPr>
                <w:noProof/>
                <w:webHidden/>
              </w:rPr>
              <w:t>20</w:t>
            </w:r>
            <w:r>
              <w:rPr>
                <w:noProof/>
                <w:webHidden/>
              </w:rPr>
              <w:fldChar w:fldCharType="end"/>
            </w:r>
          </w:hyperlink>
        </w:p>
        <w:p w14:paraId="201AAA85" w14:textId="634E4DBE"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09" w:history="1">
            <w:r w:rsidRPr="00C547A9">
              <w:rPr>
                <w:rStyle w:val="Hyperlink"/>
                <w:rFonts w:ascii="Times New Roman" w:hAnsi="Times New Roman"/>
                <w:noProof/>
              </w:rPr>
              <w:t>5.1 Long-Horizon Headline WPI Results</w:t>
            </w:r>
            <w:r>
              <w:rPr>
                <w:noProof/>
                <w:webHidden/>
              </w:rPr>
              <w:tab/>
            </w:r>
            <w:r>
              <w:rPr>
                <w:noProof/>
                <w:webHidden/>
              </w:rPr>
              <w:fldChar w:fldCharType="begin"/>
            </w:r>
            <w:r>
              <w:rPr>
                <w:noProof/>
                <w:webHidden/>
              </w:rPr>
              <w:instrText xml:space="preserve"> PAGEREF _Toc228196709 \h </w:instrText>
            </w:r>
            <w:r>
              <w:rPr>
                <w:noProof/>
                <w:webHidden/>
              </w:rPr>
            </w:r>
            <w:r>
              <w:rPr>
                <w:noProof/>
                <w:webHidden/>
              </w:rPr>
              <w:fldChar w:fldCharType="separate"/>
            </w:r>
            <w:r>
              <w:rPr>
                <w:noProof/>
                <w:webHidden/>
              </w:rPr>
              <w:t>20</w:t>
            </w:r>
            <w:r>
              <w:rPr>
                <w:noProof/>
                <w:webHidden/>
              </w:rPr>
              <w:fldChar w:fldCharType="end"/>
            </w:r>
          </w:hyperlink>
        </w:p>
        <w:p w14:paraId="3A0C7553" w14:textId="59C67FE2"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10" w:history="1">
            <w:r w:rsidRPr="00C547A9">
              <w:rPr>
                <w:rStyle w:val="Hyperlink"/>
                <w:rFonts w:ascii="Times New Roman" w:hAnsi="Times New Roman"/>
                <w:noProof/>
              </w:rPr>
              <w:t>5.2 WPI Fuel and Power</w:t>
            </w:r>
            <w:r>
              <w:rPr>
                <w:noProof/>
                <w:webHidden/>
              </w:rPr>
              <w:tab/>
            </w:r>
            <w:r>
              <w:rPr>
                <w:noProof/>
                <w:webHidden/>
              </w:rPr>
              <w:fldChar w:fldCharType="begin"/>
            </w:r>
            <w:r>
              <w:rPr>
                <w:noProof/>
                <w:webHidden/>
              </w:rPr>
              <w:instrText xml:space="preserve"> PAGEREF _Toc228196710 \h </w:instrText>
            </w:r>
            <w:r>
              <w:rPr>
                <w:noProof/>
                <w:webHidden/>
              </w:rPr>
            </w:r>
            <w:r>
              <w:rPr>
                <w:noProof/>
                <w:webHidden/>
              </w:rPr>
              <w:fldChar w:fldCharType="separate"/>
            </w:r>
            <w:r>
              <w:rPr>
                <w:noProof/>
                <w:webHidden/>
              </w:rPr>
              <w:t>21</w:t>
            </w:r>
            <w:r>
              <w:rPr>
                <w:noProof/>
                <w:webHidden/>
              </w:rPr>
              <w:fldChar w:fldCharType="end"/>
            </w:r>
          </w:hyperlink>
        </w:p>
        <w:p w14:paraId="0AFDD629" w14:textId="334968BA"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11" w:history="1">
            <w:r w:rsidRPr="00C547A9">
              <w:rPr>
                <w:rStyle w:val="Hyperlink"/>
                <w:rFonts w:ascii="Times New Roman" w:hAnsi="Times New Roman"/>
                <w:noProof/>
              </w:rPr>
              <w:t>5.3 Retail Petrol Mechanism</w:t>
            </w:r>
            <w:r>
              <w:rPr>
                <w:noProof/>
                <w:webHidden/>
              </w:rPr>
              <w:tab/>
            </w:r>
            <w:r>
              <w:rPr>
                <w:noProof/>
                <w:webHidden/>
              </w:rPr>
              <w:fldChar w:fldCharType="begin"/>
            </w:r>
            <w:r>
              <w:rPr>
                <w:noProof/>
                <w:webHidden/>
              </w:rPr>
              <w:instrText xml:space="preserve"> PAGEREF _Toc228196711 \h </w:instrText>
            </w:r>
            <w:r>
              <w:rPr>
                <w:noProof/>
                <w:webHidden/>
              </w:rPr>
            </w:r>
            <w:r>
              <w:rPr>
                <w:noProof/>
                <w:webHidden/>
              </w:rPr>
              <w:fldChar w:fldCharType="separate"/>
            </w:r>
            <w:r>
              <w:rPr>
                <w:noProof/>
                <w:webHidden/>
              </w:rPr>
              <w:t>22</w:t>
            </w:r>
            <w:r>
              <w:rPr>
                <w:noProof/>
                <w:webHidden/>
              </w:rPr>
              <w:fldChar w:fldCharType="end"/>
            </w:r>
          </w:hyperlink>
        </w:p>
        <w:p w14:paraId="470D90AD" w14:textId="0E4A9E8D"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12" w:history="1">
            <w:r w:rsidRPr="00C547A9">
              <w:rPr>
                <w:rStyle w:val="Hyperlink"/>
                <w:rFonts w:ascii="Times New Roman" w:hAnsi="Times New Roman"/>
                <w:noProof/>
              </w:rPr>
              <w:t>5.4 CPI Fuel and Light Bridge</w:t>
            </w:r>
            <w:r>
              <w:rPr>
                <w:noProof/>
                <w:webHidden/>
              </w:rPr>
              <w:tab/>
            </w:r>
            <w:r>
              <w:rPr>
                <w:noProof/>
                <w:webHidden/>
              </w:rPr>
              <w:fldChar w:fldCharType="begin"/>
            </w:r>
            <w:r>
              <w:rPr>
                <w:noProof/>
                <w:webHidden/>
              </w:rPr>
              <w:instrText xml:space="preserve"> PAGEREF _Toc228196712 \h </w:instrText>
            </w:r>
            <w:r>
              <w:rPr>
                <w:noProof/>
                <w:webHidden/>
              </w:rPr>
            </w:r>
            <w:r>
              <w:rPr>
                <w:noProof/>
                <w:webHidden/>
              </w:rPr>
              <w:fldChar w:fldCharType="separate"/>
            </w:r>
            <w:r>
              <w:rPr>
                <w:noProof/>
                <w:webHidden/>
              </w:rPr>
              <w:t>22</w:t>
            </w:r>
            <w:r>
              <w:rPr>
                <w:noProof/>
                <w:webHidden/>
              </w:rPr>
              <w:fldChar w:fldCharType="end"/>
            </w:r>
          </w:hyperlink>
        </w:p>
        <w:p w14:paraId="6E741603" w14:textId="2CE6798C"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13" w:history="1">
            <w:r w:rsidRPr="00C547A9">
              <w:rPr>
                <w:rStyle w:val="Hyperlink"/>
                <w:rFonts w:ascii="Times New Roman" w:hAnsi="Times New Roman"/>
                <w:noProof/>
              </w:rPr>
              <w:t>5.5 Headline CPI Endpoint</w:t>
            </w:r>
            <w:r>
              <w:rPr>
                <w:noProof/>
                <w:webHidden/>
              </w:rPr>
              <w:tab/>
            </w:r>
            <w:r>
              <w:rPr>
                <w:noProof/>
                <w:webHidden/>
              </w:rPr>
              <w:fldChar w:fldCharType="begin"/>
            </w:r>
            <w:r>
              <w:rPr>
                <w:noProof/>
                <w:webHidden/>
              </w:rPr>
              <w:instrText xml:space="preserve"> PAGEREF _Toc228196713 \h </w:instrText>
            </w:r>
            <w:r>
              <w:rPr>
                <w:noProof/>
                <w:webHidden/>
              </w:rPr>
            </w:r>
            <w:r>
              <w:rPr>
                <w:noProof/>
                <w:webHidden/>
              </w:rPr>
              <w:fldChar w:fldCharType="separate"/>
            </w:r>
            <w:r>
              <w:rPr>
                <w:noProof/>
                <w:webHidden/>
              </w:rPr>
              <w:t>23</w:t>
            </w:r>
            <w:r>
              <w:rPr>
                <w:noProof/>
                <w:webHidden/>
              </w:rPr>
              <w:fldChar w:fldCharType="end"/>
            </w:r>
          </w:hyperlink>
        </w:p>
        <w:p w14:paraId="767D50C5" w14:textId="277954A3"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14" w:history="1">
            <w:r w:rsidRPr="00C547A9">
              <w:rPr>
                <w:rStyle w:val="Hyperlink"/>
                <w:rFonts w:ascii="Times New Roman" w:hAnsi="Times New Roman"/>
                <w:noProof/>
              </w:rPr>
              <w:t>5.6 Integrated Attenuation Result</w:t>
            </w:r>
            <w:r>
              <w:rPr>
                <w:noProof/>
                <w:webHidden/>
              </w:rPr>
              <w:tab/>
            </w:r>
            <w:r>
              <w:rPr>
                <w:noProof/>
                <w:webHidden/>
              </w:rPr>
              <w:fldChar w:fldCharType="begin"/>
            </w:r>
            <w:r>
              <w:rPr>
                <w:noProof/>
                <w:webHidden/>
              </w:rPr>
              <w:instrText xml:space="preserve"> PAGEREF _Toc228196714 \h </w:instrText>
            </w:r>
            <w:r>
              <w:rPr>
                <w:noProof/>
                <w:webHidden/>
              </w:rPr>
            </w:r>
            <w:r>
              <w:rPr>
                <w:noProof/>
                <w:webHidden/>
              </w:rPr>
              <w:fldChar w:fldCharType="separate"/>
            </w:r>
            <w:r>
              <w:rPr>
                <w:noProof/>
                <w:webHidden/>
              </w:rPr>
              <w:t>23</w:t>
            </w:r>
            <w:r>
              <w:rPr>
                <w:noProof/>
                <w:webHidden/>
              </w:rPr>
              <w:fldChar w:fldCharType="end"/>
            </w:r>
          </w:hyperlink>
        </w:p>
        <w:p w14:paraId="4090941F" w14:textId="3B6B00C7"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15" w:history="1">
            <w:r w:rsidRPr="00C547A9">
              <w:rPr>
                <w:rStyle w:val="Hyperlink"/>
                <w:rFonts w:ascii="Times New Roman" w:hAnsi="Times New Roman"/>
                <w:noProof/>
              </w:rPr>
              <w:t>5.7 Reading the Attenuation Quantitatively</w:t>
            </w:r>
            <w:r>
              <w:rPr>
                <w:noProof/>
                <w:webHidden/>
              </w:rPr>
              <w:tab/>
            </w:r>
            <w:r>
              <w:rPr>
                <w:noProof/>
                <w:webHidden/>
              </w:rPr>
              <w:fldChar w:fldCharType="begin"/>
            </w:r>
            <w:r>
              <w:rPr>
                <w:noProof/>
                <w:webHidden/>
              </w:rPr>
              <w:instrText xml:space="preserve"> PAGEREF _Toc228196715 \h </w:instrText>
            </w:r>
            <w:r>
              <w:rPr>
                <w:noProof/>
                <w:webHidden/>
              </w:rPr>
            </w:r>
            <w:r>
              <w:rPr>
                <w:noProof/>
                <w:webHidden/>
              </w:rPr>
              <w:fldChar w:fldCharType="separate"/>
            </w:r>
            <w:r>
              <w:rPr>
                <w:noProof/>
                <w:webHidden/>
              </w:rPr>
              <w:t>25</w:t>
            </w:r>
            <w:r>
              <w:rPr>
                <w:noProof/>
                <w:webHidden/>
              </w:rPr>
              <w:fldChar w:fldCharType="end"/>
            </w:r>
          </w:hyperlink>
        </w:p>
        <w:p w14:paraId="058F3B2A" w14:textId="75BE5EC7"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16" w:history="1">
            <w:r w:rsidRPr="00C547A9">
              <w:rPr>
                <w:rStyle w:val="Hyperlink"/>
                <w:rFonts w:ascii="Times New Roman" w:hAnsi="Times New Roman"/>
                <w:noProof/>
              </w:rPr>
              <w:t>5.8 Pre/Post-2010 Wholesale Split</w:t>
            </w:r>
            <w:r>
              <w:rPr>
                <w:noProof/>
                <w:webHidden/>
              </w:rPr>
              <w:tab/>
            </w:r>
            <w:r>
              <w:rPr>
                <w:noProof/>
                <w:webHidden/>
              </w:rPr>
              <w:fldChar w:fldCharType="begin"/>
            </w:r>
            <w:r>
              <w:rPr>
                <w:noProof/>
                <w:webHidden/>
              </w:rPr>
              <w:instrText xml:space="preserve"> PAGEREF _Toc228196716 \h </w:instrText>
            </w:r>
            <w:r>
              <w:rPr>
                <w:noProof/>
                <w:webHidden/>
              </w:rPr>
            </w:r>
            <w:r>
              <w:rPr>
                <w:noProof/>
                <w:webHidden/>
              </w:rPr>
              <w:fldChar w:fldCharType="separate"/>
            </w:r>
            <w:r>
              <w:rPr>
                <w:noProof/>
                <w:webHidden/>
              </w:rPr>
              <w:t>25</w:t>
            </w:r>
            <w:r>
              <w:rPr>
                <w:noProof/>
                <w:webHidden/>
              </w:rPr>
              <w:fldChar w:fldCharType="end"/>
            </w:r>
          </w:hyperlink>
        </w:p>
        <w:p w14:paraId="62DD5BD3" w14:textId="748FB3B1" w:rsidR="001070D3" w:rsidRDefault="001070D3">
          <w:pPr>
            <w:pStyle w:val="TOC1"/>
            <w:tabs>
              <w:tab w:val="right" w:leader="dot" w:pos="8449"/>
            </w:tabs>
            <w:rPr>
              <w:rFonts w:eastAsiaTheme="minorEastAsia" w:cs="Mangal"/>
              <w:b w:val="0"/>
              <w:bCs w:val="0"/>
              <w:i w:val="0"/>
              <w:iCs w:val="0"/>
              <w:noProof/>
              <w:kern w:val="2"/>
              <w:szCs w:val="21"/>
              <w:lang w:bidi="hi-IN"/>
              <w14:ligatures w14:val="standardContextual"/>
            </w:rPr>
          </w:pPr>
          <w:hyperlink w:anchor="_Toc228196717" w:history="1">
            <w:r w:rsidRPr="00C547A9">
              <w:rPr>
                <w:rStyle w:val="Hyperlink"/>
                <w:rFonts w:ascii="Times New Roman" w:hAnsi="Times New Roman"/>
                <w:noProof/>
              </w:rPr>
              <w:t>Chapter 6 Robustness, Diagnostics, and Limitations</w:t>
            </w:r>
            <w:r>
              <w:rPr>
                <w:noProof/>
                <w:webHidden/>
              </w:rPr>
              <w:tab/>
            </w:r>
            <w:r>
              <w:rPr>
                <w:noProof/>
                <w:webHidden/>
              </w:rPr>
              <w:fldChar w:fldCharType="begin"/>
            </w:r>
            <w:r>
              <w:rPr>
                <w:noProof/>
                <w:webHidden/>
              </w:rPr>
              <w:instrText xml:space="preserve"> PAGEREF _Toc228196717 \h </w:instrText>
            </w:r>
            <w:r>
              <w:rPr>
                <w:noProof/>
                <w:webHidden/>
              </w:rPr>
            </w:r>
            <w:r>
              <w:rPr>
                <w:noProof/>
                <w:webHidden/>
              </w:rPr>
              <w:fldChar w:fldCharType="separate"/>
            </w:r>
            <w:r>
              <w:rPr>
                <w:noProof/>
                <w:webHidden/>
              </w:rPr>
              <w:t>27</w:t>
            </w:r>
            <w:r>
              <w:rPr>
                <w:noProof/>
                <w:webHidden/>
              </w:rPr>
              <w:fldChar w:fldCharType="end"/>
            </w:r>
          </w:hyperlink>
        </w:p>
        <w:p w14:paraId="611895E0" w14:textId="7D7A5521"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18" w:history="1">
            <w:r w:rsidRPr="00C547A9">
              <w:rPr>
                <w:rStyle w:val="Hyperlink"/>
                <w:rFonts w:ascii="Times New Roman" w:hAnsi="Times New Roman"/>
                <w:noProof/>
              </w:rPr>
              <w:t>6.1 Robustness Battery</w:t>
            </w:r>
            <w:r>
              <w:rPr>
                <w:noProof/>
                <w:webHidden/>
              </w:rPr>
              <w:tab/>
            </w:r>
            <w:r>
              <w:rPr>
                <w:noProof/>
                <w:webHidden/>
              </w:rPr>
              <w:fldChar w:fldCharType="begin"/>
            </w:r>
            <w:r>
              <w:rPr>
                <w:noProof/>
                <w:webHidden/>
              </w:rPr>
              <w:instrText xml:space="preserve"> PAGEREF _Toc228196718 \h </w:instrText>
            </w:r>
            <w:r>
              <w:rPr>
                <w:noProof/>
                <w:webHidden/>
              </w:rPr>
            </w:r>
            <w:r>
              <w:rPr>
                <w:noProof/>
                <w:webHidden/>
              </w:rPr>
              <w:fldChar w:fldCharType="separate"/>
            </w:r>
            <w:r>
              <w:rPr>
                <w:noProof/>
                <w:webHidden/>
              </w:rPr>
              <w:t>27</w:t>
            </w:r>
            <w:r>
              <w:rPr>
                <w:noProof/>
                <w:webHidden/>
              </w:rPr>
              <w:fldChar w:fldCharType="end"/>
            </w:r>
          </w:hyperlink>
        </w:p>
        <w:p w14:paraId="073AA59E" w14:textId="5AE87542"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19" w:history="1">
            <w:r w:rsidRPr="00C547A9">
              <w:rPr>
                <w:rStyle w:val="Hyperlink"/>
                <w:rFonts w:ascii="Times New Roman" w:hAnsi="Times New Roman"/>
                <w:noProof/>
              </w:rPr>
              <w:t>6.2 Diagnostics Across Layers</w:t>
            </w:r>
            <w:r>
              <w:rPr>
                <w:noProof/>
                <w:webHidden/>
              </w:rPr>
              <w:tab/>
            </w:r>
            <w:r>
              <w:rPr>
                <w:noProof/>
                <w:webHidden/>
              </w:rPr>
              <w:fldChar w:fldCharType="begin"/>
            </w:r>
            <w:r>
              <w:rPr>
                <w:noProof/>
                <w:webHidden/>
              </w:rPr>
              <w:instrText xml:space="preserve"> PAGEREF _Toc228196719 \h </w:instrText>
            </w:r>
            <w:r>
              <w:rPr>
                <w:noProof/>
                <w:webHidden/>
              </w:rPr>
            </w:r>
            <w:r>
              <w:rPr>
                <w:noProof/>
                <w:webHidden/>
              </w:rPr>
              <w:fldChar w:fldCharType="separate"/>
            </w:r>
            <w:r>
              <w:rPr>
                <w:noProof/>
                <w:webHidden/>
              </w:rPr>
              <w:t>28</w:t>
            </w:r>
            <w:r>
              <w:rPr>
                <w:noProof/>
                <w:webHidden/>
              </w:rPr>
              <w:fldChar w:fldCharType="end"/>
            </w:r>
          </w:hyperlink>
        </w:p>
        <w:p w14:paraId="6FF05FCF" w14:textId="1C2B0C0F" w:rsidR="001070D3" w:rsidRDefault="001070D3">
          <w:pPr>
            <w:pStyle w:val="TOC2"/>
            <w:tabs>
              <w:tab w:val="right" w:leader="dot" w:pos="8449"/>
            </w:tabs>
            <w:rPr>
              <w:rFonts w:eastAsiaTheme="minorEastAsia" w:cs="Mangal"/>
              <w:i/>
              <w:iCs/>
              <w:noProof/>
              <w:kern w:val="2"/>
              <w:sz w:val="24"/>
              <w:szCs w:val="21"/>
              <w:lang w:bidi="hi-IN"/>
              <w14:ligatures w14:val="standardContextual"/>
            </w:rPr>
          </w:pPr>
          <w:hyperlink w:anchor="_Toc228196720" w:history="1">
            <w:r w:rsidRPr="00C547A9">
              <w:rPr>
                <w:rStyle w:val="Hyperlink"/>
                <w:rFonts w:ascii="Times New Roman" w:hAnsi="Times New Roman"/>
                <w:noProof/>
              </w:rPr>
              <w:t>6.3 Limitations</w:t>
            </w:r>
            <w:r>
              <w:rPr>
                <w:noProof/>
                <w:webHidden/>
              </w:rPr>
              <w:tab/>
            </w:r>
            <w:r>
              <w:rPr>
                <w:noProof/>
                <w:webHidden/>
              </w:rPr>
              <w:fldChar w:fldCharType="begin"/>
            </w:r>
            <w:r>
              <w:rPr>
                <w:noProof/>
                <w:webHidden/>
              </w:rPr>
              <w:instrText xml:space="preserve"> PAGEREF _Toc228196720 \h </w:instrText>
            </w:r>
            <w:r>
              <w:rPr>
                <w:noProof/>
                <w:webHidden/>
              </w:rPr>
            </w:r>
            <w:r>
              <w:rPr>
                <w:noProof/>
                <w:webHidden/>
              </w:rPr>
              <w:fldChar w:fldCharType="separate"/>
            </w:r>
            <w:r>
              <w:rPr>
                <w:noProof/>
                <w:webHidden/>
              </w:rPr>
              <w:t>29</w:t>
            </w:r>
            <w:r>
              <w:rPr>
                <w:noProof/>
                <w:webHidden/>
              </w:rPr>
              <w:fldChar w:fldCharType="end"/>
            </w:r>
          </w:hyperlink>
        </w:p>
        <w:p w14:paraId="739877FD" w14:textId="015DC9D5" w:rsidR="001070D3" w:rsidRDefault="001070D3">
          <w:pPr>
            <w:pStyle w:val="TOC1"/>
            <w:tabs>
              <w:tab w:val="right" w:leader="dot" w:pos="8449"/>
            </w:tabs>
            <w:rPr>
              <w:rFonts w:eastAsiaTheme="minorEastAsia" w:cs="Mangal"/>
              <w:b w:val="0"/>
              <w:bCs w:val="0"/>
              <w:i w:val="0"/>
              <w:iCs w:val="0"/>
              <w:noProof/>
              <w:kern w:val="2"/>
              <w:szCs w:val="21"/>
              <w:lang w:bidi="hi-IN"/>
              <w14:ligatures w14:val="standardContextual"/>
            </w:rPr>
          </w:pPr>
          <w:hyperlink w:anchor="_Toc228196721" w:history="1">
            <w:r w:rsidRPr="00C547A9">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_Toc228196721 \h </w:instrText>
            </w:r>
            <w:r>
              <w:rPr>
                <w:noProof/>
                <w:webHidden/>
              </w:rPr>
            </w:r>
            <w:r>
              <w:rPr>
                <w:noProof/>
                <w:webHidden/>
              </w:rPr>
              <w:fldChar w:fldCharType="separate"/>
            </w:r>
            <w:r>
              <w:rPr>
                <w:noProof/>
                <w:webHidden/>
              </w:rPr>
              <w:t>30</w:t>
            </w:r>
            <w:r>
              <w:rPr>
                <w:noProof/>
                <w:webHidden/>
              </w:rPr>
              <w:fldChar w:fldCharType="end"/>
            </w:r>
          </w:hyperlink>
        </w:p>
        <w:p w14:paraId="3B40256A" w14:textId="6309A145" w:rsidR="001070D3" w:rsidRDefault="001070D3">
          <w:pPr>
            <w:pStyle w:val="TOC1"/>
            <w:tabs>
              <w:tab w:val="right" w:leader="dot" w:pos="8449"/>
            </w:tabs>
            <w:rPr>
              <w:rFonts w:eastAsiaTheme="minorEastAsia" w:cs="Mangal"/>
              <w:b w:val="0"/>
              <w:bCs w:val="0"/>
              <w:i w:val="0"/>
              <w:iCs w:val="0"/>
              <w:noProof/>
              <w:kern w:val="2"/>
              <w:szCs w:val="21"/>
              <w:lang w:bidi="hi-IN"/>
              <w14:ligatures w14:val="standardContextual"/>
            </w:rPr>
          </w:pPr>
          <w:hyperlink w:anchor="_Toc228196722" w:history="1">
            <w:r w:rsidRPr="00C547A9">
              <w:rPr>
                <w:rStyle w:val="Hyperlink"/>
                <w:rFonts w:ascii="Times New Roman" w:hAnsi="Times New Roman"/>
                <w:noProof/>
              </w:rPr>
              <w:t>Appendix A Nonlinear ARDL Bounds Battery</w:t>
            </w:r>
            <w:r>
              <w:rPr>
                <w:noProof/>
                <w:webHidden/>
              </w:rPr>
              <w:tab/>
            </w:r>
            <w:r>
              <w:rPr>
                <w:noProof/>
                <w:webHidden/>
              </w:rPr>
              <w:fldChar w:fldCharType="begin"/>
            </w:r>
            <w:r>
              <w:rPr>
                <w:noProof/>
                <w:webHidden/>
              </w:rPr>
              <w:instrText xml:space="preserve"> PAGEREF _Toc228196722 \h </w:instrText>
            </w:r>
            <w:r>
              <w:rPr>
                <w:noProof/>
                <w:webHidden/>
              </w:rPr>
            </w:r>
            <w:r>
              <w:rPr>
                <w:noProof/>
                <w:webHidden/>
              </w:rPr>
              <w:fldChar w:fldCharType="separate"/>
            </w:r>
            <w:r>
              <w:rPr>
                <w:noProof/>
                <w:webHidden/>
              </w:rPr>
              <w:t>32</w:t>
            </w:r>
            <w:r>
              <w:rPr>
                <w:noProof/>
                <w:webHidden/>
              </w:rPr>
              <w:fldChar w:fldCharType="end"/>
            </w:r>
          </w:hyperlink>
        </w:p>
        <w:p w14:paraId="26E81AC4" w14:textId="645A3A32" w:rsidR="001070D3" w:rsidRDefault="001070D3">
          <w:pPr>
            <w:pStyle w:val="TOC1"/>
            <w:tabs>
              <w:tab w:val="right" w:leader="dot" w:pos="8449"/>
            </w:tabs>
            <w:rPr>
              <w:rFonts w:eastAsiaTheme="minorEastAsia" w:cs="Mangal"/>
              <w:b w:val="0"/>
              <w:bCs w:val="0"/>
              <w:i w:val="0"/>
              <w:iCs w:val="0"/>
              <w:noProof/>
              <w:kern w:val="2"/>
              <w:szCs w:val="21"/>
              <w:lang w:bidi="hi-IN"/>
              <w14:ligatures w14:val="standardContextual"/>
            </w:rPr>
          </w:pPr>
          <w:hyperlink w:anchor="_Toc228196723" w:history="1">
            <w:r w:rsidRPr="00C547A9">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_Toc228196723 \h </w:instrText>
            </w:r>
            <w:r>
              <w:rPr>
                <w:noProof/>
                <w:webHidden/>
              </w:rPr>
            </w:r>
            <w:r>
              <w:rPr>
                <w:noProof/>
                <w:webHidden/>
              </w:rPr>
              <w:fldChar w:fldCharType="separate"/>
            </w:r>
            <w:r>
              <w:rPr>
                <w:noProof/>
                <w:webHidden/>
              </w:rPr>
              <w:t>34</w:t>
            </w:r>
            <w:r>
              <w:rPr>
                <w:noProof/>
                <w:webHidden/>
              </w:rPr>
              <w:fldChar w:fldCharType="end"/>
            </w:r>
          </w:hyperlink>
        </w:p>
        <w:p w14:paraId="3407D308" w14:textId="74777DDB" w:rsidR="001070D3" w:rsidRDefault="001070D3">
          <w:r>
            <w:rPr>
              <w:b/>
              <w:bCs/>
              <w:noProof/>
            </w:rPr>
            <w:fldChar w:fldCharType="end"/>
          </w:r>
        </w:p>
      </w:sdtContent>
    </w:sdt>
    <w:p w14:paraId="6D46C584" w14:textId="5F3DF2A4" w:rsidR="001070D3" w:rsidRDefault="001070D3">
      <w:pPr>
        <w:spacing w:after="200" w:line="276" w:lineRule="auto"/>
        <w:jc w:val="left"/>
      </w:pPr>
      <w:r>
        <w:br w:type="page"/>
      </w:r>
    </w:p>
    <w:p w14:paraId="4F144380" w14:textId="5F3DF2A4" w:rsidR="00D23216" w:rsidRDefault="00000000">
      <w:pPr>
        <w:pStyle w:val="Heading1"/>
      </w:pPr>
      <w:bookmarkStart w:id="5" w:name="_Toc228196687"/>
      <w:r>
        <w:rPr>
          <w:rFonts w:ascii="Times New Roman" w:hAnsi="Times New Roman"/>
        </w:rPr>
        <w:lastRenderedPageBreak/>
        <w:t>Chapter 1</w:t>
      </w:r>
      <w:r>
        <w:rPr>
          <w:rFonts w:ascii="Times New Roman" w:hAnsi="Times New Roman"/>
        </w:rPr>
        <w:br/>
        <w:t>Introduction</w:t>
      </w:r>
      <w:bookmarkEnd w:id="5"/>
    </w:p>
    <w:p w14:paraId="576E6A94" w14:textId="77777777" w:rsidR="00D23216" w:rsidRDefault="00000000">
      <w:pPr>
        <w:pStyle w:val="Heading2"/>
      </w:pPr>
      <w:bookmarkStart w:id="6" w:name="_Toc228196688"/>
      <w:r>
        <w:rPr>
          <w:rFonts w:ascii="Times New Roman" w:hAnsi="Times New Roman"/>
        </w:rPr>
        <w:t>1.1 Motivation and Empirical Puzzle</w:t>
      </w:r>
      <w:bookmarkEnd w:id="6"/>
    </w:p>
    <w:p w14:paraId="41FB8AE1" w14:textId="77777777" w:rsidR="00D23216" w:rsidRDefault="00000000">
      <w:r>
        <w:t>India imports around 87% of the crude petroleum it consumes; therefore, the rupee value of imported oil is one of the more important external cost shocks absorbed by the domestic price system. Because crude is invoiced internationally in United States dollars, the domestic shock is in fact two-dimensional: the dollar oil price and the INR/USD exchange rate together determine the rupee oil price that enters refining margins, distribution, and final demand. However, how this shock flows through the Indian price system is neither even nor unmediated. The same oil shock that visibly alters retail petrol prices at the pump can leave only a faint signature on headline consumer inflation, the index that anchors monetary policy. This is the empirical puzzle that this dissertation examines.</w:t>
      </w:r>
    </w:p>
    <w:p w14:paraId="6A0BAEC8" w14:textId="77777777" w:rsidR="00D23216" w:rsidRDefault="00000000">
      <w:r>
        <w:t>The puzzle is not a contradiction. It is instead a sign that the shock weakens somewhere inside the price system. A rupee oil shock can move directly through retail fuel prices and through fuel-sensitive sub-indices of the wholesale and consumer price indices; it can move indirectly through transport costs, packaging, fertiliser, and industrial inputs; and it can be partially absorbed by inventories, by oil marketing companies, by state and central excise adjustments, and by the small direct weight of fuel in the overall consumer basket. Each of these stages dilutes a portion of the shock. Treating the pass-through as a single elasticity between Brent and headline CPI hides where this dilution occurs. Therefore, instead of analysing oil-price pass-through as a simple elasticity, this dissertation analyses the layered transmission process across the four points of the chain that matter most for inflation diagnostics.</w:t>
      </w:r>
    </w:p>
    <w:p w14:paraId="5D3D0EB6" w14:textId="77777777" w:rsidR="00D23216" w:rsidRDefault="00000000">
      <w:pPr>
        <w:pStyle w:val="Heading2"/>
      </w:pPr>
      <w:bookmarkStart w:id="7" w:name="_Toc228196689"/>
      <w:r>
        <w:rPr>
          <w:rFonts w:ascii="Times New Roman" w:hAnsi="Times New Roman"/>
        </w:rPr>
        <w:t>1.2 Research Question and Approach</w:t>
      </w:r>
      <w:bookmarkEnd w:id="7"/>
    </w:p>
    <w:p w14:paraId="0A6A5714" w14:textId="77777777" w:rsidR="00D23216" w:rsidRDefault="00000000">
      <w:r>
        <w:t xml:space="preserve">The research question asked here is intentionally architectural: how do global oil-price shocks transmit across India's wholesale, retail fuel, fuel-sensitive consumer, and headline consumer price layers, and where does the pass-through weaken? The framing </w:t>
      </w:r>
      <w:r>
        <w:lastRenderedPageBreak/>
        <w:t>is not whether oil affects CPI, nor whether pass-through is asymmetric. Those are secondary questions. The main framing is transmission and attenuation across layers.</w:t>
      </w:r>
    </w:p>
    <w:p w14:paraId="2C9B5084" w14:textId="77777777" w:rsidR="00D23216" w:rsidRDefault="00000000">
      <w:r>
        <w:t>To estimate pass-through at these points in the chain, the dissertation employs short-run asymmetric ADL models in log differences with Newey-West heteroscedasticity-and-autocorrelation-consistent inference. Positive and negative oil-change components are entered separately, cumulative pass-through coefficients are summarised across the lag window, and a Wald test is used to ask whether the positive and negative cumulative effects are equal. Symmetry is also assessed using a restricted-residual circular block bootstrap with 4,999 replications. A nonlinear ARDL battery in levels, following the bounds-testing approach of Pesaran, Shin, and Smith (2001), is reported in the appendix as supplementary long-run evidence. Granger-causality tests and Bai-Perron structural break tests are used to support the directional reading of the chain rather than to claim structural causality.</w:t>
      </w:r>
    </w:p>
    <w:p w14:paraId="5D6C9EE9" w14:textId="77777777" w:rsidR="00D23216" w:rsidRDefault="00000000">
      <w:pPr>
        <w:pStyle w:val="Heading2"/>
      </w:pPr>
      <w:bookmarkStart w:id="8" w:name="_Toc228196690"/>
      <w:r>
        <w:rPr>
          <w:rFonts w:ascii="Times New Roman" w:hAnsi="Times New Roman"/>
        </w:rPr>
        <w:t>1.3 Main Findings</w:t>
      </w:r>
      <w:bookmarkEnd w:id="8"/>
    </w:p>
    <w:p w14:paraId="2B192B02" w14:textId="77777777" w:rsidR="00D23216" w:rsidRDefault="00000000">
      <w:r>
        <w:t>The main results can be stated early. The cumulative pass-through to headline WPI for positive shocks, denoted CPT+, is about 0.030 and statistically significant. The cumulative pass-through to WPI Fuel and Power is about 0.287; to PPAC retail petrol it is about 0.346; to the CPI Fuel and Light bridge series it is about 0.178; and to headline CPI it is about 0.021 with a p-value of 0.122. The ordering is clear: the shock is strong in retail fuel and fuel-sensitive layers, statistically visible but small in headline WPI, and weak or statistically indistinguishable from zero in headline CPI. Across all layers, the evidence for short-run asymmetry is weak; where it appears, in the retail petrol layer, it is only marginal at the 10 percent level.</w:t>
      </w:r>
    </w:p>
    <w:p w14:paraId="7F93C7CF" w14:textId="77777777" w:rsidR="00D23216" w:rsidRDefault="00000000">
      <w:pPr>
        <w:pStyle w:val="Heading2"/>
      </w:pPr>
      <w:bookmarkStart w:id="9" w:name="_Toc228196691"/>
      <w:r>
        <w:rPr>
          <w:rFonts w:ascii="Times New Roman" w:hAnsi="Times New Roman"/>
        </w:rPr>
        <w:t>1.4 Why the Question Matters for Policy</w:t>
      </w:r>
      <w:bookmarkEnd w:id="9"/>
    </w:p>
    <w:p w14:paraId="63655977" w14:textId="77777777" w:rsidR="00D23216" w:rsidRDefault="00000000">
      <w:r>
        <w:t xml:space="preserve">The layered framing speaks to two policy debates. The first is whether headline CPI is the appropriate anchor for monetary policy in an economy with large external cost shocks: if oil shocks barely move headline CPI, the framework looks unresponsive even when upstream prices are rising sharply. The dissertation cannot settle this debate, but it can locate the empirical fact that oil shocks reach headline CPI only weakly, with most of the shock absorbed before that point. The second debate concerns administered fuel prices and tax adjustments. The pre/post-2010 split provides indirect evidence because </w:t>
      </w:r>
      <w:r>
        <w:lastRenderedPageBreak/>
        <w:t>the post-2010 sample reflects more frequent retail revisions, and the post-2010 cumulative pass-through coefficients are accordingly larger.</w:t>
      </w:r>
    </w:p>
    <w:p w14:paraId="42262171" w14:textId="77777777" w:rsidR="00D23216" w:rsidRDefault="00000000">
      <w:pPr>
        <w:pStyle w:val="Heading2"/>
      </w:pPr>
      <w:bookmarkStart w:id="10" w:name="_Toc228196692"/>
      <w:r>
        <w:rPr>
          <w:rFonts w:ascii="Times New Roman" w:hAnsi="Times New Roman"/>
        </w:rPr>
        <w:t>1.5 Contribution and Structure</w:t>
      </w:r>
      <w:bookmarkEnd w:id="10"/>
    </w:p>
    <w:p w14:paraId="4BDDC584" w14:textId="77777777" w:rsidR="00D23216" w:rsidRDefault="00000000">
      <w:r>
        <w:t>The contribution of this dissertation is therefore modest and architectural. It is not the introduction of a new estimator and it is not a claim of being the first study of oil-price pass-through in India. The paper contributes by treating oil-price pass-through in India as a layered transmission problem, showing that oil shocks are strong in retail fuel and fuel-sensitive prices but much weaker in headline consumer inflation. The pre/post-2010 wholesale split is reported as institutional evidence consistent with more market-linked fuel pricing rather than as a clean causal estimate of deregulation.</w:t>
      </w:r>
    </w:p>
    <w:p w14:paraId="15EF2E26" w14:textId="77777777" w:rsidR="00D23216" w:rsidRDefault="00000000">
      <w:r>
        <w:t>The rest of the dissertation is organised as follows. Chapter 2 places the empirical design inside India's oil-pricing institutions and the existing literature. Chapter 3 describes the data, the chained series, and the variable transformations. Chapter 4 develops the ADL specification, the inference strategy, and the role of NARDL as supplementary evidence. Chapter 5 presents the layered results in order: long-horizon headline WPI, WPI Fuel and Power, PPAC retail petrol, the CPI Fuel and Light bridge, headline CPI, the integrated attenuation map, and the pre/post-2010 wholesale split. Chapter 6 reports robustness checks, diagnostics, and the limitations of the design. The conclusion returns to the research question and answers it directly.</w:t>
      </w:r>
    </w:p>
    <w:p w14:paraId="13CA2F70" w14:textId="77777777" w:rsidR="00D23216" w:rsidRDefault="00000000">
      <w:r>
        <w:br w:type="page"/>
      </w:r>
    </w:p>
    <w:p w14:paraId="4E8AA80A" w14:textId="77777777" w:rsidR="00D23216" w:rsidRDefault="00000000">
      <w:pPr>
        <w:pStyle w:val="Heading1"/>
      </w:pPr>
      <w:bookmarkStart w:id="11" w:name="_Toc228196693"/>
      <w:r>
        <w:rPr>
          <w:rFonts w:ascii="Times New Roman" w:hAnsi="Times New Roman"/>
        </w:rPr>
        <w:lastRenderedPageBreak/>
        <w:t>Chapter 2</w:t>
      </w:r>
      <w:r>
        <w:rPr>
          <w:rFonts w:ascii="Times New Roman" w:hAnsi="Times New Roman"/>
        </w:rPr>
        <w:br/>
        <w:t>Institutional Background and Literature</w:t>
      </w:r>
      <w:bookmarkEnd w:id="11"/>
    </w:p>
    <w:p w14:paraId="385D64FF" w14:textId="77777777" w:rsidR="00D23216" w:rsidRDefault="00000000">
      <w:pPr>
        <w:pStyle w:val="Heading2"/>
      </w:pPr>
      <w:bookmarkStart w:id="12" w:name="_Toc228196694"/>
      <w:r>
        <w:rPr>
          <w:rFonts w:ascii="Times New Roman" w:hAnsi="Times New Roman"/>
        </w:rPr>
        <w:t>2.1 India's Oil Pricing and Inflation Context</w:t>
      </w:r>
      <w:bookmarkEnd w:id="12"/>
    </w:p>
    <w:p w14:paraId="71F84A8C" w14:textId="77777777" w:rsidR="00D23216" w:rsidRDefault="00000000">
      <w:r>
        <w:t>The transmission chain examined in this dissertation can be written compactly. The Brent crude price, expressed in US dollars per barrel, combines with the INR/USD exchange rate to yield a rupee oil price; the rupee oil price feeds into domestic retail fuel prices through refining and marketing margins together with central and state taxes; retail fuel prices and bulk fuel costs enter the fuel-sensitive sub-indices of the wholesale and consumer price indices; and these sub-indices, together with food and services prices, aggregate into headline WPI and CPI. Each link in the chain is mediated by institutional rules that influence how much of the shock is allowed through and how quickly.</w:t>
      </w:r>
    </w:p>
    <w:p w14:paraId="5D50DABD" w14:textId="77777777" w:rsidR="00D23216" w:rsidRDefault="00000000">
      <w:r>
        <w:t>India imports the majority of its crude oil requirement; therefore, global oil prices enter the domestic economy as an external cost shock rather than as a domestic supply variable. Because crude is priced internationally in US dollars, the exchange rate is mechanically part of the domestic shock: a rise in Brent and a depreciation of the rupee can amplify each other, while a strong rupee can blunt a Brent rise. This dissertation therefore uses the rupee oil price as the main shock variable in the headline ADL specifications and reports a Brent-and-exchange-rate decomposition as a robustness check.</w:t>
      </w:r>
    </w:p>
    <w:p w14:paraId="01E4647F" w14:textId="77777777" w:rsidR="00D23216" w:rsidRDefault="00000000">
      <w:r>
        <w:t>Retail fuel pricing in India has moved over time from administered pricing toward more market-linked pricing. Petrol prices were deregulated in June 2010 and diesel prices were deregulated in October 2014. Under administered pricing, the government set retail prices for long stretches and absorbed part of the shock through under-recoveries to oil marketing companies and through subsidy adjustments; under market-linked pricing, oil marketing companies revise retail prices much more frequently, which raises the empirical pass-through that an econometric model can detect. The dissertation reports a pre/post-2010 split for the wholesale models to capture this institutional shift, while remaining careful not to interpret the post-2010 increase as a clean causal estimate of deregulation.</w:t>
      </w:r>
    </w:p>
    <w:p w14:paraId="31F01BD4" w14:textId="77777777" w:rsidR="00D23216" w:rsidRDefault="00000000">
      <w:r>
        <w:lastRenderedPageBreak/>
        <w:t>WPI and CPI answer different empirical questions. The wholesale price index is closer to upstream and producer-side price pressure, with a relatively heavy weight on manufactured products, primary articles, and a fuel and power group that includes mineral oils, electricity, and coal. The consumer price index is closer to household-facing inflation and is the index targeted by the monetary policy framework introduced in 2016. Because food and non-fuel services dominate household consumption weights, the direct weight of fuel in the CPI basket is limited, and CPI dilution is therefore not surprising as a structural feature rather than as a model artefact. This dissertation does not rebuild the basket-weight calculation; it uses the institutional weight evidence as supporting context for the dilution story it documents econometrically.</w:t>
      </w:r>
    </w:p>
    <w:p w14:paraId="636856A1" w14:textId="77777777" w:rsidR="00D23216" w:rsidRDefault="00000000">
      <w:pPr>
        <w:pStyle w:val="Heading2"/>
      </w:pPr>
      <w:bookmarkStart w:id="13" w:name="_Toc228196695"/>
      <w:r>
        <w:rPr>
          <w:rFonts w:ascii="Times New Roman" w:hAnsi="Times New Roman"/>
        </w:rPr>
        <w:t>2.2 What Existing Studies Already Show</w:t>
      </w:r>
      <w:bookmarkEnd w:id="13"/>
    </w:p>
    <w:p w14:paraId="34D03B53" w14:textId="77777777" w:rsidR="00D23216" w:rsidRDefault="00000000">
      <w:r>
        <w:t>The literature most directly relevant to this dissertation can be summarised in a few studies. Mandal, Bhattacharyya, and Bhoi (2012) show that oil-price pass-through in India became more relevant once domestic price adjustment grew more frequent, which anticipates the institutional point that the empirical pass-through is partly a function of the pricing regime rather than only a function of refining and tax structure. Bhanumurthy, Das, and Bose (2012) embed oil shocks in a broader macroeconomic framework that combines pass-through policy, inflation, fiscal costs, and growth trade-offs, and provide useful context for why the political economy of pass-through is complicated even when the engineering of pass-through is straightforward.</w:t>
      </w:r>
    </w:p>
    <w:p w14:paraId="3380BB04" w14:textId="77777777" w:rsidR="00D23216" w:rsidRDefault="00000000">
      <w:r>
        <w:t>Pal and Mitra (2016) provide evidence of asymmetric oil-product pricing in India using a multiple-threshold nonlinear ARDL approach, and motivate the asymmetric specification used in this dissertation, where positive and negative oil shocks are entered as separate cumulative effects. Pradeep (2022) studies the impact of diesel price reform on the asymmetricity of oil-price pass-through to disaggregated wholesale prices, retail diesel, and aggregate consumer prices, and is the closest in spirit to the layered design adopted here, although the present dissertation extends the layered map to include retail petrol, the WPI Fuel and Power group, the CPI Fuel and Light bridge series, and headline CPI within a single empirical frame.</w:t>
      </w:r>
    </w:p>
    <w:p w14:paraId="6C935673" w14:textId="77777777" w:rsidR="00D23216" w:rsidRDefault="00000000">
      <w:r>
        <w:t xml:space="preserve">On the methodological side, Pesaran, Shin, and Smith (2001) provide the bounds-testing framework that justifies the NARDL appendix. Shin, Yu, and Greenwood-Nimmo (2014) provide the nonlinear ARDL decomposition that allows positive and </w:t>
      </w:r>
      <w:r>
        <w:lastRenderedPageBreak/>
        <w:t>negative components of the oil shock to be entered separately. Newey and West (1987) provide the HAC covariance estimator used for inference in the ADL models. Bai and Perron (2003) provide the multiple-break test used in the structural-break diagnostics. These references are used because each one performs concrete work in the empirical design rather than as decoration.</w:t>
      </w:r>
    </w:p>
    <w:p w14:paraId="6B687D59" w14:textId="77777777" w:rsidR="00D23216" w:rsidRDefault="00000000">
      <w:pPr>
        <w:pStyle w:val="Heading2"/>
      </w:pPr>
      <w:bookmarkStart w:id="14" w:name="_Toc228196696"/>
      <w:r>
        <w:rPr>
          <w:rFonts w:ascii="Times New Roman" w:hAnsi="Times New Roman"/>
        </w:rPr>
        <w:t>2.3 Gap and Hypotheses</w:t>
      </w:r>
      <w:bookmarkEnd w:id="14"/>
    </w:p>
    <w:p w14:paraId="229DBE0A" w14:textId="77777777" w:rsidR="00D23216" w:rsidRDefault="00000000">
      <w:r>
        <w:t>The gap addressed here is architectural. Existing Indian studies often answer one of the following questions in isolation: does oil affect WPI, does oil affect CPI, do retail fuel prices adjust asymmetrically, and did deregulation alter pass-through. Each of these is a useful question, but together they leave the reader without a single map of where the shock survives and where it fades. This dissertation asks a different question: where does the shock weaken as it moves through the price system? The four-layer design is the answer.</w:t>
      </w:r>
    </w:p>
    <w:p w14:paraId="18903F1B" w14:textId="77777777" w:rsidR="00D23216" w:rsidRDefault="00000000">
      <w:r>
        <w:t>The empirical hypotheses can be stated as follows. H1: oil shocks pass through significantly to headline WPI, but the magnitude is small. H2: pass-through is stronger in retail fuel and fuel-sensitive price layers than in headline indices. H3: headline CPI shows attenuation relative to upstream and fuel-sensitive layers. H4: post-2010 wholesale pass-through is larger than pre-2010 pass-through, consistent with more market-linked fuel pricing. H5: short-run asymmetry is not the central finding, and where it appears most clearly it is at the retail petrol layer and only marginally so.</w:t>
      </w:r>
    </w:p>
    <w:p w14:paraId="70D1AE7F" w14:textId="77777777" w:rsidR="00D23216" w:rsidRDefault="00000000">
      <w:r>
        <w:br w:type="page"/>
      </w:r>
    </w:p>
    <w:p w14:paraId="3720271D" w14:textId="77777777" w:rsidR="00D23216" w:rsidRDefault="00000000">
      <w:pPr>
        <w:pStyle w:val="Heading1"/>
      </w:pPr>
      <w:bookmarkStart w:id="15" w:name="_Toc228196697"/>
      <w:r>
        <w:rPr>
          <w:rFonts w:ascii="Times New Roman" w:hAnsi="Times New Roman"/>
        </w:rPr>
        <w:lastRenderedPageBreak/>
        <w:t>Chapter 3</w:t>
      </w:r>
      <w:r>
        <w:rPr>
          <w:rFonts w:ascii="Times New Roman" w:hAnsi="Times New Roman"/>
        </w:rPr>
        <w:br/>
        <w:t>Data and Variables</w:t>
      </w:r>
      <w:bookmarkEnd w:id="15"/>
    </w:p>
    <w:p w14:paraId="67894971" w14:textId="77777777" w:rsidR="00D23216" w:rsidRDefault="00000000">
      <w:pPr>
        <w:pStyle w:val="Heading2"/>
      </w:pPr>
      <w:bookmarkStart w:id="16" w:name="_Toc228196698"/>
      <w:r>
        <w:rPr>
          <w:rFonts w:ascii="Times New Roman" w:hAnsi="Times New Roman"/>
        </w:rPr>
        <w:t>3.1 Data Sources</w:t>
      </w:r>
      <w:bookmarkEnd w:id="16"/>
    </w:p>
    <w:p w14:paraId="18D35FF3" w14:textId="77777777" w:rsidR="00D23216" w:rsidRDefault="00000000">
      <w:r>
        <w:t>The data used in this dissertation are monthly series drawn from official Indian statistical agencies and standard international macroeconomic databases. The wholesale price evidence is built from the Office of the Economic Adviser (OEA) Wholesale Price Index series, with the headline aggregate and the Fuel and Power group chained across successive base years to a common 2011-12 base. The retail fuel evidence is taken from the Petroleum Planning and Analysis Cell (PPAC) ready reckoner, which publishes monthly retail prices of petrol and diesel for the major Indian metropolitan markets. The international Brent crude price is obtained from the World Bank Pink Sheet (series POILBREUSDM, accessed through the FRED database). The INR/USD exchange rate is obtained from FRED (series EXINUS). The all-India consumer price index is taken from the Ministry of Statistics and Programme Implementation (MoSPI) and is cross-checked against the FRED INDCPIALLMINMEI series; the harmonised CPI Fuel and Light component is taken from MoSPI for the post-2011 period.</w:t>
      </w:r>
    </w:p>
    <w:p w14:paraId="0014B656" w14:textId="77777777" w:rsidR="00D23216" w:rsidRDefault="00000000">
      <w:r>
        <w:t>All series are merged at monthly frequency on common dates, with active samples reported in Section 3.5 after inner joins. The wholesale series carry a non-trivial chaining step that is documented separately in Section 3.3. The CPI Fuel and Light component is treated as a bridge series rather than as a direct headline mandate because the harmonised post-2011 series limits its sample to 164 months.</w:t>
      </w:r>
    </w:p>
    <w:p w14:paraId="35A3B88A" w14:textId="77777777" w:rsidR="00D23216" w:rsidRDefault="00000000">
      <w:pPr>
        <w:pStyle w:val="Heading2"/>
      </w:pPr>
      <w:bookmarkStart w:id="17" w:name="_Toc228196699"/>
      <w:r>
        <w:rPr>
          <w:rFonts w:ascii="Times New Roman" w:hAnsi="Times New Roman"/>
        </w:rPr>
        <w:t>3.2 Main Variables and Transformations</w:t>
      </w:r>
      <w:bookmarkEnd w:id="17"/>
    </w:p>
    <w:p w14:paraId="64EB61EB" w14:textId="77777777" w:rsidR="00D23216" w:rsidRDefault="00000000">
      <w:r>
        <w:t xml:space="preserve">The main variables can be defined briefly. Brent crude is the international benchmark price in US dollars per barrel. The INR/USD exchange rate is the monthly average rupee-per-dollar series. The rupee oil price is constructed as Brent multiplied by the INR/USD exchange rate; it is the main shock variable in the headline ADL specifications. Headline WPI is chained to the 2011-12 base using official linking factors, as is the WPI Fuel and Power group. PPAC Delhi retail petrol price is the monthly average pump price reported by the Petroleum Planning and Analysis Cell. </w:t>
      </w:r>
      <w:r>
        <w:lastRenderedPageBreak/>
        <w:t>Headline CPI is the all-India general index. CPI Fuel and Light is used as a bridge series only, because the harmonised post-2011 series limits the available sample to about 164 months. The Index of Industrial Production and the activity controls already used in the CPI and retail-fuel specifications are retained as controls in the relevant models.</w:t>
      </w:r>
    </w:p>
    <w:p w14:paraId="35186F68" w14:textId="77777777" w:rsidR="00D23216" w:rsidRDefault="00000000">
      <w:r>
        <w:t>All main model variables are transformed into month-on-month log differences. Writing the rupee oil price as x</w:t>
      </w:r>
      <w:r>
        <w:rPr>
          <w:vertAlign w:val="subscript"/>
        </w:rPr>
        <w:t>t</w:t>
      </w:r>
      <w:r>
        <w:t xml:space="preserve"> and a generic dependent price index as y</w:t>
      </w:r>
      <w:r>
        <w:rPr>
          <w:vertAlign w:val="subscript"/>
        </w:rPr>
        <w:t>t</w:t>
      </w:r>
      <w:r>
        <w:t>, the log-difference transformation is defined in equation (3.1).</w:t>
      </w:r>
    </w:p>
    <w:p w14:paraId="0576A600" w14:textId="77777777" w:rsidR="00D23216" w:rsidRDefault="00000000">
      <w:pPr>
        <w:tabs>
          <w:tab w:val="center" w:pos="4230"/>
          <w:tab w:val="right" w:pos="8460"/>
        </w:tabs>
        <w:spacing w:before="120"/>
      </w:pPr>
      <w:r>
        <w:tab/>
      </w: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ln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r>
          <w:rPr>
            <w:rFonts w:ascii="Cambria Math" w:hAnsi="Cambria Math"/>
          </w:rPr>
          <m:t xml:space="preserve"> - ln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t-1</m:t>
                </m:r>
              </m:sub>
            </m:sSub>
          </m:e>
        </m:d>
      </m:oMath>
      <w:r>
        <w:tab/>
        <w:t>(3.1)</w:t>
      </w:r>
    </w:p>
    <w:p w14:paraId="33CB10D6" w14:textId="77777777" w:rsidR="00D23216" w:rsidRDefault="00000000">
      <w:r>
        <w:t>The differences are interpreted as approximate percentage changes. Reporting is consistent throughout the dissertation: cumulative pass-through coefficients should be read as the cumulative response of the dependent log difference to a one-unit log-difference shock in rupee oil prices, summed over the lag window. The same convention is used for the Brent and exchange-rate decomposition.</w:t>
      </w:r>
    </w:p>
    <w:p w14:paraId="1051BC7C" w14:textId="77777777" w:rsidR="00D23216" w:rsidRDefault="00000000">
      <w:pPr>
        <w:pStyle w:val="Heading2"/>
      </w:pPr>
      <w:bookmarkStart w:id="18" w:name="_Toc228196700"/>
      <w:r>
        <w:rPr>
          <w:rFonts w:ascii="Times New Roman" w:hAnsi="Times New Roman"/>
        </w:rPr>
        <w:t>3.3 Splice and Chaining of the WPI Series</w:t>
      </w:r>
      <w:bookmarkEnd w:id="18"/>
    </w:p>
    <w:p w14:paraId="2AB89340" w14:textId="77777777" w:rsidR="00D23216" w:rsidRDefault="00000000">
      <w:r>
        <w:t>The wholesale series carry a non-trivial construction step. The Office of the Economic Adviser publishes WPI under successive base years, with the most recent base being 2011-12 = 100. Earlier vintages used 1981-82, 1993-94, and 2004-05 as base years. To assemble a continuous monthly headline WPI series and a continuous Fuel and Power group from May 1983 to March 2026, the dissertation chains the published vintages using their official linking factors, with overlap-period checks to verify that the splice does not introduce visible level breaks. The chain-factor table and the splice-check table reported in the wpi outputs document each linking step. The chained series is then rebased to 2011-12 = 100 so that all wholesale comparisons in the empirical work share a common base.</w:t>
      </w:r>
    </w:p>
    <w:p w14:paraId="05F5CC8E" w14:textId="77777777" w:rsidR="00D23216" w:rsidRDefault="00000000">
      <w:r>
        <w:t xml:space="preserve">Two practical points follow from this construction. First, the chained WPI series is the most extensive, methodologically consistent series available for the headline WPI exercise, and its long sample is what makes the pre/post-2010 split feasible at all. Second, the splice has been verified at the level of the headline aggregate; component-level chaining for the Fuel and Power group has been carried out separately, since the OEA component definitions changed across base years. Where the component </w:t>
      </w:r>
      <w:r>
        <w:lastRenderedPageBreak/>
        <w:t>definitions are not exactly comparable across vintages, the dissertation prefers the longest internally consistent stretch over a shorter, perfectly homogeneous stretch.</w:t>
      </w:r>
    </w:p>
    <w:p w14:paraId="41B50FF2" w14:textId="77777777" w:rsidR="00D23216" w:rsidRDefault="00000000">
      <w:pPr>
        <w:pStyle w:val="Heading2"/>
      </w:pPr>
      <w:bookmarkStart w:id="19" w:name="_Toc228196701"/>
      <w:r>
        <w:rPr>
          <w:rFonts w:ascii="Times New Roman" w:hAnsi="Times New Roman"/>
        </w:rPr>
        <w:t>3.4 Descriptive Patterns</w:t>
      </w:r>
      <w:bookmarkEnd w:id="19"/>
    </w:p>
    <w:p w14:paraId="5A317EC5" w14:textId="77777777" w:rsidR="00D23216" w:rsidRDefault="00000000">
      <w:r>
        <w:t>Two features of the data are worth noting before the formal estimation. The first is the asymmetric distribution of the rupee oil log difference. The series exhibits visible negative tails during the 2008 commodity correction, the 2014-15 oil price collapse, and the early-2020 COVID-19 demand shock, alongside positive tails during the 2007-08 commodity peak, the 2011-12 Brent surge, and the 2022 European energy episode. These tails motivate the asymmetric specification used in the ADL models. The second feature is the visible co-movement between rupee oil price changes and WPI Fuel and Power log differences across the entire sample, which is much weaker for headline CPI log differences. The naked-eye co-movement is consistent with the layered attenuation result reported in Chapter 5.</w:t>
      </w:r>
    </w:p>
    <w:p w14:paraId="37D92CD3" w14:textId="77777777" w:rsidR="00D23216" w:rsidRDefault="00000000">
      <w:pPr>
        <w:pStyle w:val="Heading2"/>
      </w:pPr>
      <w:bookmarkStart w:id="20" w:name="_Toc228196702"/>
      <w:r>
        <w:rPr>
          <w:rFonts w:ascii="Times New Roman" w:hAnsi="Times New Roman"/>
        </w:rPr>
        <w:t>3.5 Data Table and Model Specifications</w:t>
      </w:r>
      <w:bookmarkEnd w:id="20"/>
    </w:p>
    <w:p w14:paraId="21996BA7" w14:textId="77777777" w:rsidR="00D23216" w:rsidRDefault="00000000">
      <w:pPr>
        <w:pStyle w:val="Caption"/>
        <w:jc w:val="left"/>
      </w:pPr>
      <w:r>
        <w:rPr>
          <w:sz w:val="22"/>
        </w:rPr>
        <w:t>Table 3.1: Series, sources, transformations, and sample spans</w:t>
      </w:r>
    </w:p>
    <w:tbl>
      <w:tblPr>
        <w:tblStyle w:val="TableGrid"/>
        <w:tblW w:w="8352" w:type="dxa"/>
        <w:jc w:val="center"/>
        <w:tblLayout w:type="fixed"/>
        <w:tblLook w:val="04A0" w:firstRow="1" w:lastRow="0" w:firstColumn="1" w:lastColumn="0" w:noHBand="0" w:noVBand="1"/>
      </w:tblPr>
      <w:tblGrid>
        <w:gridCol w:w="2232"/>
        <w:gridCol w:w="2808"/>
        <w:gridCol w:w="1512"/>
        <w:gridCol w:w="1800"/>
      </w:tblGrid>
      <w:tr w:rsidR="00D23216" w14:paraId="767A7EB1" w14:textId="77777777">
        <w:trPr>
          <w:tblHeader/>
          <w:jc w:val="center"/>
        </w:trPr>
        <w:tc>
          <w:tcPr>
            <w:tcW w:w="2232" w:type="dxa"/>
          </w:tcPr>
          <w:p w14:paraId="15C3A6B5" w14:textId="77777777" w:rsidR="00D23216" w:rsidRDefault="00000000">
            <w:pPr>
              <w:spacing w:after="0"/>
              <w:jc w:val="center"/>
            </w:pPr>
            <w:r>
              <w:rPr>
                <w:b/>
                <w:sz w:val="18"/>
              </w:rPr>
              <w:t>Series</w:t>
            </w:r>
          </w:p>
        </w:tc>
        <w:tc>
          <w:tcPr>
            <w:tcW w:w="2808" w:type="dxa"/>
          </w:tcPr>
          <w:p w14:paraId="0DDF3AB5" w14:textId="77777777" w:rsidR="00D23216" w:rsidRDefault="00000000">
            <w:pPr>
              <w:spacing w:after="0"/>
              <w:jc w:val="center"/>
            </w:pPr>
            <w:r>
              <w:rPr>
                <w:b/>
                <w:sz w:val="18"/>
              </w:rPr>
              <w:t>Source</w:t>
            </w:r>
          </w:p>
        </w:tc>
        <w:tc>
          <w:tcPr>
            <w:tcW w:w="1512" w:type="dxa"/>
          </w:tcPr>
          <w:p w14:paraId="47DBFA22" w14:textId="77777777" w:rsidR="00D23216" w:rsidRDefault="00000000">
            <w:pPr>
              <w:spacing w:after="0"/>
              <w:jc w:val="center"/>
            </w:pPr>
            <w:r>
              <w:rPr>
                <w:b/>
                <w:sz w:val="18"/>
              </w:rPr>
              <w:t>Transformation</w:t>
            </w:r>
          </w:p>
        </w:tc>
        <w:tc>
          <w:tcPr>
            <w:tcW w:w="1800" w:type="dxa"/>
          </w:tcPr>
          <w:p w14:paraId="5D17D606" w14:textId="77777777" w:rsidR="00D23216" w:rsidRDefault="00000000">
            <w:pPr>
              <w:spacing w:after="0"/>
              <w:jc w:val="center"/>
            </w:pPr>
            <w:r>
              <w:rPr>
                <w:b/>
                <w:sz w:val="18"/>
              </w:rPr>
              <w:t>Active sample</w:t>
            </w:r>
          </w:p>
        </w:tc>
      </w:tr>
      <w:tr w:rsidR="00D23216" w14:paraId="7C98F5FE" w14:textId="77777777">
        <w:trPr>
          <w:jc w:val="center"/>
        </w:trPr>
        <w:tc>
          <w:tcPr>
            <w:tcW w:w="2232" w:type="dxa"/>
          </w:tcPr>
          <w:p w14:paraId="545B3653" w14:textId="77777777" w:rsidR="00D23216" w:rsidRDefault="00000000">
            <w:pPr>
              <w:spacing w:after="0"/>
              <w:jc w:val="left"/>
            </w:pPr>
            <w:r>
              <w:rPr>
                <w:sz w:val="18"/>
              </w:rPr>
              <w:t>Brent crude (USD/bbl)</w:t>
            </w:r>
          </w:p>
        </w:tc>
        <w:tc>
          <w:tcPr>
            <w:tcW w:w="2808" w:type="dxa"/>
          </w:tcPr>
          <w:p w14:paraId="4A3FE8E4" w14:textId="77777777" w:rsidR="00D23216" w:rsidRDefault="00000000">
            <w:pPr>
              <w:spacing w:after="0"/>
              <w:jc w:val="center"/>
            </w:pPr>
            <w:r>
              <w:rPr>
                <w:sz w:val="18"/>
              </w:rPr>
              <w:t>World Bank Pink Sheet via FRED (POILBREUSDM)</w:t>
            </w:r>
          </w:p>
        </w:tc>
        <w:tc>
          <w:tcPr>
            <w:tcW w:w="1512" w:type="dxa"/>
          </w:tcPr>
          <w:p w14:paraId="10D64B66" w14:textId="77777777" w:rsidR="00D23216" w:rsidRDefault="00000000">
            <w:pPr>
              <w:spacing w:after="0"/>
              <w:jc w:val="center"/>
            </w:pPr>
            <w:r>
              <w:rPr>
                <w:sz w:val="18"/>
              </w:rPr>
              <w:t>Δln, monthly</w:t>
            </w:r>
          </w:p>
        </w:tc>
        <w:tc>
          <w:tcPr>
            <w:tcW w:w="1800" w:type="dxa"/>
          </w:tcPr>
          <w:p w14:paraId="08172FFF" w14:textId="77777777" w:rsidR="00D23216" w:rsidRDefault="00000000">
            <w:pPr>
              <w:spacing w:after="0"/>
              <w:jc w:val="center"/>
            </w:pPr>
            <w:r>
              <w:rPr>
                <w:sz w:val="18"/>
              </w:rPr>
              <w:t>1983-05 to 2026-03</w:t>
            </w:r>
          </w:p>
        </w:tc>
      </w:tr>
      <w:tr w:rsidR="00D23216" w14:paraId="1CEF10F2" w14:textId="77777777">
        <w:trPr>
          <w:jc w:val="center"/>
        </w:trPr>
        <w:tc>
          <w:tcPr>
            <w:tcW w:w="2232" w:type="dxa"/>
          </w:tcPr>
          <w:p w14:paraId="1321FF7F" w14:textId="77777777" w:rsidR="00D23216" w:rsidRDefault="00000000">
            <w:pPr>
              <w:spacing w:after="0"/>
              <w:jc w:val="left"/>
            </w:pPr>
            <w:r>
              <w:rPr>
                <w:sz w:val="18"/>
              </w:rPr>
              <w:t>INR/USD exchange rate</w:t>
            </w:r>
          </w:p>
        </w:tc>
        <w:tc>
          <w:tcPr>
            <w:tcW w:w="2808" w:type="dxa"/>
          </w:tcPr>
          <w:p w14:paraId="1A53661C" w14:textId="77777777" w:rsidR="00D23216" w:rsidRDefault="00000000">
            <w:pPr>
              <w:spacing w:after="0"/>
              <w:jc w:val="center"/>
            </w:pPr>
            <w:r>
              <w:rPr>
                <w:sz w:val="18"/>
              </w:rPr>
              <w:t>FRED EXINUS</w:t>
            </w:r>
          </w:p>
        </w:tc>
        <w:tc>
          <w:tcPr>
            <w:tcW w:w="1512" w:type="dxa"/>
          </w:tcPr>
          <w:p w14:paraId="0C80F1C7" w14:textId="77777777" w:rsidR="00D23216" w:rsidRDefault="00000000">
            <w:pPr>
              <w:spacing w:after="0"/>
              <w:jc w:val="center"/>
            </w:pPr>
            <w:r>
              <w:rPr>
                <w:sz w:val="18"/>
              </w:rPr>
              <w:t>Δln, monthly</w:t>
            </w:r>
          </w:p>
        </w:tc>
        <w:tc>
          <w:tcPr>
            <w:tcW w:w="1800" w:type="dxa"/>
          </w:tcPr>
          <w:p w14:paraId="49C81C36" w14:textId="77777777" w:rsidR="00D23216" w:rsidRDefault="00000000">
            <w:pPr>
              <w:spacing w:after="0"/>
              <w:jc w:val="center"/>
            </w:pPr>
            <w:r>
              <w:rPr>
                <w:sz w:val="18"/>
              </w:rPr>
              <w:t>1983-05 to 2026-03</w:t>
            </w:r>
          </w:p>
        </w:tc>
      </w:tr>
      <w:tr w:rsidR="00D23216" w14:paraId="402C80F2" w14:textId="77777777">
        <w:trPr>
          <w:jc w:val="center"/>
        </w:trPr>
        <w:tc>
          <w:tcPr>
            <w:tcW w:w="2232" w:type="dxa"/>
          </w:tcPr>
          <w:p w14:paraId="1A69D8C7" w14:textId="77777777" w:rsidR="00D23216" w:rsidRDefault="00000000">
            <w:pPr>
              <w:spacing w:after="0"/>
              <w:jc w:val="left"/>
            </w:pPr>
            <w:r>
              <w:rPr>
                <w:sz w:val="18"/>
              </w:rPr>
              <w:t>Rupee oil price</w:t>
            </w:r>
          </w:p>
        </w:tc>
        <w:tc>
          <w:tcPr>
            <w:tcW w:w="2808" w:type="dxa"/>
          </w:tcPr>
          <w:p w14:paraId="69ADFAFF" w14:textId="77777777" w:rsidR="00D23216" w:rsidRDefault="00000000">
            <w:pPr>
              <w:spacing w:after="0"/>
              <w:jc w:val="center"/>
            </w:pPr>
            <w:r>
              <w:rPr>
                <w:sz w:val="18"/>
              </w:rPr>
              <w:t>Brent × INR/USD (constructed)</w:t>
            </w:r>
          </w:p>
        </w:tc>
        <w:tc>
          <w:tcPr>
            <w:tcW w:w="1512" w:type="dxa"/>
          </w:tcPr>
          <w:p w14:paraId="5282E506" w14:textId="77777777" w:rsidR="00D23216" w:rsidRDefault="00000000">
            <w:pPr>
              <w:spacing w:after="0"/>
              <w:jc w:val="center"/>
            </w:pPr>
            <w:r>
              <w:rPr>
                <w:sz w:val="18"/>
              </w:rPr>
              <w:t>Δln, monthly</w:t>
            </w:r>
          </w:p>
        </w:tc>
        <w:tc>
          <w:tcPr>
            <w:tcW w:w="1800" w:type="dxa"/>
          </w:tcPr>
          <w:p w14:paraId="0298EF99" w14:textId="77777777" w:rsidR="00D23216" w:rsidRDefault="00000000">
            <w:pPr>
              <w:spacing w:after="0"/>
              <w:jc w:val="center"/>
            </w:pPr>
            <w:r>
              <w:rPr>
                <w:sz w:val="18"/>
              </w:rPr>
              <w:t>1983-05 to 2026-03</w:t>
            </w:r>
          </w:p>
        </w:tc>
      </w:tr>
      <w:tr w:rsidR="00D23216" w14:paraId="36298D0D" w14:textId="77777777">
        <w:trPr>
          <w:jc w:val="center"/>
        </w:trPr>
        <w:tc>
          <w:tcPr>
            <w:tcW w:w="2232" w:type="dxa"/>
          </w:tcPr>
          <w:p w14:paraId="065B9EE2" w14:textId="77777777" w:rsidR="00D23216" w:rsidRDefault="00000000">
            <w:pPr>
              <w:spacing w:after="0"/>
              <w:jc w:val="left"/>
            </w:pPr>
            <w:r>
              <w:rPr>
                <w:sz w:val="18"/>
              </w:rPr>
              <w:t>Headline WPI (chained)</w:t>
            </w:r>
          </w:p>
        </w:tc>
        <w:tc>
          <w:tcPr>
            <w:tcW w:w="2808" w:type="dxa"/>
          </w:tcPr>
          <w:p w14:paraId="03EAFBDA" w14:textId="77777777" w:rsidR="00D23216" w:rsidRDefault="00000000">
            <w:pPr>
              <w:spacing w:after="0"/>
              <w:jc w:val="center"/>
            </w:pPr>
            <w:r>
              <w:rPr>
                <w:sz w:val="18"/>
              </w:rPr>
              <w:t>OEA, MoCI; chained to 2011-12 = 100</w:t>
            </w:r>
          </w:p>
        </w:tc>
        <w:tc>
          <w:tcPr>
            <w:tcW w:w="1512" w:type="dxa"/>
          </w:tcPr>
          <w:p w14:paraId="68CC9310" w14:textId="77777777" w:rsidR="00D23216" w:rsidRDefault="00000000">
            <w:pPr>
              <w:spacing w:after="0"/>
              <w:jc w:val="center"/>
            </w:pPr>
            <w:r>
              <w:rPr>
                <w:sz w:val="18"/>
              </w:rPr>
              <w:t>Δln, monthly</w:t>
            </w:r>
          </w:p>
        </w:tc>
        <w:tc>
          <w:tcPr>
            <w:tcW w:w="1800" w:type="dxa"/>
          </w:tcPr>
          <w:p w14:paraId="0B32C7D9" w14:textId="77777777" w:rsidR="00D23216" w:rsidRDefault="00000000">
            <w:pPr>
              <w:spacing w:after="0"/>
              <w:jc w:val="center"/>
            </w:pPr>
            <w:r>
              <w:rPr>
                <w:sz w:val="18"/>
              </w:rPr>
              <w:t>1983-05 to 2026-03</w:t>
            </w:r>
          </w:p>
        </w:tc>
      </w:tr>
      <w:tr w:rsidR="00D23216" w14:paraId="7F1EECDE" w14:textId="77777777">
        <w:trPr>
          <w:jc w:val="center"/>
        </w:trPr>
        <w:tc>
          <w:tcPr>
            <w:tcW w:w="2232" w:type="dxa"/>
          </w:tcPr>
          <w:p w14:paraId="7314EE8E" w14:textId="77777777" w:rsidR="00D23216" w:rsidRDefault="00000000">
            <w:pPr>
              <w:spacing w:after="0"/>
              <w:jc w:val="left"/>
            </w:pPr>
            <w:r>
              <w:rPr>
                <w:sz w:val="18"/>
              </w:rPr>
              <w:t>WPI Fuel and Power (chained)</w:t>
            </w:r>
          </w:p>
        </w:tc>
        <w:tc>
          <w:tcPr>
            <w:tcW w:w="2808" w:type="dxa"/>
          </w:tcPr>
          <w:p w14:paraId="0510BEB1" w14:textId="77777777" w:rsidR="00D23216" w:rsidRDefault="00000000">
            <w:pPr>
              <w:spacing w:after="0"/>
              <w:jc w:val="center"/>
            </w:pPr>
            <w:r>
              <w:rPr>
                <w:sz w:val="18"/>
              </w:rPr>
              <w:t>OEA, MoCI; chained to 2011-12 = 100</w:t>
            </w:r>
          </w:p>
        </w:tc>
        <w:tc>
          <w:tcPr>
            <w:tcW w:w="1512" w:type="dxa"/>
          </w:tcPr>
          <w:p w14:paraId="6E703E93" w14:textId="77777777" w:rsidR="00D23216" w:rsidRDefault="00000000">
            <w:pPr>
              <w:spacing w:after="0"/>
              <w:jc w:val="center"/>
            </w:pPr>
            <w:r>
              <w:rPr>
                <w:sz w:val="18"/>
              </w:rPr>
              <w:t>Δln, monthly</w:t>
            </w:r>
          </w:p>
        </w:tc>
        <w:tc>
          <w:tcPr>
            <w:tcW w:w="1800" w:type="dxa"/>
          </w:tcPr>
          <w:p w14:paraId="631D8908" w14:textId="77777777" w:rsidR="00D23216" w:rsidRDefault="00000000">
            <w:pPr>
              <w:spacing w:after="0"/>
              <w:jc w:val="center"/>
            </w:pPr>
            <w:r>
              <w:rPr>
                <w:sz w:val="18"/>
              </w:rPr>
              <w:t>1995-05 to 2026-03</w:t>
            </w:r>
          </w:p>
        </w:tc>
      </w:tr>
      <w:tr w:rsidR="00D23216" w14:paraId="1E5902F6" w14:textId="77777777">
        <w:trPr>
          <w:jc w:val="center"/>
        </w:trPr>
        <w:tc>
          <w:tcPr>
            <w:tcW w:w="2232" w:type="dxa"/>
          </w:tcPr>
          <w:p w14:paraId="6071EF3E" w14:textId="77777777" w:rsidR="00D23216" w:rsidRDefault="00000000">
            <w:pPr>
              <w:spacing w:after="0"/>
              <w:jc w:val="left"/>
            </w:pPr>
            <w:r>
              <w:rPr>
                <w:sz w:val="18"/>
              </w:rPr>
              <w:t>PPAC Delhi retail petrol</w:t>
            </w:r>
          </w:p>
        </w:tc>
        <w:tc>
          <w:tcPr>
            <w:tcW w:w="2808" w:type="dxa"/>
          </w:tcPr>
          <w:p w14:paraId="0DF3FB43" w14:textId="77777777" w:rsidR="00D23216" w:rsidRDefault="00000000">
            <w:pPr>
              <w:spacing w:after="0"/>
              <w:jc w:val="center"/>
            </w:pPr>
            <w:r>
              <w:rPr>
                <w:sz w:val="18"/>
              </w:rPr>
              <w:t>PPAC ready reckoner (pre/post-2017 files)</w:t>
            </w:r>
          </w:p>
        </w:tc>
        <w:tc>
          <w:tcPr>
            <w:tcW w:w="1512" w:type="dxa"/>
          </w:tcPr>
          <w:p w14:paraId="63FAF5BB" w14:textId="77777777" w:rsidR="00D23216" w:rsidRDefault="00000000">
            <w:pPr>
              <w:spacing w:after="0"/>
              <w:jc w:val="center"/>
            </w:pPr>
            <w:r>
              <w:rPr>
                <w:sz w:val="18"/>
              </w:rPr>
              <w:t>Δln, monthly</w:t>
            </w:r>
          </w:p>
        </w:tc>
        <w:tc>
          <w:tcPr>
            <w:tcW w:w="1800" w:type="dxa"/>
          </w:tcPr>
          <w:p w14:paraId="2DB1F036" w14:textId="77777777" w:rsidR="00D23216" w:rsidRDefault="00000000">
            <w:pPr>
              <w:spacing w:after="0"/>
              <w:jc w:val="center"/>
            </w:pPr>
            <w:r>
              <w:rPr>
                <w:sz w:val="18"/>
              </w:rPr>
              <w:t>2004-08 to 2024-12</w:t>
            </w:r>
          </w:p>
        </w:tc>
      </w:tr>
      <w:tr w:rsidR="00D23216" w14:paraId="42637B66" w14:textId="77777777">
        <w:trPr>
          <w:jc w:val="center"/>
        </w:trPr>
        <w:tc>
          <w:tcPr>
            <w:tcW w:w="2232" w:type="dxa"/>
          </w:tcPr>
          <w:p w14:paraId="57D36BCF" w14:textId="77777777" w:rsidR="00D23216" w:rsidRDefault="00000000">
            <w:pPr>
              <w:spacing w:after="0"/>
              <w:jc w:val="left"/>
            </w:pPr>
            <w:r>
              <w:rPr>
                <w:sz w:val="18"/>
              </w:rPr>
              <w:t>Headline CPI (all-India)</w:t>
            </w:r>
          </w:p>
        </w:tc>
        <w:tc>
          <w:tcPr>
            <w:tcW w:w="2808" w:type="dxa"/>
          </w:tcPr>
          <w:p w14:paraId="64DBD93C" w14:textId="77777777" w:rsidR="00D23216" w:rsidRDefault="00000000">
            <w:pPr>
              <w:spacing w:after="0"/>
              <w:jc w:val="center"/>
            </w:pPr>
            <w:r>
              <w:rPr>
                <w:sz w:val="18"/>
              </w:rPr>
              <w:t>MoSPI / FRED INDCPIALLMINMEI</w:t>
            </w:r>
          </w:p>
        </w:tc>
        <w:tc>
          <w:tcPr>
            <w:tcW w:w="1512" w:type="dxa"/>
          </w:tcPr>
          <w:p w14:paraId="6129C85C" w14:textId="77777777" w:rsidR="00D23216" w:rsidRDefault="00000000">
            <w:pPr>
              <w:spacing w:after="0"/>
              <w:jc w:val="center"/>
            </w:pPr>
            <w:r>
              <w:rPr>
                <w:sz w:val="18"/>
              </w:rPr>
              <w:t>Δln, monthly</w:t>
            </w:r>
          </w:p>
        </w:tc>
        <w:tc>
          <w:tcPr>
            <w:tcW w:w="1800" w:type="dxa"/>
          </w:tcPr>
          <w:p w14:paraId="1AF84B0A" w14:textId="77777777" w:rsidR="00D23216" w:rsidRDefault="00000000">
            <w:pPr>
              <w:spacing w:after="0"/>
              <w:jc w:val="center"/>
            </w:pPr>
            <w:r>
              <w:rPr>
                <w:sz w:val="18"/>
              </w:rPr>
              <w:t>2004-08 to 2024-12</w:t>
            </w:r>
          </w:p>
        </w:tc>
      </w:tr>
      <w:tr w:rsidR="00D23216" w14:paraId="0612DB17" w14:textId="77777777">
        <w:trPr>
          <w:jc w:val="center"/>
        </w:trPr>
        <w:tc>
          <w:tcPr>
            <w:tcW w:w="2232" w:type="dxa"/>
          </w:tcPr>
          <w:p w14:paraId="7D81DDCE" w14:textId="77777777" w:rsidR="00D23216" w:rsidRDefault="00000000">
            <w:pPr>
              <w:spacing w:after="0"/>
              <w:jc w:val="left"/>
            </w:pPr>
            <w:r>
              <w:rPr>
                <w:sz w:val="18"/>
              </w:rPr>
              <w:t>CPI Fuel and Light (bridge)</w:t>
            </w:r>
          </w:p>
        </w:tc>
        <w:tc>
          <w:tcPr>
            <w:tcW w:w="2808" w:type="dxa"/>
          </w:tcPr>
          <w:p w14:paraId="7A271B4C" w14:textId="77777777" w:rsidR="00D23216" w:rsidRDefault="00000000">
            <w:pPr>
              <w:spacing w:after="0"/>
              <w:jc w:val="center"/>
            </w:pPr>
            <w:r>
              <w:rPr>
                <w:sz w:val="18"/>
              </w:rPr>
              <w:t>MoSPI harmonised series</w:t>
            </w:r>
          </w:p>
        </w:tc>
        <w:tc>
          <w:tcPr>
            <w:tcW w:w="1512" w:type="dxa"/>
          </w:tcPr>
          <w:p w14:paraId="494F2F5D" w14:textId="77777777" w:rsidR="00D23216" w:rsidRDefault="00000000">
            <w:pPr>
              <w:spacing w:after="0"/>
              <w:jc w:val="center"/>
            </w:pPr>
            <w:r>
              <w:rPr>
                <w:sz w:val="18"/>
              </w:rPr>
              <w:t>Δln, monthly</w:t>
            </w:r>
          </w:p>
        </w:tc>
        <w:tc>
          <w:tcPr>
            <w:tcW w:w="1800" w:type="dxa"/>
          </w:tcPr>
          <w:p w14:paraId="7DD8ED41" w14:textId="77777777" w:rsidR="00D23216" w:rsidRDefault="00000000">
            <w:pPr>
              <w:spacing w:after="0"/>
              <w:jc w:val="center"/>
            </w:pPr>
            <w:r>
              <w:rPr>
                <w:sz w:val="18"/>
              </w:rPr>
              <w:t>2011-05 to 2024-12</w:t>
            </w:r>
          </w:p>
        </w:tc>
      </w:tr>
      <w:tr w:rsidR="00D23216" w14:paraId="04641609" w14:textId="77777777">
        <w:trPr>
          <w:jc w:val="center"/>
        </w:trPr>
        <w:tc>
          <w:tcPr>
            <w:tcW w:w="2232" w:type="dxa"/>
          </w:tcPr>
          <w:p w14:paraId="1C6BBA3B" w14:textId="77777777" w:rsidR="00D23216" w:rsidRDefault="00000000">
            <w:pPr>
              <w:spacing w:after="0"/>
              <w:jc w:val="left"/>
            </w:pPr>
            <w:r>
              <w:rPr>
                <w:sz w:val="18"/>
              </w:rPr>
              <w:t>IIP / activity control</w:t>
            </w:r>
          </w:p>
        </w:tc>
        <w:tc>
          <w:tcPr>
            <w:tcW w:w="2808" w:type="dxa"/>
          </w:tcPr>
          <w:p w14:paraId="6BD417BD" w14:textId="77777777" w:rsidR="00D23216" w:rsidRDefault="00000000">
            <w:pPr>
              <w:spacing w:after="0"/>
              <w:jc w:val="center"/>
            </w:pPr>
            <w:r>
              <w:rPr>
                <w:sz w:val="18"/>
              </w:rPr>
              <w:t>MoSPI</w:t>
            </w:r>
          </w:p>
        </w:tc>
        <w:tc>
          <w:tcPr>
            <w:tcW w:w="1512" w:type="dxa"/>
          </w:tcPr>
          <w:p w14:paraId="429F913D" w14:textId="77777777" w:rsidR="00D23216" w:rsidRDefault="00000000">
            <w:pPr>
              <w:spacing w:after="0"/>
              <w:jc w:val="center"/>
            </w:pPr>
            <w:r>
              <w:rPr>
                <w:sz w:val="18"/>
              </w:rPr>
              <w:t>Δln, monthly</w:t>
            </w:r>
          </w:p>
        </w:tc>
        <w:tc>
          <w:tcPr>
            <w:tcW w:w="1800" w:type="dxa"/>
          </w:tcPr>
          <w:p w14:paraId="7E93BA6E" w14:textId="77777777" w:rsidR="00D23216" w:rsidRDefault="00000000">
            <w:pPr>
              <w:spacing w:after="0"/>
              <w:jc w:val="center"/>
            </w:pPr>
            <w:r>
              <w:rPr>
                <w:sz w:val="18"/>
              </w:rPr>
              <w:t>matched to layer</w:t>
            </w:r>
          </w:p>
        </w:tc>
      </w:tr>
    </w:tbl>
    <w:p w14:paraId="0EAE055B" w14:textId="77777777" w:rsidR="00D23216" w:rsidRDefault="00000000">
      <w:pPr>
        <w:spacing w:after="200"/>
        <w:rPr>
          <w:i/>
          <w:sz w:val="20"/>
        </w:rPr>
      </w:pPr>
      <w:r>
        <w:rPr>
          <w:i/>
          <w:sz w:val="20"/>
        </w:rPr>
        <w:t xml:space="preserve">Notes: Wholesale series are chained to a common 2011-12 = 100 base using official linking factors. Active samples are reported after inner joins on common dates. CPI Fuel and Light </w:t>
      </w:r>
      <w:proofErr w:type="gramStart"/>
      <w:r>
        <w:rPr>
          <w:i/>
          <w:sz w:val="20"/>
        </w:rPr>
        <w:t>is</w:t>
      </w:r>
      <w:proofErr w:type="gramEnd"/>
      <w:r>
        <w:rPr>
          <w:i/>
          <w:sz w:val="20"/>
        </w:rPr>
        <w:t xml:space="preserve"> treated as supporting bridge evidence because the harmonised series begins in 2011.</w:t>
      </w:r>
    </w:p>
    <w:p w14:paraId="3CB85F00" w14:textId="77777777" w:rsidR="001D4734" w:rsidRDefault="001D4734">
      <w:pPr>
        <w:spacing w:after="200"/>
      </w:pPr>
    </w:p>
    <w:p w14:paraId="45101C5F" w14:textId="77777777" w:rsidR="00D23216" w:rsidRDefault="00000000">
      <w:pPr>
        <w:pStyle w:val="Caption"/>
        <w:jc w:val="left"/>
      </w:pPr>
      <w:r>
        <w:rPr>
          <w:sz w:val="22"/>
        </w:rPr>
        <w:lastRenderedPageBreak/>
        <w:t>Table 3.2: Model specifications across the four-layer chain</w:t>
      </w:r>
    </w:p>
    <w:tbl>
      <w:tblPr>
        <w:tblStyle w:val="TableGrid"/>
        <w:tblW w:w="8352" w:type="dxa"/>
        <w:jc w:val="center"/>
        <w:tblLayout w:type="fixed"/>
        <w:tblLook w:val="04A0" w:firstRow="1" w:lastRow="0" w:firstColumn="1" w:lastColumn="0" w:noHBand="0" w:noVBand="1"/>
      </w:tblPr>
      <w:tblGrid>
        <w:gridCol w:w="2376"/>
        <w:gridCol w:w="1944"/>
        <w:gridCol w:w="1944"/>
        <w:gridCol w:w="936"/>
        <w:gridCol w:w="1152"/>
      </w:tblGrid>
      <w:tr w:rsidR="00D23216" w14:paraId="0BE5C781" w14:textId="77777777">
        <w:trPr>
          <w:tblHeader/>
          <w:jc w:val="center"/>
        </w:trPr>
        <w:tc>
          <w:tcPr>
            <w:tcW w:w="2376" w:type="dxa"/>
          </w:tcPr>
          <w:p w14:paraId="161D37B7" w14:textId="77777777" w:rsidR="00D23216" w:rsidRDefault="00000000">
            <w:pPr>
              <w:spacing w:after="0"/>
              <w:jc w:val="center"/>
            </w:pPr>
            <w:r>
              <w:rPr>
                <w:b/>
                <w:sz w:val="18"/>
              </w:rPr>
              <w:t>Layer</w:t>
            </w:r>
          </w:p>
        </w:tc>
        <w:tc>
          <w:tcPr>
            <w:tcW w:w="1944" w:type="dxa"/>
          </w:tcPr>
          <w:p w14:paraId="79EF1ABA" w14:textId="77777777" w:rsidR="00D23216" w:rsidRDefault="00000000">
            <w:pPr>
              <w:spacing w:after="0"/>
              <w:jc w:val="center"/>
            </w:pPr>
            <w:r>
              <w:rPr>
                <w:b/>
                <w:sz w:val="18"/>
              </w:rPr>
              <w:t>Dependent (Δln)</w:t>
            </w:r>
          </w:p>
        </w:tc>
        <w:tc>
          <w:tcPr>
            <w:tcW w:w="1944" w:type="dxa"/>
          </w:tcPr>
          <w:p w14:paraId="64E15B10" w14:textId="77777777" w:rsidR="00D23216" w:rsidRDefault="00000000">
            <w:pPr>
              <w:spacing w:after="0"/>
              <w:jc w:val="center"/>
            </w:pPr>
            <w:r>
              <w:rPr>
                <w:b/>
                <w:sz w:val="18"/>
              </w:rPr>
              <w:t>Shock variable (Δln)</w:t>
            </w:r>
          </w:p>
        </w:tc>
        <w:tc>
          <w:tcPr>
            <w:tcW w:w="936" w:type="dxa"/>
          </w:tcPr>
          <w:p w14:paraId="346F5AA4" w14:textId="77777777" w:rsidR="00D23216" w:rsidRDefault="00000000">
            <w:pPr>
              <w:spacing w:after="0"/>
              <w:jc w:val="center"/>
            </w:pPr>
            <w:r>
              <w:rPr>
                <w:b/>
                <w:sz w:val="18"/>
              </w:rPr>
              <w:t>Own lags</w:t>
            </w:r>
          </w:p>
        </w:tc>
        <w:tc>
          <w:tcPr>
            <w:tcW w:w="1152" w:type="dxa"/>
          </w:tcPr>
          <w:p w14:paraId="2EF519A6" w14:textId="77777777" w:rsidR="00D23216" w:rsidRDefault="00000000">
            <w:pPr>
              <w:spacing w:after="0"/>
              <w:jc w:val="center"/>
            </w:pPr>
            <w:r>
              <w:rPr>
                <w:b/>
                <w:sz w:val="18"/>
              </w:rPr>
              <w:t>Shock lags</w:t>
            </w:r>
          </w:p>
        </w:tc>
      </w:tr>
      <w:tr w:rsidR="00D23216" w14:paraId="1D86C31B" w14:textId="77777777">
        <w:trPr>
          <w:jc w:val="center"/>
        </w:trPr>
        <w:tc>
          <w:tcPr>
            <w:tcW w:w="2376" w:type="dxa"/>
          </w:tcPr>
          <w:p w14:paraId="09235D4F" w14:textId="77777777" w:rsidR="00D23216" w:rsidRDefault="00000000">
            <w:pPr>
              <w:spacing w:after="0"/>
              <w:jc w:val="left"/>
            </w:pPr>
            <w:r>
              <w:rPr>
                <w:sz w:val="18"/>
              </w:rPr>
              <w:t>Headline WPI</w:t>
            </w:r>
          </w:p>
        </w:tc>
        <w:tc>
          <w:tcPr>
            <w:tcW w:w="1944" w:type="dxa"/>
          </w:tcPr>
          <w:p w14:paraId="2CBF5114" w14:textId="77777777" w:rsidR="00D23216" w:rsidRDefault="00000000">
            <w:pPr>
              <w:spacing w:after="0"/>
              <w:jc w:val="center"/>
            </w:pPr>
            <w:r>
              <w:rPr>
                <w:sz w:val="18"/>
              </w:rPr>
              <w:t>Headline WPI</w:t>
            </w:r>
          </w:p>
        </w:tc>
        <w:tc>
          <w:tcPr>
            <w:tcW w:w="1944" w:type="dxa"/>
          </w:tcPr>
          <w:p w14:paraId="42963AA4" w14:textId="77777777" w:rsidR="00D23216" w:rsidRDefault="00000000">
            <w:pPr>
              <w:spacing w:after="0"/>
              <w:jc w:val="center"/>
            </w:pPr>
            <w:r>
              <w:rPr>
                <w:sz w:val="18"/>
              </w:rPr>
              <w:t>Rupee oil price</w:t>
            </w:r>
          </w:p>
        </w:tc>
        <w:tc>
          <w:tcPr>
            <w:tcW w:w="936" w:type="dxa"/>
          </w:tcPr>
          <w:p w14:paraId="18547F45" w14:textId="77777777" w:rsidR="00D23216" w:rsidRDefault="00000000">
            <w:pPr>
              <w:spacing w:after="0"/>
              <w:jc w:val="center"/>
            </w:pPr>
            <w:r>
              <w:rPr>
                <w:sz w:val="18"/>
              </w:rPr>
              <w:t>12</w:t>
            </w:r>
          </w:p>
        </w:tc>
        <w:tc>
          <w:tcPr>
            <w:tcW w:w="1152" w:type="dxa"/>
          </w:tcPr>
          <w:p w14:paraId="7CA33DCC" w14:textId="77777777" w:rsidR="00D23216" w:rsidRDefault="00000000">
            <w:pPr>
              <w:spacing w:after="0"/>
              <w:jc w:val="center"/>
            </w:pPr>
            <w:r>
              <w:rPr>
                <w:sz w:val="18"/>
              </w:rPr>
              <w:t>0–6</w:t>
            </w:r>
          </w:p>
        </w:tc>
      </w:tr>
      <w:tr w:rsidR="00D23216" w14:paraId="5F90A607" w14:textId="77777777">
        <w:trPr>
          <w:jc w:val="center"/>
        </w:trPr>
        <w:tc>
          <w:tcPr>
            <w:tcW w:w="2376" w:type="dxa"/>
          </w:tcPr>
          <w:p w14:paraId="55F7B05C" w14:textId="77777777" w:rsidR="00D23216" w:rsidRDefault="00000000">
            <w:pPr>
              <w:spacing w:after="0"/>
              <w:jc w:val="left"/>
            </w:pPr>
            <w:r>
              <w:rPr>
                <w:sz w:val="18"/>
              </w:rPr>
              <w:t>WPI Fuel and Power</w:t>
            </w:r>
          </w:p>
        </w:tc>
        <w:tc>
          <w:tcPr>
            <w:tcW w:w="1944" w:type="dxa"/>
          </w:tcPr>
          <w:p w14:paraId="1A359330" w14:textId="77777777" w:rsidR="00D23216" w:rsidRDefault="00000000">
            <w:pPr>
              <w:spacing w:after="0"/>
              <w:jc w:val="center"/>
            </w:pPr>
            <w:r>
              <w:rPr>
                <w:sz w:val="18"/>
              </w:rPr>
              <w:t>WPI Fuel &amp; Power</w:t>
            </w:r>
          </w:p>
        </w:tc>
        <w:tc>
          <w:tcPr>
            <w:tcW w:w="1944" w:type="dxa"/>
          </w:tcPr>
          <w:p w14:paraId="145C6325" w14:textId="77777777" w:rsidR="00D23216" w:rsidRDefault="00000000">
            <w:pPr>
              <w:spacing w:after="0"/>
              <w:jc w:val="center"/>
            </w:pPr>
            <w:r>
              <w:rPr>
                <w:sz w:val="18"/>
              </w:rPr>
              <w:t>Rupee oil price</w:t>
            </w:r>
          </w:p>
        </w:tc>
        <w:tc>
          <w:tcPr>
            <w:tcW w:w="936" w:type="dxa"/>
          </w:tcPr>
          <w:p w14:paraId="37543997" w14:textId="77777777" w:rsidR="00D23216" w:rsidRDefault="00000000">
            <w:pPr>
              <w:spacing w:after="0"/>
              <w:jc w:val="center"/>
            </w:pPr>
            <w:r>
              <w:rPr>
                <w:sz w:val="18"/>
              </w:rPr>
              <w:t>12</w:t>
            </w:r>
          </w:p>
        </w:tc>
        <w:tc>
          <w:tcPr>
            <w:tcW w:w="1152" w:type="dxa"/>
          </w:tcPr>
          <w:p w14:paraId="353223B5" w14:textId="77777777" w:rsidR="00D23216" w:rsidRDefault="00000000">
            <w:pPr>
              <w:spacing w:after="0"/>
              <w:jc w:val="center"/>
            </w:pPr>
            <w:r>
              <w:rPr>
                <w:sz w:val="18"/>
              </w:rPr>
              <w:t>0–6</w:t>
            </w:r>
          </w:p>
        </w:tc>
      </w:tr>
      <w:tr w:rsidR="00D23216" w14:paraId="24F9F150" w14:textId="77777777">
        <w:trPr>
          <w:jc w:val="center"/>
        </w:trPr>
        <w:tc>
          <w:tcPr>
            <w:tcW w:w="2376" w:type="dxa"/>
          </w:tcPr>
          <w:p w14:paraId="4B3E3B20" w14:textId="77777777" w:rsidR="00D23216" w:rsidRDefault="00000000">
            <w:pPr>
              <w:spacing w:after="0"/>
              <w:jc w:val="left"/>
            </w:pPr>
            <w:r>
              <w:rPr>
                <w:sz w:val="18"/>
              </w:rPr>
              <w:t>PPAC retail petrol</w:t>
            </w:r>
          </w:p>
        </w:tc>
        <w:tc>
          <w:tcPr>
            <w:tcW w:w="1944" w:type="dxa"/>
          </w:tcPr>
          <w:p w14:paraId="2D6F19A3" w14:textId="77777777" w:rsidR="00D23216" w:rsidRDefault="00000000">
            <w:pPr>
              <w:spacing w:after="0"/>
              <w:jc w:val="center"/>
            </w:pPr>
            <w:r>
              <w:rPr>
                <w:sz w:val="18"/>
              </w:rPr>
              <w:t>Delhi retail petrol</w:t>
            </w:r>
          </w:p>
        </w:tc>
        <w:tc>
          <w:tcPr>
            <w:tcW w:w="1944" w:type="dxa"/>
          </w:tcPr>
          <w:p w14:paraId="1A3741FB" w14:textId="77777777" w:rsidR="00D23216" w:rsidRDefault="00000000">
            <w:pPr>
              <w:spacing w:after="0"/>
              <w:jc w:val="center"/>
            </w:pPr>
            <w:r>
              <w:rPr>
                <w:sz w:val="18"/>
              </w:rPr>
              <w:t>Brent crude (USD)</w:t>
            </w:r>
          </w:p>
        </w:tc>
        <w:tc>
          <w:tcPr>
            <w:tcW w:w="936" w:type="dxa"/>
          </w:tcPr>
          <w:p w14:paraId="54EB03C3" w14:textId="77777777" w:rsidR="00D23216" w:rsidRDefault="00000000">
            <w:pPr>
              <w:spacing w:after="0"/>
              <w:jc w:val="center"/>
            </w:pPr>
            <w:r>
              <w:rPr>
                <w:sz w:val="18"/>
              </w:rPr>
              <w:t>6</w:t>
            </w:r>
          </w:p>
        </w:tc>
        <w:tc>
          <w:tcPr>
            <w:tcW w:w="1152" w:type="dxa"/>
          </w:tcPr>
          <w:p w14:paraId="56FC37EA" w14:textId="77777777" w:rsidR="00D23216" w:rsidRDefault="00000000">
            <w:pPr>
              <w:spacing w:after="0"/>
              <w:jc w:val="center"/>
            </w:pPr>
            <w:r>
              <w:rPr>
                <w:sz w:val="18"/>
              </w:rPr>
              <w:t>0–4</w:t>
            </w:r>
          </w:p>
        </w:tc>
      </w:tr>
      <w:tr w:rsidR="00D23216" w14:paraId="26650BF6" w14:textId="77777777">
        <w:trPr>
          <w:jc w:val="center"/>
        </w:trPr>
        <w:tc>
          <w:tcPr>
            <w:tcW w:w="2376" w:type="dxa"/>
          </w:tcPr>
          <w:p w14:paraId="23AB53B8" w14:textId="77777777" w:rsidR="00D23216" w:rsidRDefault="00000000">
            <w:pPr>
              <w:spacing w:after="0"/>
              <w:jc w:val="left"/>
            </w:pPr>
            <w:r>
              <w:rPr>
                <w:sz w:val="18"/>
              </w:rPr>
              <w:t>CPI Fuel and Light (bridge)</w:t>
            </w:r>
          </w:p>
        </w:tc>
        <w:tc>
          <w:tcPr>
            <w:tcW w:w="1944" w:type="dxa"/>
          </w:tcPr>
          <w:p w14:paraId="7EB78285" w14:textId="77777777" w:rsidR="00D23216" w:rsidRDefault="00000000">
            <w:pPr>
              <w:spacing w:after="0"/>
              <w:jc w:val="center"/>
            </w:pPr>
            <w:r>
              <w:rPr>
                <w:sz w:val="18"/>
              </w:rPr>
              <w:t>CPI Fuel &amp; Light</w:t>
            </w:r>
          </w:p>
        </w:tc>
        <w:tc>
          <w:tcPr>
            <w:tcW w:w="1944" w:type="dxa"/>
          </w:tcPr>
          <w:p w14:paraId="61172FDC" w14:textId="77777777" w:rsidR="00D23216" w:rsidRDefault="00000000">
            <w:pPr>
              <w:spacing w:after="0"/>
              <w:jc w:val="center"/>
            </w:pPr>
            <w:r>
              <w:rPr>
                <w:sz w:val="18"/>
              </w:rPr>
              <w:t>PPAC retail petrol</w:t>
            </w:r>
          </w:p>
        </w:tc>
        <w:tc>
          <w:tcPr>
            <w:tcW w:w="936" w:type="dxa"/>
          </w:tcPr>
          <w:p w14:paraId="5193FB63" w14:textId="77777777" w:rsidR="00D23216" w:rsidRDefault="00000000">
            <w:pPr>
              <w:spacing w:after="0"/>
              <w:jc w:val="center"/>
            </w:pPr>
            <w:r>
              <w:rPr>
                <w:sz w:val="18"/>
              </w:rPr>
              <w:t>6</w:t>
            </w:r>
          </w:p>
        </w:tc>
        <w:tc>
          <w:tcPr>
            <w:tcW w:w="1152" w:type="dxa"/>
          </w:tcPr>
          <w:p w14:paraId="351FF775" w14:textId="77777777" w:rsidR="00D23216" w:rsidRDefault="00000000">
            <w:pPr>
              <w:spacing w:after="0"/>
              <w:jc w:val="center"/>
            </w:pPr>
            <w:r>
              <w:rPr>
                <w:sz w:val="18"/>
              </w:rPr>
              <w:t>0–4</w:t>
            </w:r>
          </w:p>
        </w:tc>
      </w:tr>
      <w:tr w:rsidR="00D23216" w14:paraId="67744201" w14:textId="77777777">
        <w:trPr>
          <w:jc w:val="center"/>
        </w:trPr>
        <w:tc>
          <w:tcPr>
            <w:tcW w:w="2376" w:type="dxa"/>
          </w:tcPr>
          <w:p w14:paraId="0D88A8A6" w14:textId="77777777" w:rsidR="00D23216" w:rsidRDefault="00000000">
            <w:pPr>
              <w:spacing w:after="0"/>
              <w:jc w:val="left"/>
            </w:pPr>
            <w:r>
              <w:rPr>
                <w:sz w:val="18"/>
              </w:rPr>
              <w:t>Headline CPI</w:t>
            </w:r>
          </w:p>
        </w:tc>
        <w:tc>
          <w:tcPr>
            <w:tcW w:w="1944" w:type="dxa"/>
          </w:tcPr>
          <w:p w14:paraId="4EBA9855" w14:textId="77777777" w:rsidR="00D23216" w:rsidRDefault="00000000">
            <w:pPr>
              <w:spacing w:after="0"/>
              <w:jc w:val="center"/>
            </w:pPr>
            <w:r>
              <w:rPr>
                <w:sz w:val="18"/>
              </w:rPr>
              <w:t>Headline CPI</w:t>
            </w:r>
          </w:p>
        </w:tc>
        <w:tc>
          <w:tcPr>
            <w:tcW w:w="1944" w:type="dxa"/>
          </w:tcPr>
          <w:p w14:paraId="6772DF46" w14:textId="77777777" w:rsidR="00D23216" w:rsidRDefault="00000000">
            <w:pPr>
              <w:spacing w:after="0"/>
              <w:jc w:val="center"/>
            </w:pPr>
            <w:r>
              <w:rPr>
                <w:sz w:val="18"/>
              </w:rPr>
              <w:t>Rupee oil price</w:t>
            </w:r>
          </w:p>
        </w:tc>
        <w:tc>
          <w:tcPr>
            <w:tcW w:w="936" w:type="dxa"/>
          </w:tcPr>
          <w:p w14:paraId="3CEC7DEF" w14:textId="77777777" w:rsidR="00D23216" w:rsidRDefault="00000000">
            <w:pPr>
              <w:spacing w:after="0"/>
              <w:jc w:val="center"/>
            </w:pPr>
            <w:r>
              <w:rPr>
                <w:sz w:val="18"/>
              </w:rPr>
              <w:t>6</w:t>
            </w:r>
          </w:p>
        </w:tc>
        <w:tc>
          <w:tcPr>
            <w:tcW w:w="1152" w:type="dxa"/>
          </w:tcPr>
          <w:p w14:paraId="57A81D2E" w14:textId="77777777" w:rsidR="00D23216" w:rsidRDefault="00000000">
            <w:pPr>
              <w:spacing w:after="0"/>
              <w:jc w:val="center"/>
            </w:pPr>
            <w:r>
              <w:rPr>
                <w:sz w:val="18"/>
              </w:rPr>
              <w:t>0–4</w:t>
            </w:r>
          </w:p>
        </w:tc>
      </w:tr>
    </w:tbl>
    <w:p w14:paraId="72150776" w14:textId="77777777" w:rsidR="00D23216" w:rsidRDefault="00000000">
      <w:pPr>
        <w:spacing w:after="200"/>
      </w:pPr>
      <w:r>
        <w:rPr>
          <w:i/>
          <w:sz w:val="20"/>
        </w:rPr>
        <w:t>Notes: Each layer is estimated as a separate asymmetric ADL specification. The shock variable differs by layer: rupee oil price for the WPI and headline CPI specifications, Brent crude for the retail petrol mechanism, and PPAC retail petrol for the CPI Fuel and Light bridge. Calendar-month fixed effects, an activity control, and (where applicable) the exchange-rate component are included as controls.</w:t>
      </w:r>
    </w:p>
    <w:p w14:paraId="2BCC37AC" w14:textId="77777777" w:rsidR="00D23216" w:rsidRDefault="00000000">
      <w:pPr>
        <w:spacing w:after="40"/>
        <w:jc w:val="center"/>
      </w:pPr>
      <w:r>
        <w:rPr>
          <w:noProof/>
        </w:rPr>
        <w:drawing>
          <wp:inline distT="0" distB="0" distL="0" distR="0" wp14:anchorId="16CB9CBE" wp14:editId="1C48F606">
            <wp:extent cx="5029200" cy="2766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wpi_chained_series.png"/>
                    <pic:cNvPicPr/>
                  </pic:nvPicPr>
                  <pic:blipFill>
                    <a:blip r:embed="rId10"/>
                    <a:stretch>
                      <a:fillRect/>
                    </a:stretch>
                  </pic:blipFill>
                  <pic:spPr>
                    <a:xfrm>
                      <a:off x="0" y="0"/>
                      <a:ext cx="5029200" cy="2766060"/>
                    </a:xfrm>
                    <a:prstGeom prst="rect">
                      <a:avLst/>
                    </a:prstGeom>
                  </pic:spPr>
                </pic:pic>
              </a:graphicData>
            </a:graphic>
          </wp:inline>
        </w:drawing>
      </w:r>
    </w:p>
    <w:p w14:paraId="54809A6C" w14:textId="77777777" w:rsidR="00D23216" w:rsidRDefault="00000000">
      <w:pPr>
        <w:pStyle w:val="Caption"/>
        <w:jc w:val="center"/>
      </w:pPr>
      <w:r>
        <w:rPr>
          <w:i/>
        </w:rPr>
        <w:t>Figure 3.1: Chained headline WPI and Fuel and Power series, rebased to 2011-12 = 100.</w:t>
      </w:r>
    </w:p>
    <w:p w14:paraId="64B11260" w14:textId="77777777" w:rsidR="00D23216" w:rsidRDefault="00000000">
      <w:pPr>
        <w:spacing w:after="40"/>
        <w:jc w:val="center"/>
      </w:pPr>
      <w:r>
        <w:rPr>
          <w:noProof/>
        </w:rPr>
        <w:drawing>
          <wp:inline distT="0" distB="0" distL="0" distR="0" wp14:anchorId="36130538" wp14:editId="12BC024C">
            <wp:extent cx="50292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oil_decomposition.png"/>
                    <pic:cNvPicPr/>
                  </pic:nvPicPr>
                  <pic:blipFill>
                    <a:blip r:embed="rId11"/>
                    <a:stretch>
                      <a:fillRect/>
                    </a:stretch>
                  </pic:blipFill>
                  <pic:spPr>
                    <a:xfrm>
                      <a:off x="0" y="0"/>
                      <a:ext cx="5029200" cy="2514600"/>
                    </a:xfrm>
                    <a:prstGeom prst="rect">
                      <a:avLst/>
                    </a:prstGeom>
                  </pic:spPr>
                </pic:pic>
              </a:graphicData>
            </a:graphic>
          </wp:inline>
        </w:drawing>
      </w:r>
    </w:p>
    <w:p w14:paraId="781AD15A" w14:textId="77777777" w:rsidR="00D23216" w:rsidRDefault="00000000">
      <w:pPr>
        <w:pStyle w:val="Caption"/>
        <w:jc w:val="center"/>
      </w:pPr>
      <w:r>
        <w:rPr>
          <w:i/>
        </w:rPr>
        <w:t>Figure 3.2: Decomposition of the rupee oil price into Brent and INR/USD contributions.</w:t>
      </w:r>
    </w:p>
    <w:p w14:paraId="37DE59CA" w14:textId="77777777" w:rsidR="00D23216" w:rsidRDefault="00000000">
      <w:r>
        <w:br w:type="page"/>
      </w:r>
    </w:p>
    <w:p w14:paraId="68276A08" w14:textId="77777777" w:rsidR="00D23216" w:rsidRDefault="00000000">
      <w:pPr>
        <w:pStyle w:val="Heading1"/>
      </w:pPr>
      <w:bookmarkStart w:id="21" w:name="_Toc228196703"/>
      <w:r>
        <w:rPr>
          <w:rFonts w:ascii="Times New Roman" w:hAnsi="Times New Roman"/>
        </w:rPr>
        <w:lastRenderedPageBreak/>
        <w:t>Chapter 4</w:t>
      </w:r>
      <w:r>
        <w:rPr>
          <w:rFonts w:ascii="Times New Roman" w:hAnsi="Times New Roman"/>
        </w:rPr>
        <w:br/>
        <w:t>Empirical Methodology</w:t>
      </w:r>
      <w:bookmarkEnd w:id="21"/>
    </w:p>
    <w:p w14:paraId="4B1B91F8" w14:textId="77777777" w:rsidR="00D23216" w:rsidRDefault="00000000">
      <w:pPr>
        <w:pStyle w:val="Heading2"/>
      </w:pPr>
      <w:bookmarkStart w:id="22" w:name="_Toc228196704"/>
      <w:r>
        <w:rPr>
          <w:rFonts w:ascii="Times New Roman" w:hAnsi="Times New Roman"/>
        </w:rPr>
        <w:t>4.1 Main ADL Specification</w:t>
      </w:r>
      <w:bookmarkEnd w:id="22"/>
    </w:p>
    <w:p w14:paraId="7BBBA17F" w14:textId="77777777" w:rsidR="00D23216" w:rsidRDefault="00000000">
      <w:r>
        <w:t>The main empirical strategy is a short-run asymmetric autoregressive distributed lag model in log differences. The asymmetry is introduced by splitting the rupee oil log difference into positive and negative components, following the decomposition convention of Shin, Yu, and Greenwood-Nimmo (2014). Writing the rupee oil log difference as in equation (4.1),</w:t>
      </w:r>
    </w:p>
    <w:p w14:paraId="682F6D23" w14:textId="77777777" w:rsidR="00D23216" w:rsidRDefault="00000000">
      <w:pPr>
        <w:tabs>
          <w:tab w:val="center" w:pos="4230"/>
          <w:tab w:val="right" w:pos="8460"/>
        </w:tabs>
        <w:spacing w:before="120"/>
      </w:pPr>
      <w:r>
        <w:tab/>
      </w: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 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e>
        </m:d>
      </m:oMath>
      <w:r>
        <w:tab/>
        <w:t>(4.1)</w:t>
      </w:r>
    </w:p>
    <w:p w14:paraId="7E7AB60C" w14:textId="77777777" w:rsidR="00D23216" w:rsidRDefault="00000000">
      <w:r>
        <w:t>the positive and negative components are defined in equation (4.2).</w:t>
      </w:r>
    </w:p>
    <w:p w14:paraId="44A6DE80" w14:textId="77777777" w:rsidR="00D23216" w:rsidRDefault="00000000">
      <w:pPr>
        <w:tabs>
          <w:tab w:val="center" w:pos="4230"/>
          <w:tab w:val="right" w:pos="8460"/>
        </w:tabs>
        <w:spacing w:before="120"/>
      </w:pPr>
      <w:r>
        <w:tab/>
      </w:r>
      <m:oMath>
        <m:sSup>
          <m:sSupPr>
            <m:ctrlPr>
              <w:rPr>
                <w:rFonts w:ascii="Cambria Math" w:hAnsi="Cambria Math"/>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m:t>
            </m:r>
          </m:sup>
        </m:sSup>
        <m:r>
          <w:rPr>
            <w:rFonts w:ascii="Cambria Math" w:hAnsi="Cambria Math"/>
          </w:rPr>
          <m:t xml:space="preserve"> = max</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0</m:t>
            </m:r>
          </m:e>
        </m:d>
        <m:r>
          <w:rPr>
            <w:rFonts w:ascii="Cambria Math" w:hAnsi="Cambria Math"/>
          </w:rPr>
          <m:t xml:space="preserve">,     </m:t>
        </m:r>
        <m:sSup>
          <m:sSupPr>
            <m:ctrlPr>
              <w:rPr>
                <w:rFonts w:ascii="Cambria Math" w:hAnsi="Cambria Math"/>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m:t>
            </m:r>
          </m:sup>
        </m:sSup>
        <m:r>
          <w:rPr>
            <w:rFonts w:ascii="Cambria Math" w:hAnsi="Cambria Math"/>
          </w:rPr>
          <m:t xml:space="preserve"> = min</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0</m:t>
            </m:r>
          </m:e>
        </m:d>
      </m:oMath>
      <w:r>
        <w:tab/>
        <w:t>(4.2)</w:t>
      </w:r>
    </w:p>
    <w:p w14:paraId="50B29CCE" w14:textId="77777777" w:rsidR="00D23216" w:rsidRDefault="00000000">
      <w:r>
        <w:t>By construction the two components sum back to the original log difference, which preserves the standard interpretation of the underlying shock. The general estimating equation has the form given in equation (4.3).</w:t>
      </w:r>
    </w:p>
    <w:p w14:paraId="6F366F89" w14:textId="64EFDF63" w:rsidR="00D23216" w:rsidRDefault="00000000">
      <w:pPr>
        <w:tabs>
          <w:tab w:val="center" w:pos="4230"/>
          <w:tab w:val="right" w:pos="8460"/>
        </w:tabs>
        <w:spacing w:before="120"/>
      </w:pPr>
      <w:r>
        <w:tab/>
      </w: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α + </m:t>
        </m:r>
        <m:nary>
          <m:naryPr>
            <m:chr m:val="∑"/>
            <m:limLoc m:val="undOvr"/>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xml:space="preserve"> Δ</m:t>
            </m:r>
            <m:sSub>
              <m:sSubPr>
                <m:ctrlPr>
                  <w:rPr>
                    <w:rFonts w:ascii="Cambria Math" w:hAnsi="Cambria Math"/>
                  </w:rPr>
                </m:ctrlPr>
              </m:sSubPr>
              <m:e>
                <m:r>
                  <w:rPr>
                    <w:rFonts w:ascii="Cambria Math" w:hAnsi="Cambria Math"/>
                  </w:rPr>
                  <m:t>y</m:t>
                </m:r>
              </m:e>
              <m:sub>
                <m:r>
                  <w:rPr>
                    <w:rFonts w:ascii="Cambria Math" w:hAnsi="Cambria Math"/>
                  </w:rPr>
                  <m:t>t-i</m:t>
                </m:r>
              </m:sub>
            </m:sSub>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Δx</m:t>
                    </m:r>
                  </m:e>
                  <m:sub>
                    <m:r>
                      <w:rPr>
                        <w:rFonts w:ascii="Cambria Math" w:hAnsi="Cambria Math"/>
                      </w:rPr>
                      <m:t>t-j</m:t>
                    </m:r>
                  </m:sub>
                </m:sSub>
              </m:e>
              <m:sup>
                <m:r>
                  <w:rPr>
                    <w:rFonts w:ascii="Cambria Math" w:hAnsi="Cambria Math"/>
                  </w:rPr>
                  <m:t>+</m:t>
                </m:r>
              </m:sup>
            </m:sSup>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Δx</m:t>
                    </m:r>
                  </m:e>
                  <m:sub>
                    <m:r>
                      <w:rPr>
                        <w:rFonts w:ascii="Cambria Math" w:hAnsi="Cambria Math"/>
                      </w:rPr>
                      <m:t>t-j</m:t>
                    </m:r>
                  </m:sub>
                </m:sSub>
              </m:e>
              <m:sup>
                <m:r>
                  <w:rPr>
                    <w:rFonts w:ascii="Cambria Math" w:hAnsi="Cambria Math"/>
                  </w:rPr>
                  <m:t>-</m:t>
                </m:r>
              </m:sup>
            </m:sSup>
          </m:e>
        </m:nary>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Z</m:t>
                </m:r>
              </m:e>
              <m:sub>
                <m:r>
                  <w:rPr>
                    <w:rFonts w:ascii="Cambria Math" w:hAnsi="Cambria Math"/>
                  </w:rPr>
                  <m:t>t</m:t>
                </m:r>
              </m:sub>
            </m:sSub>
          </m:e>
          <m:sup>
            <m:r>
              <w:rPr>
                <w:rFonts w:ascii="Cambria Math" w:hAnsi="Cambria Math"/>
              </w:rPr>
              <m:t>'</m:t>
            </m:r>
          </m:sup>
        </m:sSup>
        <m:r>
          <w:rPr>
            <w:rFonts w:ascii="Cambria Math" w:hAnsi="Cambria Math"/>
          </w:rPr>
          <m:t xml:space="preserve"> γ + </m:t>
        </m:r>
        <m:sSub>
          <m:sSubPr>
            <m:ctrlPr>
              <w:rPr>
                <w:rFonts w:ascii="Cambria Math" w:hAnsi="Cambria Math"/>
              </w:rPr>
            </m:ctrlPr>
          </m:sSubPr>
          <m:e>
            <m:r>
              <w:rPr>
                <w:rFonts w:ascii="Cambria Math" w:hAnsi="Cambria Math"/>
              </w:rPr>
              <m:t>μ</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t</m:t>
            </m:r>
          </m:sub>
        </m:sSub>
      </m:oMath>
      <w:r>
        <w:tab/>
      </w:r>
      <w:r w:rsidR="001D4734">
        <w:tab/>
      </w:r>
      <w:r>
        <w:t>(4.3)</w:t>
      </w:r>
    </w:p>
    <w:p w14:paraId="1661DFC5" w14:textId="77777777" w:rsidR="00D23216" w:rsidRDefault="00000000">
      <w:r>
        <w:t>In equation (4.3), Δy</w:t>
      </w:r>
      <w:r>
        <w:rPr>
          <w:vertAlign w:val="subscript"/>
        </w:rPr>
        <w:t>t</w:t>
      </w:r>
      <w:r>
        <w:t xml:space="preserve"> is the dependent log difference, the φ</w:t>
      </w:r>
      <w:r>
        <w:rPr>
          <w:vertAlign w:val="subscript"/>
        </w:rPr>
        <w:t>i</w:t>
      </w:r>
      <w:r>
        <w:t xml:space="preserve"> are own-lag coefficients with own-lag order p, the β</w:t>
      </w:r>
      <w:r>
        <w:rPr>
          <w:vertAlign w:val="subscript"/>
        </w:rPr>
        <w:t>j</w:t>
      </w:r>
      <w:r>
        <w:rPr>
          <w:vertAlign w:val="superscript"/>
        </w:rPr>
        <w:t>+</w:t>
      </w:r>
      <w:r>
        <w:t xml:space="preserve"> and β</w:t>
      </w:r>
      <w:r>
        <w:rPr>
          <w:vertAlign w:val="subscript"/>
        </w:rPr>
        <w:t>j</w:t>
      </w:r>
      <w:r>
        <w:rPr>
          <w:vertAlign w:val="superscript"/>
        </w:rPr>
        <w:t>−</w:t>
      </w:r>
      <w:r>
        <w:t xml:space="preserve"> are the asymmetric distributed-lag coefficients on the positive and negative oil components with distributed-lag order q, Z</w:t>
      </w:r>
      <w:r>
        <w:rPr>
          <w:vertAlign w:val="subscript"/>
        </w:rPr>
        <w:t>t</w:t>
      </w:r>
      <w:r>
        <w:t xml:space="preserve"> is a vector of controls (including, where applicable, the exchange-rate component, an activity control, and lagged inflation), μ</w:t>
      </w:r>
      <w:r>
        <w:rPr>
          <w:vertAlign w:val="subscript"/>
        </w:rPr>
        <w:t>m</w:t>
      </w:r>
      <w:r>
        <w:t xml:space="preserve"> are calendar-month fixed effects, and ε</w:t>
      </w:r>
      <w:r>
        <w:rPr>
          <w:vertAlign w:val="subscript"/>
        </w:rPr>
        <w:t>t</w:t>
      </w:r>
      <w:r>
        <w:t xml:space="preserve"> is the residual. For the headline WPI specifications, the model uses twelve own lags and oil lags from zero to six. The same lag structure is retained for WPI Fuel and Power. For the PPAC retail petrol and headline CPI specifications, the lag structure follows the channel-mechanism model-gate specifications and is not re-tuned ex post. The CPI Fuel and Light bridge inherits the same structure as the headline CPI specifications because of its shorter sample.</w:t>
      </w:r>
    </w:p>
    <w:p w14:paraId="43D24BED" w14:textId="77777777" w:rsidR="00D23216" w:rsidRDefault="00000000">
      <w:r>
        <w:t>Cumulative pass-through coefficients are then constructed by summing the lag coefficients on the relevant component, as in equation (4.4).</w:t>
      </w:r>
    </w:p>
    <w:p w14:paraId="75B7A83F" w14:textId="77777777" w:rsidR="00D23216" w:rsidRDefault="00000000">
      <w:pPr>
        <w:tabs>
          <w:tab w:val="center" w:pos="4230"/>
          <w:tab w:val="right" w:pos="8460"/>
        </w:tabs>
        <w:spacing w:before="120"/>
      </w:pPr>
      <w:r>
        <w:lastRenderedPageBreak/>
        <w:tab/>
      </w:r>
      <m:oMath>
        <m:sSup>
          <m:sSupPr>
            <m:ctrlPr>
              <w:rPr>
                <w:rFonts w:ascii="Cambria Math" w:hAnsi="Cambria Math"/>
              </w:rPr>
            </m:ctrlPr>
          </m:sSupPr>
          <m:e>
            <m:r>
              <w:rPr>
                <w:rFonts w:ascii="Cambria Math" w:hAnsi="Cambria Math"/>
              </w:rPr>
              <m:t>CPT</m:t>
            </m:r>
          </m:e>
          <m:sup>
            <m:r>
              <w:rPr>
                <w:rFonts w:ascii="Cambria Math" w:hAnsi="Cambria Math"/>
              </w:rPr>
              <m:t>+</m:t>
            </m:r>
          </m:sup>
        </m:sSup>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e>
        </m:nary>
        <m:r>
          <w:rPr>
            <w:rFonts w:ascii="Cambria Math" w:hAnsi="Cambria Math"/>
          </w:rPr>
          <m:t xml:space="preserve">,     </m:t>
        </m:r>
        <m:sSup>
          <m:sSupPr>
            <m:ctrlPr>
              <w:rPr>
                <w:rFonts w:ascii="Cambria Math" w:hAnsi="Cambria Math"/>
              </w:rPr>
            </m:ctrlPr>
          </m:sSupPr>
          <m:e>
            <m:r>
              <w:rPr>
                <w:rFonts w:ascii="Cambria Math" w:hAnsi="Cambria Math"/>
              </w:rPr>
              <m:t>CPT</m:t>
            </m:r>
          </m:e>
          <m:sup>
            <m:r>
              <w:rPr>
                <w:rFonts w:ascii="Cambria Math" w:hAnsi="Cambria Math"/>
              </w:rPr>
              <m:t>-</m:t>
            </m:r>
          </m:sup>
        </m:sSup>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e>
        </m:nary>
      </m:oMath>
      <w:r>
        <w:tab/>
        <w:t>(4.4)</w:t>
      </w:r>
    </w:p>
    <w:p w14:paraId="21BE8155" w14:textId="77777777" w:rsidR="00D23216" w:rsidRDefault="00000000">
      <w:r>
        <w:t>Plain interpretation is straightforward. A CPT+ of 0.030 means that a one percent positive rupee-oil shock is associated with about a 0.03 percent cumulative increase in the dependent price index over the model's lag window, holding the model's controls fixed; a CPT+ of 0.287 means that a one percent positive shock is associated with about a 0.287 percent cumulative increase, and so on for the other layers.</w:t>
      </w:r>
    </w:p>
    <w:p w14:paraId="24746AE1" w14:textId="77777777" w:rsidR="00D23216" w:rsidRDefault="00000000">
      <w:pPr>
        <w:pStyle w:val="Heading2"/>
      </w:pPr>
      <w:bookmarkStart w:id="23" w:name="_Toc228196705"/>
      <w:r>
        <w:rPr>
          <w:rFonts w:ascii="Times New Roman" w:hAnsi="Times New Roman"/>
        </w:rPr>
        <w:t>4.2 Inference</w:t>
      </w:r>
      <w:bookmarkEnd w:id="23"/>
    </w:p>
    <w:p w14:paraId="2134FAC7" w14:textId="77777777" w:rsidR="00D23216" w:rsidRDefault="00000000">
      <w:r>
        <w:t>Inference uses Newey-West heteroscedasticity-and-autocorrelation-consistent standard errors for both individual coefficient tests and the cumulative restriction tests. The HAC covariance estimator is the standard one of Newey and West (1987) with a Bartlett kernel and a data-dependent bandwidth. Three formal tests are reported for each layer: whether CPT+ differs from zero, whether CPT- differs from zero, and whether CPT+ equals CPT-. The first two tests are the standard cumulative pass-through tests; the third is a Wald symmetry test of the joint linear restriction in equation (4.5).</w:t>
      </w:r>
    </w:p>
    <w:p w14:paraId="0885713F" w14:textId="77777777" w:rsidR="00D23216" w:rsidRDefault="00000000">
      <w:pPr>
        <w:tabs>
          <w:tab w:val="center" w:pos="4230"/>
          <w:tab w:val="right" w:pos="8460"/>
        </w:tabs>
        <w:spacing w:before="120"/>
      </w:pPr>
      <w:r>
        <w:tab/>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sSup>
          <m:sSupPr>
            <m:ctrlPr>
              <w:rPr>
                <w:rFonts w:ascii="Cambria Math" w:hAnsi="Cambria Math"/>
              </w:rPr>
            </m:ctrlPr>
          </m:sSupPr>
          <m:e>
            <m:r>
              <w:rPr>
                <w:rFonts w:ascii="Cambria Math" w:hAnsi="Cambria Math"/>
              </w:rPr>
              <m:t>CPT</m:t>
            </m:r>
          </m:e>
          <m:sup>
            <m:r>
              <w:rPr>
                <w:rFonts w:ascii="Cambria Math" w:hAnsi="Cambria Math"/>
              </w:rPr>
              <m:t>+</m:t>
            </m:r>
          </m:sup>
        </m:sSup>
        <m:r>
          <w:rPr>
            <w:rFonts w:ascii="Cambria Math" w:hAnsi="Cambria Math"/>
          </w:rPr>
          <m:t xml:space="preserve"> = </m:t>
        </m:r>
        <m:sSup>
          <m:sSupPr>
            <m:ctrlPr>
              <w:rPr>
                <w:rFonts w:ascii="Cambria Math" w:hAnsi="Cambria Math"/>
              </w:rPr>
            </m:ctrlPr>
          </m:sSupPr>
          <m:e>
            <m:r>
              <w:rPr>
                <w:rFonts w:ascii="Cambria Math" w:hAnsi="Cambria Math"/>
              </w:rPr>
              <m:t>CPT</m:t>
            </m:r>
          </m:e>
          <m:sup>
            <m:r>
              <w:rPr>
                <w:rFonts w:ascii="Cambria Math" w:hAnsi="Cambria Math"/>
              </w:rPr>
              <m:t>-</m:t>
            </m:r>
          </m:sup>
        </m:sSup>
      </m:oMath>
      <w:r>
        <w:tab/>
        <w:t>(4.5)</w:t>
      </w:r>
    </w:p>
    <w:p w14:paraId="02564646" w14:textId="77777777" w:rsidR="00D23216" w:rsidRDefault="00000000">
      <w:r>
        <w:t>Symmetry is also assessed using a restricted-residual circular block bootstrap with 4,999 replications. The bootstrap p-values reported in the results chapter for the headline WPI, WPI Fuel and Power, and headline CPI models are 0.746, 0.820, and 0.500 respectively, none of which support a rejection of the null of symmetric short-run pass-through. The bootstrap is restricted-residual to preserve the imposed null structure under resampling, and the circular block is used to retain the within-block autocorrelation of the residual process. Where the asymptotic and the bootstrap p-values disagree by a non-trivial margin, the bootstrap is treated as the more conservative reading.</w:t>
      </w:r>
    </w:p>
    <w:p w14:paraId="42D28A60" w14:textId="77777777" w:rsidR="00D23216" w:rsidRDefault="00000000">
      <w:pPr>
        <w:pStyle w:val="Heading2"/>
      </w:pPr>
      <w:bookmarkStart w:id="24" w:name="_Toc228196706"/>
      <w:r>
        <w:rPr>
          <w:rFonts w:ascii="Times New Roman" w:hAnsi="Times New Roman"/>
        </w:rPr>
        <w:t>4.3 Stationarity and Lag Selection</w:t>
      </w:r>
      <w:bookmarkEnd w:id="24"/>
    </w:p>
    <w:p w14:paraId="22135F65" w14:textId="77777777" w:rsidR="00D23216" w:rsidRDefault="00000000">
      <w:r>
        <w:t xml:space="preserve">Because the main specifications operate on log differences rather than on levels, the integration order of the underlying series is less binding than it would be for a levels regression. Nevertheless, the unit root battery is reported for completeness. The augmented Dickey-Fuller, Phillips-Perron, and KPSS tests of Kwiatkowski, Phillips, Schmidt, and Shin (1992) are reported for each series in levels and in first differences. </w:t>
      </w:r>
      <w:r>
        <w:lastRenderedPageBreak/>
        <w:t>The combined evidence supports treating the rupee oil price, headline WPI, WPI Fuel and Power, PPAC retail petrol, and headline CPI as integrated of order one in levels and stationary in first differences, which is the standard requirement for the differenced ADL specification. The Zivot-Andrews test is reported for the same series with an endogenous break, and the implied break dates cluster around the well-known regime episodes referenced in Chapter 2.</w:t>
      </w:r>
    </w:p>
    <w:p w14:paraId="5C3F59FD" w14:textId="77777777" w:rsidR="00D23216" w:rsidRDefault="00000000">
      <w:r>
        <w:t>Lag selection in the main specifications follows the model-gate and lag-selection tables produced for each layer. The own-lag order is set to twelve for the long WPI specifications to capture annual seasonality even after month fixed effects are imposed; the distributed-lag order on the oil components is set to six for the wholesale specifications and is inherited from the channel-mechanism model-gate specifications for the retail petrol, CPI Fuel and Light, and headline CPI layers. Information criteria (AIC, BIC, and HQIC) and a sequence of nested Wald tests on the longest insignificant lag confirm that these choices are not extreme; results are stable when the distributed-lag order is varied between four and eight.</w:t>
      </w:r>
    </w:p>
    <w:p w14:paraId="056C36E0" w14:textId="77777777" w:rsidR="00D23216" w:rsidRDefault="00000000">
      <w:pPr>
        <w:pStyle w:val="Heading2"/>
      </w:pPr>
      <w:bookmarkStart w:id="25" w:name="_Toc228196707"/>
      <w:r>
        <w:rPr>
          <w:rFonts w:ascii="Times New Roman" w:hAnsi="Times New Roman"/>
        </w:rPr>
        <w:t>4.4 NARDL as Supplementary Evidence</w:t>
      </w:r>
      <w:bookmarkEnd w:id="25"/>
    </w:p>
    <w:p w14:paraId="2381DB6F" w14:textId="77777777" w:rsidR="00D23216" w:rsidRDefault="00000000">
      <w:r>
        <w:t>The dissertation also estimates a nonlinear ARDL battery in levels following the bounds-testing framework of Pesaran, Shin, and Smith (2001) and the asymmetric decomposition of Shin, Yu, and Greenwood-Nimmo (2014). The NARDL specifications provide long-run supplementary evidence and are summarised in the robustness chapter rather than treated as primary identification, because the main conclusions are based on the differenced ADL specifications: the differenced specifications are easier to interpret, less dependent on the level-series integration assumptions, and directly aligned with month-on-month inflation dynamics. The bounds critical values, the long-run asymmetry tests, and the error-correction terms produced by the NARDL battery are described in summary form in Section 6.1, with the error-correction terms read only as descriptive statistics rather than as structural disequilibrium parameters.</w:t>
      </w:r>
    </w:p>
    <w:p w14:paraId="47CC03AC" w14:textId="77777777" w:rsidR="00D23216" w:rsidRDefault="00000000">
      <w:r>
        <w:t xml:space="preserve">Two additional tools are used in support of interpretation rather than as identification claims. Granger-causality tests are reported for oil to WPI and oil to Fuel and Power. They support a directional reading of the chain but do not establish structural causality. Bai-Perron structural break tests are used to verify that the empirical samples are not </w:t>
      </w:r>
      <w:r>
        <w:lastRenderedPageBreak/>
        <w:t>dominated by a single regime change in the relationship between rupee oil prices and the dependent series; where breaks are detected, the pre/post-2010 wholesale split addresses them in the most institutionally relevant way.</w:t>
      </w:r>
    </w:p>
    <w:p w14:paraId="78B5A8DC" w14:textId="77777777" w:rsidR="00D23216" w:rsidRDefault="00000000">
      <w:r>
        <w:br w:type="page"/>
      </w:r>
    </w:p>
    <w:p w14:paraId="6C1BF5C8" w14:textId="77777777" w:rsidR="00D23216" w:rsidRDefault="00000000">
      <w:pPr>
        <w:pStyle w:val="Heading1"/>
      </w:pPr>
      <w:bookmarkStart w:id="26" w:name="_Toc228196708"/>
      <w:r>
        <w:rPr>
          <w:rFonts w:ascii="Times New Roman" w:hAnsi="Times New Roman"/>
        </w:rPr>
        <w:lastRenderedPageBreak/>
        <w:t>Chapter 5</w:t>
      </w:r>
      <w:r>
        <w:rPr>
          <w:rFonts w:ascii="Times New Roman" w:hAnsi="Times New Roman"/>
        </w:rPr>
        <w:br/>
        <w:t>Results</w:t>
      </w:r>
      <w:bookmarkEnd w:id="26"/>
    </w:p>
    <w:p w14:paraId="07B0EF39" w14:textId="77777777" w:rsidR="00D23216" w:rsidRDefault="00000000">
      <w:pPr>
        <w:pStyle w:val="Heading2"/>
      </w:pPr>
      <w:bookmarkStart w:id="27" w:name="_Toc228196709"/>
      <w:r>
        <w:rPr>
          <w:rFonts w:ascii="Times New Roman" w:hAnsi="Times New Roman"/>
        </w:rPr>
        <w:t>5.1 Long-Horizon Headline WPI Results</w:t>
      </w:r>
      <w:bookmarkEnd w:id="27"/>
    </w:p>
    <w:p w14:paraId="29D61109" w14:textId="77777777" w:rsidR="00D23216" w:rsidRDefault="00000000">
      <w:r>
        <w:t>The long-horizon headline WPI specification estimates the asymmetric ADL on the chained WPI series from May 1983 to March 2026, a sample of N = 515 months covering 42.92 years. The model achieves an adjusted R² of 0.421. The cumulative pass-through estimates are CPT+ = 0.030 with p = 0.024, and CPT− = 0.037 with p = 0.001. Both cumulative effects are statistically distinguishable from zero at conventional levels. The asymmetry test gives p = 0.673 under HAC inference and p = 0.746 in the restricted-residual circular block bootstrap, so the headline WPI specification does not support short-run asymmetry.</w:t>
      </w:r>
    </w:p>
    <w:p w14:paraId="14584A02" w14:textId="77777777" w:rsidR="00D23216" w:rsidRDefault="00000000">
      <w:r>
        <w:t>The interpretation is restrained. Headline WPI responds significantly to rupee oil shocks, but the magnitude is small. A one percent positive rupee-oil shock is associated with about a 0.03 percent cumulative response in headline WPI over the lag window, which is statistically visible but quantitatively modest given that fuel and power, mineral oils, and oil-intensive manufactured products together account for a substantial share of the WPI basket. The Brent and exchange-rate decomposition, reported in the headline robustness model, gives a similar conclusion with CPT+ = 0.031 and CPT− = 0.037, which is consistent with the rupee-oil specification and indicates that the headline WPI conclusion is not an artefact of how the shock variable is constructed.</w:t>
      </w:r>
    </w:p>
    <w:p w14:paraId="1A1BE9FF" w14:textId="77777777" w:rsidR="00D23216" w:rsidRDefault="00000000">
      <w:pPr>
        <w:spacing w:after="40"/>
        <w:jc w:val="center"/>
      </w:pPr>
      <w:r>
        <w:rPr>
          <w:noProof/>
        </w:rPr>
        <w:lastRenderedPageBreak/>
        <w:drawing>
          <wp:inline distT="0" distB="0" distL="0" distR="0" wp14:anchorId="51B0E5FD" wp14:editId="0A740696">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cumulative_passthrough.png"/>
                    <pic:cNvPicPr/>
                  </pic:nvPicPr>
                  <pic:blipFill>
                    <a:blip r:embed="rId12"/>
                    <a:stretch>
                      <a:fillRect/>
                    </a:stretch>
                  </pic:blipFill>
                  <pic:spPr>
                    <a:xfrm>
                      <a:off x="0" y="0"/>
                      <a:ext cx="5029200" cy="3771900"/>
                    </a:xfrm>
                    <a:prstGeom prst="rect">
                      <a:avLst/>
                    </a:prstGeom>
                  </pic:spPr>
                </pic:pic>
              </a:graphicData>
            </a:graphic>
          </wp:inline>
        </w:drawing>
      </w:r>
    </w:p>
    <w:p w14:paraId="3BECA91D" w14:textId="77777777" w:rsidR="00D23216" w:rsidRDefault="00000000">
      <w:pPr>
        <w:pStyle w:val="Caption"/>
        <w:jc w:val="center"/>
      </w:pPr>
      <w:r>
        <w:rPr>
          <w:i/>
        </w:rPr>
        <w:t>Figure 5.1: Cumulative pass-through profile for headline WPI from the asymmetric ADL specification.</w:t>
      </w:r>
    </w:p>
    <w:p w14:paraId="01209056" w14:textId="77777777" w:rsidR="00D23216" w:rsidRDefault="00000000">
      <w:pPr>
        <w:pStyle w:val="Heading2"/>
      </w:pPr>
      <w:bookmarkStart w:id="28" w:name="_Toc228196710"/>
      <w:r>
        <w:rPr>
          <w:rFonts w:ascii="Times New Roman" w:hAnsi="Times New Roman"/>
        </w:rPr>
        <w:t>5.2 WPI Fuel and Power</w:t>
      </w:r>
      <w:bookmarkEnd w:id="28"/>
    </w:p>
    <w:p w14:paraId="594DDBB4" w14:textId="77777777" w:rsidR="00D23216" w:rsidRDefault="00000000">
      <w:r>
        <w:t>The WPI Fuel and Power specification is estimated on the chained Fuel and Power series from May 1995 to March 2026, a sample of N = 371 months covering 30.92 years. The model achieves an adjusted R² of 0.463. The cumulative pass-through estimates are CPT+ = 0.287 with p &lt; 0.001 and CPT− = 0.268 with p &lt; 0.001. Both cumulative effects are large and highly significant. The asymmetry test gives p = 0.783 under HAC inference and p = 0.820 in the bootstrap, so the Fuel and Power specification also does not support short-run asymmetry.</w:t>
      </w:r>
    </w:p>
    <w:p w14:paraId="1AF26588" w14:textId="77777777" w:rsidR="00D23216" w:rsidRDefault="00000000">
      <w:r>
        <w:t xml:space="preserve">The fuel-sensitive wholesale layer therefore carries a much larger oil signal than headline WPI. This is expected because the dependent variable is closer to the fuel channel: the Fuel and Power group covers mineral oils, electricity, and coal, all of which are mechanically tied to the rupee oil price either directly or through cross-fuel substitution. The reported coefficient should be read with one caveat. The model fails the HAC RESET functional-form test, which suggests that the linear specification does not fully capture the curvature of the relationship, especially during episodes when administered prices and market-linked prices coexisted within the sample. The exact </w:t>
      </w:r>
      <w:r>
        <w:lastRenderedPageBreak/>
        <w:t>magnitude of CPT+ should therefore be reported with a functional-form caveat, although the sign and the order of magnitude are stable across specifications, lag windows, and sample trims.</w:t>
      </w:r>
    </w:p>
    <w:p w14:paraId="602DC8E1" w14:textId="77777777" w:rsidR="00D23216" w:rsidRDefault="00000000">
      <w:pPr>
        <w:pStyle w:val="Heading2"/>
      </w:pPr>
      <w:bookmarkStart w:id="29" w:name="_Toc228196711"/>
      <w:r>
        <w:rPr>
          <w:rFonts w:ascii="Times New Roman" w:hAnsi="Times New Roman"/>
        </w:rPr>
        <w:t>5.3 Retail Petrol Mechanism</w:t>
      </w:r>
      <w:bookmarkEnd w:id="29"/>
    </w:p>
    <w:p w14:paraId="57803B99" w14:textId="77777777" w:rsidR="00D23216" w:rsidRDefault="00000000">
      <w:r>
        <w:t>The PPAC retail petrol mechanism specification is estimated on the Delhi retail petrol price series from August 2004 to December 2024, a sample of N = 245 months covering 20.42 years. The cumulative pass-through estimates are CPT+ = 0.346 with p &lt; 0.001 and CPT− = 0.191 with p = 0.0002. The asymmetry test gives p = 0.0999, just outside the 5 percent threshold and inside the 10 percent threshold. The diagnostic battery in the channel-diagnostics table is accepted for main-text reporting under the mandatory model gate.</w:t>
      </w:r>
    </w:p>
    <w:p w14:paraId="6D7B50F1" w14:textId="77777777" w:rsidR="00D23216" w:rsidRDefault="00000000">
      <w:r>
        <w:t>The retail petrol layer therefore shows the largest direct pass-through in the chain. A one percent positive rupee-oil shock is associated with about a 0.346 percent cumulative response in Delhi retail petrol over the model's lag window, which is consistent with a market-linked pricing regime in which oil marketing companies revise pump prices frequently. The asymmetry is only marginal; therefore, the dissertation discusses it as suggestive rockets-and-feathers behaviour, in which positive shocks are passed through faster or more fully than negative shocks, but does not claim a strong 5 percent result. The retail petrol layer is the layer where asymmetry, if it exists at all in the chain, is most plausibly located, and its location at this point in the chain rather than at the headline aggregates is itself an empirical regularity worth noting.</w:t>
      </w:r>
    </w:p>
    <w:p w14:paraId="2EDD3120" w14:textId="77777777" w:rsidR="00D23216" w:rsidRDefault="00000000">
      <w:pPr>
        <w:pStyle w:val="Heading2"/>
      </w:pPr>
      <w:bookmarkStart w:id="30" w:name="_Toc228196712"/>
      <w:r>
        <w:rPr>
          <w:rFonts w:ascii="Times New Roman" w:hAnsi="Times New Roman"/>
        </w:rPr>
        <w:t>5.4 CPI Fuel and Light Bridge</w:t>
      </w:r>
      <w:bookmarkEnd w:id="30"/>
    </w:p>
    <w:p w14:paraId="76B270F6" w14:textId="77777777" w:rsidR="00D23216" w:rsidRDefault="00000000">
      <w:r>
        <w:t>The CPI Fuel and Light bridge specification is estimated from May 2011 to December 2024, a sample of N = 164 months covering 13.67 years. The shorter sample is dictated by the harmonised post-2011 CPI series. The cumulative pass-through estimates are CPT+ = 0.178 with p = 0.0021 and CPT− = 0.106 with p = 0.174. The asymmetry test gives p = 0.455. The positive-shock cumulative coefficient is strongly significant; the negative-shock coefficient is not.</w:t>
      </w:r>
    </w:p>
    <w:p w14:paraId="36A4937D" w14:textId="77777777" w:rsidR="00D23216" w:rsidRDefault="00000000">
      <w:r>
        <w:t xml:space="preserve">The CPI Fuel and Light layer therefore confirms that retail fuel movements enter the fuel-sensitive consumer price layer at a magnitude smaller than the retail petrol layer but larger than the headline CPI endpoint. Because the harmonised series begins in </w:t>
      </w:r>
      <w:r>
        <w:lastRenderedPageBreak/>
        <w:t>2011, this evidence is treated as a bridge between PPAC retail petrol and headline CPI rather than as a headline mandate in its own right. The PPAC-to-fuel bridge specification supports this interpretation: retail petrol movements are associated with subsequent CPI Fuel and Light movements in the bridge equation and explain a non-trivial share of their variation, although the bridge Granger test for retail petrol to CPI Fuel and Light does not reject the null at conventional levels (p = 0.113), so the relationship should be read as an estimated bridge response rather than as a strict predictive precedence.</w:t>
      </w:r>
    </w:p>
    <w:p w14:paraId="62BB017E" w14:textId="77777777" w:rsidR="00D23216" w:rsidRDefault="00000000">
      <w:pPr>
        <w:pStyle w:val="Heading2"/>
      </w:pPr>
      <w:bookmarkStart w:id="31" w:name="_Toc228196713"/>
      <w:r>
        <w:rPr>
          <w:rFonts w:ascii="Times New Roman" w:hAnsi="Times New Roman"/>
        </w:rPr>
        <w:t>5.5 Headline CPI Endpoint</w:t>
      </w:r>
      <w:bookmarkEnd w:id="31"/>
    </w:p>
    <w:p w14:paraId="3B352BDF" w14:textId="77777777" w:rsidR="00D23216" w:rsidRDefault="00000000">
      <w:r>
        <w:t>The headline CPI specification is estimated from August 2004 to December 2024, a sample of N = 245 months covering 20.42 years, with an adjusted R² of 0.449. The cumulative pass-through estimates are CPT+ = 0.021 with p = 0.122 and CPT− = 0.001 with p = 0.938. The asymmetry test gives p = 0.241 under HAC inference and p = 0.500 in the restricted-residual circular block bootstrap. None of the cumulative effects are statistically distinguishable from zero at conventional levels.</w:t>
      </w:r>
    </w:p>
    <w:p w14:paraId="01E0CF79" w14:textId="77777777" w:rsidR="00D23216" w:rsidRDefault="00000000">
      <w:r>
        <w:t>Headline CPI is therefore the endpoint where the oil signal becomes weak. The positive coefficient has the expected sign and is of a small but non-zero magnitude, which is consistent with the dilution mechanism predicted by the limited direct fuel weight in the consumer basket and the dominance of food and non-fuel services in household consumption. The dissertation does not claim a strong headline CPI effect. The result is reported as suggestive of limited positive pass-through; the formal reading is that the cumulative pass-through is not statistically distinguishable from zero in the post-2004 sample. This is the most policy-relevant of the layered findings, because headline CPI is the index that anchors the inflation-targeting framework in India.</w:t>
      </w:r>
    </w:p>
    <w:p w14:paraId="2884170C" w14:textId="77777777" w:rsidR="00D23216" w:rsidRDefault="00000000">
      <w:pPr>
        <w:pStyle w:val="Heading2"/>
      </w:pPr>
      <w:bookmarkStart w:id="32" w:name="_Toc228196714"/>
      <w:r>
        <w:rPr>
          <w:rFonts w:ascii="Times New Roman" w:hAnsi="Times New Roman"/>
        </w:rPr>
        <w:t>5.6 Integrated Attenuation Result</w:t>
      </w:r>
      <w:bookmarkEnd w:id="32"/>
    </w:p>
    <w:p w14:paraId="6E74E2C7" w14:textId="77777777" w:rsidR="00D23216" w:rsidRDefault="00000000">
      <w:r>
        <w:t xml:space="preserve">Bringing the layers together produces the central synthesis of this dissertation. Ordering the layers by the magnitude of CPT+, the empirical map is as follows: PPAC retail petrol at 0.346, WPI Fuel and Power at 0.287, the CPI Fuel and Light bridge at 0.178, headline WPI at 0.030, and headline CPI at 0.021 (not significant). The ordering is monotonic in the institutional distance of each layer from the rupee oil price, and the </w:t>
      </w:r>
      <w:r>
        <w:lastRenderedPageBreak/>
        <w:t>drop between the fuel-sensitive layers and the headline aggregates is more than an order of magnitude.</w:t>
      </w:r>
    </w:p>
    <w:p w14:paraId="152CDEB6" w14:textId="77777777" w:rsidR="00D23216" w:rsidRDefault="00000000">
      <w:pPr>
        <w:pStyle w:val="Caption"/>
        <w:jc w:val="left"/>
      </w:pPr>
      <w:r>
        <w:rPr>
          <w:sz w:val="22"/>
        </w:rPr>
        <w:t>Table 5.1: Layer-specific cumulative responses across the four-layer chain</w:t>
      </w:r>
    </w:p>
    <w:tbl>
      <w:tblPr>
        <w:tblStyle w:val="TableGrid"/>
        <w:tblW w:w="8352" w:type="dxa"/>
        <w:jc w:val="center"/>
        <w:tblLayout w:type="fixed"/>
        <w:tblLook w:val="04A0" w:firstRow="1" w:lastRow="0" w:firstColumn="1" w:lastColumn="0" w:noHBand="0" w:noVBand="1"/>
      </w:tblPr>
      <w:tblGrid>
        <w:gridCol w:w="2808"/>
        <w:gridCol w:w="792"/>
        <w:gridCol w:w="1728"/>
        <w:gridCol w:w="1728"/>
        <w:gridCol w:w="1296"/>
      </w:tblGrid>
      <w:tr w:rsidR="00D23216" w14:paraId="20D47736" w14:textId="77777777">
        <w:trPr>
          <w:tblHeader/>
          <w:jc w:val="center"/>
        </w:trPr>
        <w:tc>
          <w:tcPr>
            <w:tcW w:w="2808" w:type="dxa"/>
          </w:tcPr>
          <w:p w14:paraId="7568ADAD" w14:textId="77777777" w:rsidR="00D23216" w:rsidRDefault="00000000">
            <w:pPr>
              <w:spacing w:after="0"/>
              <w:jc w:val="center"/>
            </w:pPr>
            <w:r>
              <w:rPr>
                <w:b/>
                <w:sz w:val="18"/>
              </w:rPr>
              <w:t>Layer</w:t>
            </w:r>
          </w:p>
        </w:tc>
        <w:tc>
          <w:tcPr>
            <w:tcW w:w="792" w:type="dxa"/>
          </w:tcPr>
          <w:p w14:paraId="4BDBC394" w14:textId="77777777" w:rsidR="00D23216" w:rsidRDefault="00000000">
            <w:pPr>
              <w:spacing w:after="0"/>
              <w:jc w:val="center"/>
            </w:pPr>
            <w:r>
              <w:rPr>
                <w:b/>
                <w:sz w:val="18"/>
              </w:rPr>
              <w:t>N</w:t>
            </w:r>
          </w:p>
        </w:tc>
        <w:tc>
          <w:tcPr>
            <w:tcW w:w="1728" w:type="dxa"/>
          </w:tcPr>
          <w:p w14:paraId="48EAD6A9" w14:textId="77777777" w:rsidR="00D23216" w:rsidRDefault="00000000">
            <w:pPr>
              <w:spacing w:after="0"/>
              <w:jc w:val="center"/>
            </w:pPr>
            <w:r>
              <w:rPr>
                <w:b/>
                <w:sz w:val="18"/>
              </w:rPr>
              <w:t>CPT+ (p)</w:t>
            </w:r>
          </w:p>
        </w:tc>
        <w:tc>
          <w:tcPr>
            <w:tcW w:w="1728" w:type="dxa"/>
          </w:tcPr>
          <w:p w14:paraId="7439FFB0" w14:textId="77777777" w:rsidR="00D23216" w:rsidRDefault="00000000">
            <w:pPr>
              <w:spacing w:after="0"/>
              <w:jc w:val="center"/>
            </w:pPr>
            <w:r>
              <w:rPr>
                <w:b/>
                <w:sz w:val="18"/>
              </w:rPr>
              <w:t>CPT− (p)</w:t>
            </w:r>
          </w:p>
        </w:tc>
        <w:tc>
          <w:tcPr>
            <w:tcW w:w="1296" w:type="dxa"/>
          </w:tcPr>
          <w:p w14:paraId="7012EB29" w14:textId="77777777" w:rsidR="00D23216" w:rsidRDefault="00000000">
            <w:pPr>
              <w:spacing w:after="0"/>
              <w:jc w:val="center"/>
            </w:pPr>
            <w:r>
              <w:rPr>
                <w:b/>
                <w:sz w:val="18"/>
              </w:rPr>
              <w:t>Asym. p</w:t>
            </w:r>
          </w:p>
        </w:tc>
      </w:tr>
      <w:tr w:rsidR="00D23216" w14:paraId="1DA0D0EB" w14:textId="77777777">
        <w:trPr>
          <w:jc w:val="center"/>
        </w:trPr>
        <w:tc>
          <w:tcPr>
            <w:tcW w:w="2808" w:type="dxa"/>
          </w:tcPr>
          <w:p w14:paraId="11EE1B13" w14:textId="77777777" w:rsidR="00D23216" w:rsidRDefault="00000000">
            <w:pPr>
              <w:spacing w:after="0"/>
              <w:jc w:val="left"/>
            </w:pPr>
            <w:r>
              <w:rPr>
                <w:sz w:val="18"/>
              </w:rPr>
              <w:t>PPAC retail petrol</w:t>
            </w:r>
          </w:p>
        </w:tc>
        <w:tc>
          <w:tcPr>
            <w:tcW w:w="792" w:type="dxa"/>
          </w:tcPr>
          <w:p w14:paraId="7691742D" w14:textId="77777777" w:rsidR="00D23216" w:rsidRDefault="00000000">
            <w:pPr>
              <w:spacing w:after="0"/>
              <w:jc w:val="center"/>
            </w:pPr>
            <w:r>
              <w:rPr>
                <w:sz w:val="18"/>
              </w:rPr>
              <w:t>245</w:t>
            </w:r>
          </w:p>
        </w:tc>
        <w:tc>
          <w:tcPr>
            <w:tcW w:w="1728" w:type="dxa"/>
          </w:tcPr>
          <w:p w14:paraId="4522DF1A" w14:textId="77777777" w:rsidR="00D23216" w:rsidRDefault="00000000">
            <w:pPr>
              <w:spacing w:after="0"/>
              <w:jc w:val="center"/>
            </w:pPr>
            <w:r>
              <w:rPr>
                <w:sz w:val="18"/>
              </w:rPr>
              <w:t>0.346 (&lt;0.001)</w:t>
            </w:r>
          </w:p>
        </w:tc>
        <w:tc>
          <w:tcPr>
            <w:tcW w:w="1728" w:type="dxa"/>
          </w:tcPr>
          <w:p w14:paraId="65D5D2EB" w14:textId="77777777" w:rsidR="00D23216" w:rsidRDefault="00000000">
            <w:pPr>
              <w:spacing w:after="0"/>
              <w:jc w:val="center"/>
            </w:pPr>
            <w:r>
              <w:rPr>
                <w:sz w:val="18"/>
              </w:rPr>
              <w:t>0.191 (0.0002)</w:t>
            </w:r>
          </w:p>
        </w:tc>
        <w:tc>
          <w:tcPr>
            <w:tcW w:w="1296" w:type="dxa"/>
          </w:tcPr>
          <w:p w14:paraId="57095F7B" w14:textId="77777777" w:rsidR="00D23216" w:rsidRDefault="00000000">
            <w:pPr>
              <w:spacing w:after="0"/>
              <w:jc w:val="center"/>
            </w:pPr>
            <w:r>
              <w:rPr>
                <w:sz w:val="18"/>
              </w:rPr>
              <w:t>0.0999</w:t>
            </w:r>
          </w:p>
        </w:tc>
      </w:tr>
      <w:tr w:rsidR="00D23216" w14:paraId="585AB352" w14:textId="77777777">
        <w:trPr>
          <w:jc w:val="center"/>
        </w:trPr>
        <w:tc>
          <w:tcPr>
            <w:tcW w:w="2808" w:type="dxa"/>
          </w:tcPr>
          <w:p w14:paraId="3D7B9C0A" w14:textId="77777777" w:rsidR="00D23216" w:rsidRDefault="00000000">
            <w:pPr>
              <w:spacing w:after="0"/>
              <w:jc w:val="left"/>
            </w:pPr>
            <w:r>
              <w:rPr>
                <w:sz w:val="18"/>
              </w:rPr>
              <w:t>WPI Fuel and Power</w:t>
            </w:r>
          </w:p>
        </w:tc>
        <w:tc>
          <w:tcPr>
            <w:tcW w:w="792" w:type="dxa"/>
          </w:tcPr>
          <w:p w14:paraId="4A1E0F36" w14:textId="77777777" w:rsidR="00D23216" w:rsidRDefault="00000000">
            <w:pPr>
              <w:spacing w:after="0"/>
              <w:jc w:val="center"/>
            </w:pPr>
            <w:r>
              <w:rPr>
                <w:sz w:val="18"/>
              </w:rPr>
              <w:t>371</w:t>
            </w:r>
          </w:p>
        </w:tc>
        <w:tc>
          <w:tcPr>
            <w:tcW w:w="1728" w:type="dxa"/>
          </w:tcPr>
          <w:p w14:paraId="7E3A73D0" w14:textId="77777777" w:rsidR="00D23216" w:rsidRDefault="00000000">
            <w:pPr>
              <w:spacing w:after="0"/>
              <w:jc w:val="center"/>
            </w:pPr>
            <w:r>
              <w:rPr>
                <w:sz w:val="18"/>
              </w:rPr>
              <w:t>0.287 (&lt;0.001)</w:t>
            </w:r>
          </w:p>
        </w:tc>
        <w:tc>
          <w:tcPr>
            <w:tcW w:w="1728" w:type="dxa"/>
          </w:tcPr>
          <w:p w14:paraId="2379F3AB" w14:textId="77777777" w:rsidR="00D23216" w:rsidRDefault="00000000">
            <w:pPr>
              <w:spacing w:after="0"/>
              <w:jc w:val="center"/>
            </w:pPr>
            <w:r>
              <w:rPr>
                <w:sz w:val="18"/>
              </w:rPr>
              <w:t>0.268 (&lt;0.001)</w:t>
            </w:r>
          </w:p>
        </w:tc>
        <w:tc>
          <w:tcPr>
            <w:tcW w:w="1296" w:type="dxa"/>
          </w:tcPr>
          <w:p w14:paraId="18859967" w14:textId="77777777" w:rsidR="00D23216" w:rsidRDefault="00000000">
            <w:pPr>
              <w:spacing w:after="0"/>
              <w:jc w:val="center"/>
            </w:pPr>
            <w:r>
              <w:rPr>
                <w:sz w:val="18"/>
              </w:rPr>
              <w:t>0.783</w:t>
            </w:r>
          </w:p>
        </w:tc>
      </w:tr>
      <w:tr w:rsidR="00D23216" w14:paraId="34204430" w14:textId="77777777">
        <w:trPr>
          <w:jc w:val="center"/>
        </w:trPr>
        <w:tc>
          <w:tcPr>
            <w:tcW w:w="2808" w:type="dxa"/>
          </w:tcPr>
          <w:p w14:paraId="2A9E45C1" w14:textId="77777777" w:rsidR="00D23216" w:rsidRDefault="00000000">
            <w:pPr>
              <w:spacing w:after="0"/>
              <w:jc w:val="left"/>
            </w:pPr>
            <w:r>
              <w:rPr>
                <w:sz w:val="18"/>
              </w:rPr>
              <w:t>CPI Fuel and Light (bridge)</w:t>
            </w:r>
          </w:p>
        </w:tc>
        <w:tc>
          <w:tcPr>
            <w:tcW w:w="792" w:type="dxa"/>
          </w:tcPr>
          <w:p w14:paraId="14E6C559" w14:textId="77777777" w:rsidR="00D23216" w:rsidRDefault="00000000">
            <w:pPr>
              <w:spacing w:after="0"/>
              <w:jc w:val="center"/>
            </w:pPr>
            <w:r>
              <w:rPr>
                <w:sz w:val="18"/>
              </w:rPr>
              <w:t>164</w:t>
            </w:r>
          </w:p>
        </w:tc>
        <w:tc>
          <w:tcPr>
            <w:tcW w:w="1728" w:type="dxa"/>
          </w:tcPr>
          <w:p w14:paraId="742D9EB4" w14:textId="77777777" w:rsidR="00D23216" w:rsidRDefault="00000000">
            <w:pPr>
              <w:spacing w:after="0"/>
              <w:jc w:val="center"/>
            </w:pPr>
            <w:r>
              <w:rPr>
                <w:sz w:val="18"/>
              </w:rPr>
              <w:t>0.178 (0.0021)</w:t>
            </w:r>
          </w:p>
        </w:tc>
        <w:tc>
          <w:tcPr>
            <w:tcW w:w="1728" w:type="dxa"/>
          </w:tcPr>
          <w:p w14:paraId="152E4226" w14:textId="77777777" w:rsidR="00D23216" w:rsidRDefault="00000000">
            <w:pPr>
              <w:spacing w:after="0"/>
              <w:jc w:val="center"/>
            </w:pPr>
            <w:r>
              <w:rPr>
                <w:sz w:val="18"/>
              </w:rPr>
              <w:t>0.106 (0.174)</w:t>
            </w:r>
          </w:p>
        </w:tc>
        <w:tc>
          <w:tcPr>
            <w:tcW w:w="1296" w:type="dxa"/>
          </w:tcPr>
          <w:p w14:paraId="2AAC6EB8" w14:textId="77777777" w:rsidR="00D23216" w:rsidRDefault="00000000">
            <w:pPr>
              <w:spacing w:after="0"/>
              <w:jc w:val="center"/>
            </w:pPr>
            <w:r>
              <w:rPr>
                <w:sz w:val="18"/>
              </w:rPr>
              <w:t>0.455</w:t>
            </w:r>
          </w:p>
        </w:tc>
      </w:tr>
      <w:tr w:rsidR="00D23216" w14:paraId="1E185C79" w14:textId="77777777">
        <w:trPr>
          <w:jc w:val="center"/>
        </w:trPr>
        <w:tc>
          <w:tcPr>
            <w:tcW w:w="2808" w:type="dxa"/>
          </w:tcPr>
          <w:p w14:paraId="54E4B9E1" w14:textId="77777777" w:rsidR="00D23216" w:rsidRDefault="00000000">
            <w:pPr>
              <w:spacing w:after="0"/>
              <w:jc w:val="left"/>
            </w:pPr>
            <w:r>
              <w:rPr>
                <w:sz w:val="18"/>
              </w:rPr>
              <w:t>Headline WPI</w:t>
            </w:r>
          </w:p>
        </w:tc>
        <w:tc>
          <w:tcPr>
            <w:tcW w:w="792" w:type="dxa"/>
          </w:tcPr>
          <w:p w14:paraId="65BBE1C6" w14:textId="77777777" w:rsidR="00D23216" w:rsidRDefault="00000000">
            <w:pPr>
              <w:spacing w:after="0"/>
              <w:jc w:val="center"/>
            </w:pPr>
            <w:r>
              <w:rPr>
                <w:sz w:val="18"/>
              </w:rPr>
              <w:t>515</w:t>
            </w:r>
          </w:p>
        </w:tc>
        <w:tc>
          <w:tcPr>
            <w:tcW w:w="1728" w:type="dxa"/>
          </w:tcPr>
          <w:p w14:paraId="73D15E7D" w14:textId="77777777" w:rsidR="00D23216" w:rsidRDefault="00000000">
            <w:pPr>
              <w:spacing w:after="0"/>
              <w:jc w:val="center"/>
            </w:pPr>
            <w:r>
              <w:rPr>
                <w:sz w:val="18"/>
              </w:rPr>
              <w:t>0.030 (0.024)</w:t>
            </w:r>
          </w:p>
        </w:tc>
        <w:tc>
          <w:tcPr>
            <w:tcW w:w="1728" w:type="dxa"/>
          </w:tcPr>
          <w:p w14:paraId="4222E163" w14:textId="77777777" w:rsidR="00D23216" w:rsidRDefault="00000000">
            <w:pPr>
              <w:spacing w:after="0"/>
              <w:jc w:val="center"/>
            </w:pPr>
            <w:r>
              <w:rPr>
                <w:sz w:val="18"/>
              </w:rPr>
              <w:t>0.037 (0.001)</w:t>
            </w:r>
          </w:p>
        </w:tc>
        <w:tc>
          <w:tcPr>
            <w:tcW w:w="1296" w:type="dxa"/>
          </w:tcPr>
          <w:p w14:paraId="4F2D7618" w14:textId="77777777" w:rsidR="00D23216" w:rsidRDefault="00000000">
            <w:pPr>
              <w:spacing w:after="0"/>
              <w:jc w:val="center"/>
            </w:pPr>
            <w:r>
              <w:rPr>
                <w:sz w:val="18"/>
              </w:rPr>
              <w:t>0.673</w:t>
            </w:r>
          </w:p>
        </w:tc>
      </w:tr>
      <w:tr w:rsidR="00D23216" w14:paraId="1DD56EC6" w14:textId="77777777">
        <w:trPr>
          <w:jc w:val="center"/>
        </w:trPr>
        <w:tc>
          <w:tcPr>
            <w:tcW w:w="2808" w:type="dxa"/>
          </w:tcPr>
          <w:p w14:paraId="27A05B0F" w14:textId="77777777" w:rsidR="00D23216" w:rsidRDefault="00000000">
            <w:pPr>
              <w:spacing w:after="0"/>
              <w:jc w:val="left"/>
            </w:pPr>
            <w:r>
              <w:rPr>
                <w:sz w:val="18"/>
              </w:rPr>
              <w:t>Headline CPI</w:t>
            </w:r>
          </w:p>
        </w:tc>
        <w:tc>
          <w:tcPr>
            <w:tcW w:w="792" w:type="dxa"/>
          </w:tcPr>
          <w:p w14:paraId="4DD224C4" w14:textId="77777777" w:rsidR="00D23216" w:rsidRDefault="00000000">
            <w:pPr>
              <w:spacing w:after="0"/>
              <w:jc w:val="center"/>
            </w:pPr>
            <w:r>
              <w:rPr>
                <w:sz w:val="18"/>
              </w:rPr>
              <w:t>245</w:t>
            </w:r>
          </w:p>
        </w:tc>
        <w:tc>
          <w:tcPr>
            <w:tcW w:w="1728" w:type="dxa"/>
          </w:tcPr>
          <w:p w14:paraId="11D956A3" w14:textId="77777777" w:rsidR="00D23216" w:rsidRDefault="00000000">
            <w:pPr>
              <w:spacing w:after="0"/>
              <w:jc w:val="center"/>
            </w:pPr>
            <w:r>
              <w:rPr>
                <w:sz w:val="18"/>
              </w:rPr>
              <w:t>0.021 (0.122)</w:t>
            </w:r>
          </w:p>
        </w:tc>
        <w:tc>
          <w:tcPr>
            <w:tcW w:w="1728" w:type="dxa"/>
          </w:tcPr>
          <w:p w14:paraId="59DD601D" w14:textId="77777777" w:rsidR="00D23216" w:rsidRDefault="00000000">
            <w:pPr>
              <w:spacing w:after="0"/>
              <w:jc w:val="center"/>
            </w:pPr>
            <w:r>
              <w:rPr>
                <w:sz w:val="18"/>
              </w:rPr>
              <w:t>0.001 (0.938)</w:t>
            </w:r>
          </w:p>
        </w:tc>
        <w:tc>
          <w:tcPr>
            <w:tcW w:w="1296" w:type="dxa"/>
          </w:tcPr>
          <w:p w14:paraId="1CBD1B85" w14:textId="77777777" w:rsidR="00D23216" w:rsidRDefault="00000000">
            <w:pPr>
              <w:spacing w:after="0"/>
              <w:jc w:val="center"/>
            </w:pPr>
            <w:r>
              <w:rPr>
                <w:sz w:val="18"/>
              </w:rPr>
              <w:t>0.241</w:t>
            </w:r>
          </w:p>
        </w:tc>
      </w:tr>
    </w:tbl>
    <w:p w14:paraId="200750E9" w14:textId="77777777" w:rsidR="00D23216" w:rsidRDefault="00000000">
      <w:pPr>
        <w:spacing w:after="200"/>
      </w:pPr>
      <w:r>
        <w:rPr>
          <w:i/>
          <w:sz w:val="20"/>
        </w:rPr>
        <w:t>Notes: Cumulative coefficients are layer-specific responses from the asymmetric ADL specification in log differences with Newey-West HAC inference; they should not be read as one identical structural elasticity, since the shock variable in the PPAC retail petrol equation is Brent, the shock in the headline WPI, WPI Fuel and Power, and headline CPI equations is the rupee oil price, and the explanatory variable in the CPI Fuel and Light bridge equation is the PPAC retail petrol price. The asymmetry p-value is from a Wald test of CPT+ = CPT−. Active samples: 1983-05 to 2026-03 (headline WPI), 1995-05 to 2026-03 (Fuel and Power), 2004-08 to 2024-12 (PPAC and headline CPI), 2011-05 to 2024-12 (CPI Fuel and Light bridge).</w:t>
      </w:r>
    </w:p>
    <w:p w14:paraId="53B7D036" w14:textId="77777777" w:rsidR="00D23216" w:rsidRDefault="00000000">
      <w:r>
        <w:t>Two readings of Table 5.1 should be kept separate. The cumulative coefficients in the table are layer-specific responses, each estimated from its own asymmetric ADL specification with its own dependent variable, its own shock variable, and its own sample. They are not five comparable estimates of the same identical shock passing through five layers in sequence: the PPAC retail petrol equation uses Brent as the shock; the headline WPI, WPI Fuel and Power, and headline CPI equations use the rupee oil price; the CPI Fuel and Light bridge equation uses the PPAC retail petrol price as its shock variable. The table is therefore best read as a descriptive attenuation map across naturally ordered points in the price chain, not as a structural decomposition of one elasticity. With that qualification, the empirical pattern is unambiguous.</w:t>
      </w:r>
    </w:p>
    <w:p w14:paraId="4DBB9217" w14:textId="77777777" w:rsidR="00D23216" w:rsidRDefault="00000000">
      <w:r>
        <w:t>The empirical story is therefore not that oil shocks disappear inside the Indian price system. They are strong in the fuel channel, where retail petrol and WPI Fuel and Power respond at a magnitude close to a third of the shock; they are visible in the fuel-sensitive consumer layer through the CPI Fuel and Light bridge; and they are weak in the headline aggregates, where the headline WPI carries a small but significant signal and the headline CPI carries only a weak and statistically uncertain one. This is the layered attenuation result and the central contribution of the dissertation.</w:t>
      </w:r>
    </w:p>
    <w:p w14:paraId="2FE05A77" w14:textId="77777777" w:rsidR="00D23216" w:rsidRDefault="00000000">
      <w:pPr>
        <w:spacing w:after="40"/>
        <w:jc w:val="center"/>
      </w:pPr>
      <w:r>
        <w:rPr>
          <w:noProof/>
        </w:rPr>
        <w:lastRenderedPageBreak/>
        <w:drawing>
          <wp:inline distT="0" distB="0" distL="0" distR="0" wp14:anchorId="202D5CA5" wp14:editId="0747E99B">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dilution_chain.png"/>
                    <pic:cNvPicPr/>
                  </pic:nvPicPr>
                  <pic:blipFill>
                    <a:blip r:embed="rId13"/>
                    <a:stretch>
                      <a:fillRect/>
                    </a:stretch>
                  </pic:blipFill>
                  <pic:spPr>
                    <a:xfrm>
                      <a:off x="0" y="0"/>
                      <a:ext cx="5029200" cy="3017520"/>
                    </a:xfrm>
                    <a:prstGeom prst="rect">
                      <a:avLst/>
                    </a:prstGeom>
                  </pic:spPr>
                </pic:pic>
              </a:graphicData>
            </a:graphic>
          </wp:inline>
        </w:drawing>
      </w:r>
    </w:p>
    <w:p w14:paraId="4CFB6677" w14:textId="77777777" w:rsidR="00D23216" w:rsidRDefault="00000000">
      <w:pPr>
        <w:pStyle w:val="Caption"/>
        <w:jc w:val="center"/>
      </w:pPr>
      <w:r>
        <w:rPr>
          <w:i/>
        </w:rPr>
        <w:t>Figure 5.2: Dilution chain showing cumulative pass-through across retail petrol, WPI Fuel and Power, CPI Fuel and Light, headline WPI, and headline CPI.</w:t>
      </w:r>
    </w:p>
    <w:p w14:paraId="6396B7E6" w14:textId="77777777" w:rsidR="00D23216" w:rsidRDefault="00000000">
      <w:pPr>
        <w:pStyle w:val="Heading2"/>
      </w:pPr>
      <w:bookmarkStart w:id="33" w:name="_Toc228196715"/>
      <w:r>
        <w:rPr>
          <w:rFonts w:ascii="Times New Roman" w:hAnsi="Times New Roman"/>
        </w:rPr>
        <w:t>5.7 Reading the Attenuation Quantitatively</w:t>
      </w:r>
      <w:bookmarkEnd w:id="33"/>
    </w:p>
    <w:p w14:paraId="2819D623" w14:textId="77777777" w:rsidR="00D23216" w:rsidRDefault="00000000">
      <w:r>
        <w:t>Table 5.1 also lends itself to a simple quantitative reading of attenuation. Taking the PPAC retail petrol layer as the reference, WPI Fuel and Power is about 83 percent of the retail petrol coefficient, the CPI Fuel and Light bridge about 51 percent, headline WPI about 9 percent, and headline CPI about 6 percent. These ratios are not structural attenuation parameters and they are sensitive to the choice of reference layer. They are useful only as a way of communicating the order-of-magnitude difference between the fuel-sensitive layers and the headline aggregates. The drop is not a smooth gradient; it is concentrated at the transition from the fuel-sensitive layers to the headline aggregates, which is exactly the point at which the basket-weight dilution and the tax-and-margin absorption are expected to operate.</w:t>
      </w:r>
    </w:p>
    <w:p w14:paraId="0238BF8E" w14:textId="77777777" w:rsidR="00D23216" w:rsidRDefault="00000000">
      <w:pPr>
        <w:pStyle w:val="Heading2"/>
      </w:pPr>
      <w:bookmarkStart w:id="34" w:name="_Toc228196716"/>
      <w:r>
        <w:rPr>
          <w:rFonts w:ascii="Times New Roman" w:hAnsi="Times New Roman"/>
        </w:rPr>
        <w:t>5.8 Pre/Post-2010 Wholesale Split</w:t>
      </w:r>
      <w:bookmarkEnd w:id="34"/>
    </w:p>
    <w:p w14:paraId="56195EF6" w14:textId="77777777" w:rsidR="00D23216" w:rsidRDefault="00000000">
      <w:r>
        <w:t>The pre/post-2010 wholesale split splits the long WPI samples at the petrol deregulation boundary of June 2010. For headline WPI, the pre-2010 cumulative pass-through is CPT+ = 0.012 with p = 0.381, while the post-2010 cumulative pass-through is CPT+ = 0.074 with p = 0.004. For WPI Fuel and Power, the pre-2010 cumulative pass-through is CPT+ = 0.092 with p = 0.168, while the post-2010 cumulative pass-through is CPT+ = 0.524 with p &lt; 0.001.</w:t>
      </w:r>
    </w:p>
    <w:p w14:paraId="265CDBF0" w14:textId="77777777" w:rsidR="00D23216" w:rsidRDefault="00000000">
      <w:r>
        <w:lastRenderedPageBreak/>
        <w:t>The post-2010 estimates are materially larger and statistically stronger than the pre-2010 estimates in both layers. This is consistent with the institutional move toward more market-linked fuel pricing, under which oil marketing companies revise retail prices much more frequently and pass on more of a given shock within the model's lag window. The dissertation does not claim this as a clean causal estimate of deregulation. Other changes occurred in the post-2010 period as well, including the adoption of the new CPI series in 2011, the move to flexible inflation targeting in 2016, the introduction of the Goods and Services Tax in 2017, and a sequence of episodes affecting fuel taxes and excise rates. The split should therefore be read as institutional evidence consistent with a stronger pass-through regime, not as a deregulation experiment.</w:t>
      </w:r>
    </w:p>
    <w:p w14:paraId="536E4520" w14:textId="77777777" w:rsidR="00D23216" w:rsidRDefault="00000000">
      <w:pPr>
        <w:spacing w:after="40"/>
        <w:jc w:val="center"/>
      </w:pPr>
      <w:r>
        <w:rPr>
          <w:noProof/>
        </w:rPr>
        <w:drawing>
          <wp:inline distT="0" distB="0" distL="0" distR="0" wp14:anchorId="6CD9939B" wp14:editId="72009944">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subsample_comparison.png"/>
                    <pic:cNvPicPr/>
                  </pic:nvPicPr>
                  <pic:blipFill>
                    <a:blip r:embed="rId14"/>
                    <a:stretch>
                      <a:fillRect/>
                    </a:stretch>
                  </pic:blipFill>
                  <pic:spPr>
                    <a:xfrm>
                      <a:off x="0" y="0"/>
                      <a:ext cx="5029200" cy="3017520"/>
                    </a:xfrm>
                    <a:prstGeom prst="rect">
                      <a:avLst/>
                    </a:prstGeom>
                  </pic:spPr>
                </pic:pic>
              </a:graphicData>
            </a:graphic>
          </wp:inline>
        </w:drawing>
      </w:r>
    </w:p>
    <w:p w14:paraId="485ECCA5" w14:textId="77777777" w:rsidR="00D23216" w:rsidRDefault="00000000">
      <w:pPr>
        <w:pStyle w:val="Caption"/>
        <w:jc w:val="center"/>
      </w:pPr>
      <w:r>
        <w:rPr>
          <w:i/>
        </w:rPr>
        <w:t>Figure 5.3: Pre/post-2010 cumulative pass-through for headline WPI and WPI Fuel and Power.</w:t>
      </w:r>
    </w:p>
    <w:p w14:paraId="77DD9E9E" w14:textId="77777777" w:rsidR="00D23216" w:rsidRDefault="00000000">
      <w:r>
        <w:br w:type="page"/>
      </w:r>
    </w:p>
    <w:p w14:paraId="0C1B1AF2" w14:textId="77777777" w:rsidR="00D23216" w:rsidRDefault="00000000">
      <w:pPr>
        <w:pStyle w:val="Heading1"/>
      </w:pPr>
      <w:bookmarkStart w:id="35" w:name="_Toc228196717"/>
      <w:r>
        <w:rPr>
          <w:rFonts w:ascii="Times New Roman" w:hAnsi="Times New Roman"/>
        </w:rPr>
        <w:lastRenderedPageBreak/>
        <w:t>Chapter 6</w:t>
      </w:r>
      <w:r>
        <w:rPr>
          <w:rFonts w:ascii="Times New Roman" w:hAnsi="Times New Roman"/>
        </w:rPr>
        <w:br/>
        <w:t>Robustness, Diagnostics, and Limitations</w:t>
      </w:r>
      <w:bookmarkEnd w:id="35"/>
    </w:p>
    <w:p w14:paraId="06E58006" w14:textId="77777777" w:rsidR="00D23216" w:rsidRDefault="00000000">
      <w:pPr>
        <w:pStyle w:val="Heading2"/>
      </w:pPr>
      <w:bookmarkStart w:id="36" w:name="_Toc228196718"/>
      <w:r>
        <w:rPr>
          <w:rFonts w:ascii="Times New Roman" w:hAnsi="Times New Roman"/>
        </w:rPr>
        <w:t>6.1 Robustness Battery</w:t>
      </w:r>
      <w:bookmarkEnd w:id="36"/>
    </w:p>
    <w:p w14:paraId="2D6D0BF2" w14:textId="77777777" w:rsidR="00D23216" w:rsidRDefault="00000000">
      <w:r>
        <w:t>The robustness battery for this dissertation is designed to test whether the layered attenuation result depends on a particular shock construction, on a particular sample, or on the asymptotic inference. The first robustness check decomposes the rupee oil price into its Brent and exchange-rate components and re-estimates the headline WPI specification. The decomposition gives CPT+ = 0.031 and CPT− = 0.037 with an asymmetry p-value of 0.704, which is essentially indistinguishable from the rupee-oil specification and confirms that the headline WPI conclusion does not depend on the way the shock variable is built.</w:t>
      </w:r>
    </w:p>
    <w:p w14:paraId="4B700B5F" w14:textId="77777777" w:rsidR="00D23216" w:rsidRDefault="00000000">
      <w:r>
        <w:t>The second robustness check uses the restricted-residual circular block bootstrap with 4,999 replications to assess short-run asymmetry. The bootstrap p-values are 0.746 for headline WPI, 0.820 for WPI Fuel and Power, and 0.500 for headline CPI. None of these support a rejection of the null of symmetric short-run pass-through. The bootstrap and the HAC asymptotic tests therefore agree: short-run asymmetry is not the central finding of the dissertation, and where the retail petrol layer hints at it the evidence is only marginal.</w:t>
      </w:r>
    </w:p>
    <w:p w14:paraId="247107CA" w14:textId="77777777" w:rsidR="00D23216" w:rsidRDefault="00000000">
      <w:r>
        <w:t>The third robustness check uses Granger-causality tests in the predictive sense. The tests support directional precedence from the rupee oil price to headline WPI and to WPI Fuel and Power. This is consistent with the layered design but is not a structural causality claim. The fourth robustness check uses Bai-Perron structural break tests to check that the layered relationships are not dominated by a single regime change. Where breaks are detected, the relevant institutional split — most importantly, the pre/post-2010 wholesale split — is reported separately.</w:t>
      </w:r>
    </w:p>
    <w:p w14:paraId="1F44A6C7" w14:textId="77777777" w:rsidR="00D23216" w:rsidRDefault="00000000">
      <w:r>
        <w:t xml:space="preserve">The fifth robustness check addresses the COVID-19 window and outlier sensitivity. Excluding the COVID window from the headline CPI specification and winsorising the dependent log differences at the one-percent and ninety-nine-percent tails do not overturn the main CPI conclusion. The positive cumulative pass-through remains small </w:t>
      </w:r>
      <w:r>
        <w:lastRenderedPageBreak/>
        <w:t>and not statistically significant at conventional levels. The results are therefore not driven by extreme observations.</w:t>
      </w:r>
    </w:p>
    <w:p w14:paraId="27BEE454" w14:textId="77777777" w:rsidR="00D23216" w:rsidRDefault="00000000">
      <w:r>
        <w:t>The sixth robustness check is the supplementary NARDL battery. The bounds tests support a long-run levels relationship in some specifications, and long-run asymmetry is detected in some of them. These results are read as supplementary evidence rather than as a primary identification. The reason is straightforward: the NARDL specification depends on the level-series integration assumptions and on the lag selection criteria used to set up the bounds test. The differenced ADL specifications used in the main text do not require these assumptions and are therefore the more defensible workhorse for short-run pass-through inference.</w:t>
      </w:r>
    </w:p>
    <w:p w14:paraId="614A41A8" w14:textId="77777777" w:rsidR="00D23216" w:rsidRDefault="00000000">
      <w:r>
        <w:t>Lag-sensitivity and rolling-window checks add a final layer of reassurance. Re-estimating the headline WPI and headline CPI specifications under alternative lag windows (oil lags from zero to four and from zero to eight, own lags of six and eighteen) does not change the qualitative ordering of Table 5.1, and rolling-window estimates of the headline CPI cumulative pass-through hover around the central estimate without crossing into a significant range at conventional levels.</w:t>
      </w:r>
    </w:p>
    <w:p w14:paraId="78C5AD62" w14:textId="77777777" w:rsidR="00D23216" w:rsidRDefault="00000000">
      <w:pPr>
        <w:pStyle w:val="Heading2"/>
      </w:pPr>
      <w:bookmarkStart w:id="37" w:name="_Toc228196719"/>
      <w:r>
        <w:rPr>
          <w:rFonts w:ascii="Times New Roman" w:hAnsi="Times New Roman"/>
        </w:rPr>
        <w:t>6.2 Diagnostics Across Layers</w:t>
      </w:r>
      <w:bookmarkEnd w:id="37"/>
    </w:p>
    <w:p w14:paraId="52998342" w14:textId="77777777" w:rsidR="00D23216" w:rsidRDefault="00000000">
      <w:r>
        <w:t>The diagnostic battery for each layer reports the Breusch-Godfrey serial correlation test, the ARCH-LM test for conditional heteroscedasticity, the Jarque-Bera test for residual normality, the Ramsey RESET test for functional-form misspecification under the HAC covariance, and a CUSUM stability check. The headline WPI and headline CPI specifications pass these diagnostics at conventional levels except for mild residual autocorrelation at short lags, which is exactly the case for which the Newey-West HAC covariance estimator is designed. The retail petrol specification passes the channel-diagnostics gate and is accepted for main-text reporting. The WPI Fuel and Power specification fails the HAC RESET test, as already noted, and the magnitude of CPT+ for that layer is therefore reported with a functional-form caveat. The CUSUM plots show no evidence of a single dominant break in any of the layered specifications, which is consistent with the institutionally motivated pre/post-2010 split rather than with an unexplained regime change inside either subsample. These diagnostics support reading the layered ordering as an empirical regularity rather than as the artefact of a single brittle specification.</w:t>
      </w:r>
    </w:p>
    <w:p w14:paraId="664D6227" w14:textId="77777777" w:rsidR="00D23216" w:rsidRDefault="00000000">
      <w:pPr>
        <w:pStyle w:val="Heading2"/>
      </w:pPr>
      <w:bookmarkStart w:id="38" w:name="_Toc228196720"/>
      <w:r>
        <w:rPr>
          <w:rFonts w:ascii="Times New Roman" w:hAnsi="Times New Roman"/>
        </w:rPr>
        <w:lastRenderedPageBreak/>
        <w:t>6.3 Limitations</w:t>
      </w:r>
      <w:bookmarkEnd w:id="38"/>
    </w:p>
    <w:p w14:paraId="41BB5094" w14:textId="77777777" w:rsidR="00D23216" w:rsidRDefault="00000000">
      <w:r>
        <w:t>The limitations of the design should be stated plainly. The models are reduced-form projections; they are not structural causal estimates of how monetary policy or fiscal policy transmits to the price system. The pre/post-2010 split is suggestive evidence consistent with deregulation; it is not a clean policy experiment because other reforms and shocks occurred in the same period. The CPI Fuel and Light bridge sample, beginning in 2011, is shorter than ideal, which limits the power of the negative-shock test in that layer. The WPI Fuel and Power model fails the HAC RESET functional-form test, which means that the exact magnitude of the cumulative pass-through in that layer should be reported with a functional-form caveat. The headline CPI results should be written, throughout, as weak or suggestive rather than as decisive.</w:t>
      </w:r>
    </w:p>
    <w:p w14:paraId="4A0F1282" w14:textId="77777777" w:rsidR="00D23216" w:rsidRDefault="00000000">
      <w:r>
        <w:br w:type="page"/>
      </w:r>
    </w:p>
    <w:p w14:paraId="3F45EFC6" w14:textId="77777777" w:rsidR="00D23216" w:rsidRDefault="00000000">
      <w:pPr>
        <w:pStyle w:val="Heading1"/>
      </w:pPr>
      <w:r>
        <w:rPr>
          <w:rFonts w:ascii="Times New Roman" w:hAnsi="Times New Roman"/>
        </w:rPr>
        <w:lastRenderedPageBreak/>
        <w:br/>
      </w:r>
      <w:bookmarkStart w:id="39" w:name="_Toc228196721"/>
      <w:r>
        <w:rPr>
          <w:rFonts w:ascii="Times New Roman" w:hAnsi="Times New Roman"/>
        </w:rPr>
        <w:t>Conclusion</w:t>
      </w:r>
      <w:bookmarkEnd w:id="39"/>
    </w:p>
    <w:p w14:paraId="790C6401" w14:textId="77777777" w:rsidR="00D23216" w:rsidRDefault="00000000">
      <w:r>
        <w:t>The dissertation set out to ask where oil-price pass-through weakens inside the Indian price system. The answer is that pass-through in India is layered, not flat. The shock is strong at the points of the chain that are mechanically closest to the rupee oil price, and it is increasingly absorbed at each subsequent layer until it reaches the household-facing aggregate.</w:t>
      </w:r>
    </w:p>
    <w:p w14:paraId="6B657BD6" w14:textId="77777777" w:rsidR="00D23216" w:rsidRDefault="00000000">
      <w:r>
        <w:t>The empirical map can be summarised in five sentences. The shock is clear in retail fuel and in fuel-sensitive price indices, where the cumulative pass-through coefficients reach 0.346 in PPAC retail petrol and 0.287 in WPI Fuel and Power. The shock is visible in the fuel-sensitive consumer layer, where the CPI Fuel and Light bridge reports a cumulative pass-through of 0.178 for positive shocks. The shock is statistically visible but small in headline WPI, where the cumulative pass-through is about 0.030. The shock weakens sharply before reaching headline CPI, where the cumulative pass-through is about 0.021 and not statistically distinguishable from zero. Across all layers, short-run asymmetry is not the main finding; where it is most plausibly located, in the retail petrol layer, the evidence is only marginal at the 10 percent level.</w:t>
      </w:r>
    </w:p>
    <w:p w14:paraId="2F4CBC27" w14:textId="77777777" w:rsidR="00D23216" w:rsidRDefault="00000000">
      <w:r>
        <w:t>The pre/post-2010 wholesale split adds an institutional observation. Pass-through to both headline WPI and WPI Fuel and Power is materially larger in the post-2010 sample than in the pre-2010 sample, consistent with the move toward more market-linked fuel pricing. The split is not a clean causal estimate of deregulation, because the post-2010 period also covers the new CPI series, the move to flexible inflation targeting, the Goods and Services Tax, and a sequence of fuel-tax episodes.</w:t>
      </w:r>
    </w:p>
    <w:p w14:paraId="2DDADDF0" w14:textId="77777777" w:rsidR="00D23216" w:rsidRDefault="00000000">
      <w:r>
        <w:t xml:space="preserve">The policy interpretation that follows from these results is similarly restrained. WPI is useful for tracking upstream cost pressure and is the index where oil shocks remain most clearly visible at the headline level, even after dilution. CPI is the index that is anchored to household inflation and that anchors the monetary policy framework, and it is also the index where the oil signal is weakest at the headline level. Neither index should be treated as a substitute for the other in the analysis of oil shocks. A monetary </w:t>
      </w:r>
      <w:r>
        <w:lastRenderedPageBreak/>
        <w:t>policy framework that uses CPI as its anchor is not insulated from oil shocks, but it sees the shock through a heavily diluted layer; a fiscal or producer-side analysis that uses WPI sees the shock at a magnitude that is small at the headline level but that is large in the fuel-sensitive sub-indices that drive intermediate input costs.</w:t>
      </w:r>
    </w:p>
    <w:p w14:paraId="40811BC0" w14:textId="77777777" w:rsidR="00D23216" w:rsidRDefault="00000000">
      <w:r>
        <w:t>Two extensions are realistic. The first is a more disaggregated CPI decomposition that moves below the headline aggregate to the transport, housing, and miscellaneous services components, in order to trace where the small headline CPI signal is concentrated. The second is a time-varying pass-through model that allows the cumulative coefficients to evolve smoothly with the pricing regime rather than as a single break at June 2010. Both extensions remain inside the same architectural framing used here and would extend rather than replace the layered map presented in this dissertation.</w:t>
      </w:r>
    </w:p>
    <w:p w14:paraId="34126D3E" w14:textId="77777777" w:rsidR="00D23216" w:rsidRDefault="00000000">
      <w:r>
        <w:t>The main lesson is that the question is not whether WPI or CPI is the correct index for oil shocks. The better question is where the oil shock survives inside the price system and where it is absorbed.</w:t>
      </w:r>
    </w:p>
    <w:p w14:paraId="41F5AADB" w14:textId="77777777" w:rsidR="00D23216" w:rsidRDefault="00000000">
      <w:r>
        <w:br w:type="page"/>
      </w:r>
    </w:p>
    <w:p w14:paraId="08A86A67" w14:textId="77777777" w:rsidR="00D23216" w:rsidRDefault="00000000">
      <w:pPr>
        <w:pStyle w:val="Heading1"/>
      </w:pPr>
      <w:bookmarkStart w:id="40" w:name="_Toc228196722"/>
      <w:r>
        <w:rPr>
          <w:rFonts w:ascii="Times New Roman" w:hAnsi="Times New Roman"/>
        </w:rPr>
        <w:lastRenderedPageBreak/>
        <w:t>Appendix A</w:t>
      </w:r>
      <w:r>
        <w:rPr>
          <w:rFonts w:ascii="Times New Roman" w:hAnsi="Times New Roman"/>
        </w:rPr>
        <w:br/>
        <w:t>Nonlinear ARDL Bounds Battery</w:t>
      </w:r>
      <w:bookmarkEnd w:id="40"/>
    </w:p>
    <w:p w14:paraId="4006B8E6" w14:textId="77777777" w:rsidR="00D23216" w:rsidRDefault="00000000">
      <w:r>
        <w:t>This appendix reports the supplementary nonlinear ARDL battery referenced in Chapters 4 and 6. Each specification is a NARDL in levels following Pesaran, Shin, and Smith (2001) with the asymmetric decomposition of Shin, Yu, and Greenwood-Nimmo (2014). The dependent variable is the log of the wholesale price index, and the regressors are the cumulative positive and negative log changes in the relevant oil-side variable (Brent crude, the INR/USD exchange rate, or the rupee oil price). The bounds F-statistic is reported alongside the error-correction term (ECT), the short-run (SR) Wald p-value for symmetry, and the long-run (LR) Wald p-value for symmetry. The error-correction term is treated as a descriptive statistic of model adjustment speed rather than as a structural disequilibrium parameter.</w:t>
      </w:r>
    </w:p>
    <w:p w14:paraId="5CF03455" w14:textId="77777777" w:rsidR="00D23216" w:rsidRDefault="00000000">
      <w:pPr>
        <w:pStyle w:val="Caption"/>
        <w:jc w:val="left"/>
      </w:pPr>
      <w:r>
        <w:rPr>
          <w:sz w:val="22"/>
        </w:rPr>
        <w:t>Table A.1: NARDL bounds-battery summary</w:t>
      </w:r>
    </w:p>
    <w:tbl>
      <w:tblPr>
        <w:tblStyle w:val="TableGrid"/>
        <w:tblW w:w="8496" w:type="dxa"/>
        <w:jc w:val="center"/>
        <w:tblLayout w:type="fixed"/>
        <w:tblLook w:val="04A0" w:firstRow="1" w:lastRow="0" w:firstColumn="1" w:lastColumn="0" w:noHBand="0" w:noVBand="1"/>
      </w:tblPr>
      <w:tblGrid>
        <w:gridCol w:w="2232"/>
        <w:gridCol w:w="1584"/>
        <w:gridCol w:w="576"/>
        <w:gridCol w:w="864"/>
        <w:gridCol w:w="864"/>
        <w:gridCol w:w="792"/>
        <w:gridCol w:w="792"/>
        <w:gridCol w:w="792"/>
      </w:tblGrid>
      <w:tr w:rsidR="00D23216" w14:paraId="5FEC4EA6" w14:textId="77777777">
        <w:trPr>
          <w:tblHeader/>
          <w:jc w:val="center"/>
        </w:trPr>
        <w:tc>
          <w:tcPr>
            <w:tcW w:w="2232" w:type="dxa"/>
          </w:tcPr>
          <w:p w14:paraId="0614867C" w14:textId="77777777" w:rsidR="00D23216" w:rsidRDefault="00000000">
            <w:pPr>
              <w:spacing w:after="0"/>
              <w:jc w:val="center"/>
            </w:pPr>
            <w:r>
              <w:rPr>
                <w:b/>
                <w:sz w:val="18"/>
              </w:rPr>
              <w:t>Specification</w:t>
            </w:r>
          </w:p>
        </w:tc>
        <w:tc>
          <w:tcPr>
            <w:tcW w:w="1584" w:type="dxa"/>
          </w:tcPr>
          <w:p w14:paraId="5C780236" w14:textId="77777777" w:rsidR="00D23216" w:rsidRDefault="00000000">
            <w:pPr>
              <w:spacing w:after="0"/>
              <w:jc w:val="center"/>
            </w:pPr>
            <w:r>
              <w:rPr>
                <w:b/>
                <w:sz w:val="18"/>
              </w:rPr>
              <w:t>Sample</w:t>
            </w:r>
          </w:p>
        </w:tc>
        <w:tc>
          <w:tcPr>
            <w:tcW w:w="576" w:type="dxa"/>
          </w:tcPr>
          <w:p w14:paraId="02F9B02E" w14:textId="77777777" w:rsidR="00D23216" w:rsidRDefault="00000000">
            <w:pPr>
              <w:spacing w:after="0"/>
              <w:jc w:val="center"/>
            </w:pPr>
            <w:r>
              <w:rPr>
                <w:b/>
                <w:sz w:val="18"/>
              </w:rPr>
              <w:t>N</w:t>
            </w:r>
          </w:p>
        </w:tc>
        <w:tc>
          <w:tcPr>
            <w:tcW w:w="864" w:type="dxa"/>
          </w:tcPr>
          <w:p w14:paraId="3FE89107" w14:textId="77777777" w:rsidR="00D23216" w:rsidRDefault="00000000">
            <w:pPr>
              <w:spacing w:after="0"/>
              <w:jc w:val="center"/>
            </w:pPr>
            <w:r>
              <w:rPr>
                <w:b/>
                <w:sz w:val="18"/>
              </w:rPr>
              <w:t>Bounds F</w:t>
            </w:r>
          </w:p>
        </w:tc>
        <w:tc>
          <w:tcPr>
            <w:tcW w:w="864" w:type="dxa"/>
          </w:tcPr>
          <w:p w14:paraId="58109BDA" w14:textId="77777777" w:rsidR="00D23216" w:rsidRDefault="00000000">
            <w:pPr>
              <w:spacing w:after="0"/>
              <w:jc w:val="center"/>
            </w:pPr>
            <w:r>
              <w:rPr>
                <w:b/>
                <w:sz w:val="18"/>
              </w:rPr>
              <w:t>ECT</w:t>
            </w:r>
          </w:p>
        </w:tc>
        <w:tc>
          <w:tcPr>
            <w:tcW w:w="792" w:type="dxa"/>
          </w:tcPr>
          <w:p w14:paraId="1037D0AA" w14:textId="77777777" w:rsidR="00D23216" w:rsidRDefault="00000000">
            <w:pPr>
              <w:spacing w:after="0"/>
              <w:jc w:val="center"/>
            </w:pPr>
            <w:r>
              <w:rPr>
                <w:b/>
                <w:sz w:val="18"/>
              </w:rPr>
              <w:t>ECT p</w:t>
            </w:r>
          </w:p>
        </w:tc>
        <w:tc>
          <w:tcPr>
            <w:tcW w:w="792" w:type="dxa"/>
          </w:tcPr>
          <w:p w14:paraId="484CD4C3" w14:textId="77777777" w:rsidR="00D23216" w:rsidRDefault="00000000">
            <w:pPr>
              <w:spacing w:after="0"/>
              <w:jc w:val="center"/>
            </w:pPr>
            <w:r>
              <w:rPr>
                <w:b/>
                <w:sz w:val="18"/>
              </w:rPr>
              <w:t>SR sym. p</w:t>
            </w:r>
          </w:p>
        </w:tc>
        <w:tc>
          <w:tcPr>
            <w:tcW w:w="792" w:type="dxa"/>
          </w:tcPr>
          <w:p w14:paraId="468B0FDC" w14:textId="77777777" w:rsidR="00D23216" w:rsidRDefault="00000000">
            <w:pPr>
              <w:spacing w:after="0"/>
              <w:jc w:val="center"/>
            </w:pPr>
            <w:r>
              <w:rPr>
                <w:b/>
                <w:sz w:val="18"/>
              </w:rPr>
              <w:t>LR sym. p</w:t>
            </w:r>
          </w:p>
        </w:tc>
      </w:tr>
      <w:tr w:rsidR="00D23216" w14:paraId="3C461EB8" w14:textId="77777777">
        <w:trPr>
          <w:jc w:val="center"/>
        </w:trPr>
        <w:tc>
          <w:tcPr>
            <w:tcW w:w="2232" w:type="dxa"/>
          </w:tcPr>
          <w:p w14:paraId="07922D72" w14:textId="77777777" w:rsidR="00D23216" w:rsidRDefault="00000000">
            <w:pPr>
              <w:spacing w:after="0"/>
              <w:jc w:val="left"/>
            </w:pPr>
            <w:r>
              <w:rPr>
                <w:sz w:val="18"/>
              </w:rPr>
              <w:t>WPI ~ Brent</w:t>
            </w:r>
          </w:p>
        </w:tc>
        <w:tc>
          <w:tcPr>
            <w:tcW w:w="1584" w:type="dxa"/>
          </w:tcPr>
          <w:p w14:paraId="0DE61A8D" w14:textId="77777777" w:rsidR="00D23216" w:rsidRDefault="00000000">
            <w:pPr>
              <w:spacing w:after="0"/>
              <w:jc w:val="center"/>
            </w:pPr>
            <w:r>
              <w:rPr>
                <w:sz w:val="18"/>
              </w:rPr>
              <w:t>1997-04 to 2025-03</w:t>
            </w:r>
          </w:p>
        </w:tc>
        <w:tc>
          <w:tcPr>
            <w:tcW w:w="576" w:type="dxa"/>
          </w:tcPr>
          <w:p w14:paraId="4F95462C" w14:textId="77777777" w:rsidR="00D23216" w:rsidRDefault="00000000">
            <w:pPr>
              <w:spacing w:after="0"/>
              <w:jc w:val="center"/>
            </w:pPr>
            <w:r>
              <w:rPr>
                <w:sz w:val="18"/>
              </w:rPr>
              <w:t>333</w:t>
            </w:r>
          </w:p>
        </w:tc>
        <w:tc>
          <w:tcPr>
            <w:tcW w:w="864" w:type="dxa"/>
          </w:tcPr>
          <w:p w14:paraId="2CB1F39B" w14:textId="77777777" w:rsidR="00D23216" w:rsidRDefault="00000000">
            <w:pPr>
              <w:spacing w:after="0"/>
              <w:jc w:val="center"/>
            </w:pPr>
            <w:r>
              <w:rPr>
                <w:sz w:val="18"/>
              </w:rPr>
              <w:t>27.66</w:t>
            </w:r>
          </w:p>
        </w:tc>
        <w:tc>
          <w:tcPr>
            <w:tcW w:w="864" w:type="dxa"/>
          </w:tcPr>
          <w:p w14:paraId="41DB512F" w14:textId="77777777" w:rsidR="00D23216" w:rsidRDefault="00000000">
            <w:pPr>
              <w:spacing w:after="0"/>
              <w:jc w:val="center"/>
            </w:pPr>
            <w:r>
              <w:rPr>
                <w:sz w:val="18"/>
              </w:rPr>
              <w:t>−0.0189</w:t>
            </w:r>
          </w:p>
        </w:tc>
        <w:tc>
          <w:tcPr>
            <w:tcW w:w="792" w:type="dxa"/>
          </w:tcPr>
          <w:p w14:paraId="15C643AE" w14:textId="77777777" w:rsidR="00D23216" w:rsidRDefault="00000000">
            <w:pPr>
              <w:spacing w:after="0"/>
              <w:jc w:val="center"/>
            </w:pPr>
            <w:r>
              <w:rPr>
                <w:sz w:val="18"/>
              </w:rPr>
              <w:t>0.005</w:t>
            </w:r>
          </w:p>
        </w:tc>
        <w:tc>
          <w:tcPr>
            <w:tcW w:w="792" w:type="dxa"/>
          </w:tcPr>
          <w:p w14:paraId="721F2840" w14:textId="77777777" w:rsidR="00D23216" w:rsidRDefault="00000000">
            <w:pPr>
              <w:spacing w:after="0"/>
              <w:jc w:val="center"/>
            </w:pPr>
            <w:r>
              <w:rPr>
                <w:sz w:val="18"/>
              </w:rPr>
              <w:t>0.618</w:t>
            </w:r>
          </w:p>
        </w:tc>
        <w:tc>
          <w:tcPr>
            <w:tcW w:w="792" w:type="dxa"/>
          </w:tcPr>
          <w:p w14:paraId="30580860" w14:textId="77777777" w:rsidR="00D23216" w:rsidRDefault="00000000">
            <w:pPr>
              <w:spacing w:after="0"/>
              <w:jc w:val="center"/>
            </w:pPr>
            <w:r>
              <w:rPr>
                <w:sz w:val="18"/>
              </w:rPr>
              <w:t>0.001</w:t>
            </w:r>
          </w:p>
        </w:tc>
      </w:tr>
      <w:tr w:rsidR="00D23216" w14:paraId="57E14DC2" w14:textId="77777777">
        <w:trPr>
          <w:jc w:val="center"/>
        </w:trPr>
        <w:tc>
          <w:tcPr>
            <w:tcW w:w="2232" w:type="dxa"/>
          </w:tcPr>
          <w:p w14:paraId="69155C7F" w14:textId="77777777" w:rsidR="00D23216" w:rsidRDefault="00000000">
            <w:pPr>
              <w:spacing w:after="0"/>
              <w:jc w:val="left"/>
            </w:pPr>
            <w:r>
              <w:rPr>
                <w:sz w:val="18"/>
              </w:rPr>
              <w:t>WPI ~ Brent | EXR</w:t>
            </w:r>
          </w:p>
        </w:tc>
        <w:tc>
          <w:tcPr>
            <w:tcW w:w="1584" w:type="dxa"/>
          </w:tcPr>
          <w:p w14:paraId="738A644D" w14:textId="77777777" w:rsidR="00D23216" w:rsidRDefault="00000000">
            <w:pPr>
              <w:spacing w:after="0"/>
              <w:jc w:val="center"/>
            </w:pPr>
            <w:r>
              <w:rPr>
                <w:sz w:val="18"/>
              </w:rPr>
              <w:t>1997-04 to 2025-03</w:t>
            </w:r>
          </w:p>
        </w:tc>
        <w:tc>
          <w:tcPr>
            <w:tcW w:w="576" w:type="dxa"/>
          </w:tcPr>
          <w:p w14:paraId="1F36DAF5" w14:textId="77777777" w:rsidR="00D23216" w:rsidRDefault="00000000">
            <w:pPr>
              <w:spacing w:after="0"/>
              <w:jc w:val="center"/>
            </w:pPr>
            <w:r>
              <w:rPr>
                <w:sz w:val="18"/>
              </w:rPr>
              <w:t>333</w:t>
            </w:r>
          </w:p>
        </w:tc>
        <w:tc>
          <w:tcPr>
            <w:tcW w:w="864" w:type="dxa"/>
          </w:tcPr>
          <w:p w14:paraId="167A9B95" w14:textId="77777777" w:rsidR="00D23216" w:rsidRDefault="00000000">
            <w:pPr>
              <w:spacing w:after="0"/>
              <w:jc w:val="center"/>
            </w:pPr>
            <w:r>
              <w:rPr>
                <w:sz w:val="18"/>
              </w:rPr>
              <w:t>21.40</w:t>
            </w:r>
          </w:p>
        </w:tc>
        <w:tc>
          <w:tcPr>
            <w:tcW w:w="864" w:type="dxa"/>
          </w:tcPr>
          <w:p w14:paraId="78AF6DE7" w14:textId="77777777" w:rsidR="00D23216" w:rsidRDefault="00000000">
            <w:pPr>
              <w:spacing w:after="0"/>
              <w:jc w:val="center"/>
            </w:pPr>
            <w:r>
              <w:rPr>
                <w:sz w:val="18"/>
              </w:rPr>
              <w:t>−0.0185</w:t>
            </w:r>
          </w:p>
        </w:tc>
        <w:tc>
          <w:tcPr>
            <w:tcW w:w="792" w:type="dxa"/>
          </w:tcPr>
          <w:p w14:paraId="7D1841C2" w14:textId="77777777" w:rsidR="00D23216" w:rsidRDefault="00000000">
            <w:pPr>
              <w:spacing w:after="0"/>
              <w:jc w:val="center"/>
            </w:pPr>
            <w:r>
              <w:rPr>
                <w:sz w:val="18"/>
              </w:rPr>
              <w:t>0.006</w:t>
            </w:r>
          </w:p>
        </w:tc>
        <w:tc>
          <w:tcPr>
            <w:tcW w:w="792" w:type="dxa"/>
          </w:tcPr>
          <w:p w14:paraId="269F9FA5" w14:textId="77777777" w:rsidR="00D23216" w:rsidRDefault="00000000">
            <w:pPr>
              <w:spacing w:after="0"/>
              <w:jc w:val="center"/>
            </w:pPr>
            <w:r>
              <w:rPr>
                <w:sz w:val="18"/>
              </w:rPr>
              <w:t>0.522</w:t>
            </w:r>
          </w:p>
        </w:tc>
        <w:tc>
          <w:tcPr>
            <w:tcW w:w="792" w:type="dxa"/>
          </w:tcPr>
          <w:p w14:paraId="54BC53A2" w14:textId="77777777" w:rsidR="00D23216" w:rsidRDefault="00000000">
            <w:pPr>
              <w:spacing w:after="0"/>
              <w:jc w:val="center"/>
            </w:pPr>
            <w:r>
              <w:rPr>
                <w:sz w:val="18"/>
              </w:rPr>
              <w:t>&lt;0.001</w:t>
            </w:r>
          </w:p>
        </w:tc>
      </w:tr>
      <w:tr w:rsidR="00D23216" w14:paraId="020E3766" w14:textId="77777777">
        <w:trPr>
          <w:jc w:val="center"/>
        </w:trPr>
        <w:tc>
          <w:tcPr>
            <w:tcW w:w="2232" w:type="dxa"/>
          </w:tcPr>
          <w:p w14:paraId="7970F87E" w14:textId="77777777" w:rsidR="00D23216" w:rsidRDefault="00000000">
            <w:pPr>
              <w:spacing w:after="0"/>
              <w:jc w:val="left"/>
            </w:pPr>
            <w:r>
              <w:rPr>
                <w:sz w:val="18"/>
              </w:rPr>
              <w:t>WPI ~ Rupee oil</w:t>
            </w:r>
          </w:p>
        </w:tc>
        <w:tc>
          <w:tcPr>
            <w:tcW w:w="1584" w:type="dxa"/>
          </w:tcPr>
          <w:p w14:paraId="7DFA04FD" w14:textId="77777777" w:rsidR="00D23216" w:rsidRDefault="00000000">
            <w:pPr>
              <w:spacing w:after="0"/>
              <w:jc w:val="center"/>
            </w:pPr>
            <w:r>
              <w:rPr>
                <w:sz w:val="18"/>
              </w:rPr>
              <w:t>1997-04 to 2025-03</w:t>
            </w:r>
          </w:p>
        </w:tc>
        <w:tc>
          <w:tcPr>
            <w:tcW w:w="576" w:type="dxa"/>
          </w:tcPr>
          <w:p w14:paraId="7B9E4A7A" w14:textId="77777777" w:rsidR="00D23216" w:rsidRDefault="00000000">
            <w:pPr>
              <w:spacing w:after="0"/>
              <w:jc w:val="center"/>
            </w:pPr>
            <w:r>
              <w:rPr>
                <w:sz w:val="18"/>
              </w:rPr>
              <w:t>331</w:t>
            </w:r>
          </w:p>
        </w:tc>
        <w:tc>
          <w:tcPr>
            <w:tcW w:w="864" w:type="dxa"/>
          </w:tcPr>
          <w:p w14:paraId="029C322B" w14:textId="77777777" w:rsidR="00D23216" w:rsidRDefault="00000000">
            <w:pPr>
              <w:spacing w:after="0"/>
              <w:jc w:val="center"/>
            </w:pPr>
            <w:r>
              <w:rPr>
                <w:sz w:val="18"/>
              </w:rPr>
              <w:t>21.43</w:t>
            </w:r>
          </w:p>
        </w:tc>
        <w:tc>
          <w:tcPr>
            <w:tcW w:w="864" w:type="dxa"/>
          </w:tcPr>
          <w:p w14:paraId="3D3D5B3C" w14:textId="77777777" w:rsidR="00D23216" w:rsidRDefault="00000000">
            <w:pPr>
              <w:spacing w:after="0"/>
              <w:jc w:val="center"/>
            </w:pPr>
            <w:r>
              <w:rPr>
                <w:sz w:val="18"/>
              </w:rPr>
              <w:t>−0.0170</w:t>
            </w:r>
          </w:p>
        </w:tc>
        <w:tc>
          <w:tcPr>
            <w:tcW w:w="792" w:type="dxa"/>
          </w:tcPr>
          <w:p w14:paraId="75E1EECD" w14:textId="77777777" w:rsidR="00D23216" w:rsidRDefault="00000000">
            <w:pPr>
              <w:spacing w:after="0"/>
              <w:jc w:val="center"/>
            </w:pPr>
            <w:r>
              <w:rPr>
                <w:sz w:val="18"/>
              </w:rPr>
              <w:t>0.011</w:t>
            </w:r>
          </w:p>
        </w:tc>
        <w:tc>
          <w:tcPr>
            <w:tcW w:w="792" w:type="dxa"/>
          </w:tcPr>
          <w:p w14:paraId="779335CA" w14:textId="77777777" w:rsidR="00D23216" w:rsidRDefault="00000000">
            <w:pPr>
              <w:spacing w:after="0"/>
              <w:jc w:val="center"/>
            </w:pPr>
            <w:r>
              <w:rPr>
                <w:sz w:val="18"/>
              </w:rPr>
              <w:t>0.760</w:t>
            </w:r>
          </w:p>
        </w:tc>
        <w:tc>
          <w:tcPr>
            <w:tcW w:w="792" w:type="dxa"/>
          </w:tcPr>
          <w:p w14:paraId="6583883B" w14:textId="77777777" w:rsidR="00D23216" w:rsidRDefault="00000000">
            <w:pPr>
              <w:spacing w:after="0"/>
              <w:jc w:val="center"/>
            </w:pPr>
            <w:r>
              <w:rPr>
                <w:sz w:val="18"/>
              </w:rPr>
              <w:t>0.023</w:t>
            </w:r>
          </w:p>
        </w:tc>
      </w:tr>
      <w:tr w:rsidR="00D23216" w14:paraId="19458E9B" w14:textId="77777777">
        <w:trPr>
          <w:jc w:val="center"/>
        </w:trPr>
        <w:tc>
          <w:tcPr>
            <w:tcW w:w="2232" w:type="dxa"/>
          </w:tcPr>
          <w:p w14:paraId="766FF01C" w14:textId="77777777" w:rsidR="00D23216" w:rsidRDefault="00000000">
            <w:pPr>
              <w:spacing w:after="0"/>
              <w:jc w:val="left"/>
            </w:pPr>
            <w:r>
              <w:rPr>
                <w:sz w:val="18"/>
              </w:rPr>
              <w:t>Fuel &amp; Power ~ Rupee oil</w:t>
            </w:r>
          </w:p>
        </w:tc>
        <w:tc>
          <w:tcPr>
            <w:tcW w:w="1584" w:type="dxa"/>
          </w:tcPr>
          <w:p w14:paraId="3F5B5AE2" w14:textId="77777777" w:rsidR="00D23216" w:rsidRDefault="00000000">
            <w:pPr>
              <w:spacing w:after="0"/>
              <w:jc w:val="center"/>
            </w:pPr>
            <w:r>
              <w:rPr>
                <w:sz w:val="18"/>
              </w:rPr>
              <w:t>1997-04 to 2025-03</w:t>
            </w:r>
          </w:p>
        </w:tc>
        <w:tc>
          <w:tcPr>
            <w:tcW w:w="576" w:type="dxa"/>
          </w:tcPr>
          <w:p w14:paraId="2EBA727C" w14:textId="77777777" w:rsidR="00D23216" w:rsidRDefault="00000000">
            <w:pPr>
              <w:spacing w:after="0"/>
              <w:jc w:val="center"/>
            </w:pPr>
            <w:r>
              <w:rPr>
                <w:sz w:val="18"/>
              </w:rPr>
              <w:t>331</w:t>
            </w:r>
          </w:p>
        </w:tc>
        <w:tc>
          <w:tcPr>
            <w:tcW w:w="864" w:type="dxa"/>
          </w:tcPr>
          <w:p w14:paraId="41C6C57B" w14:textId="77777777" w:rsidR="00D23216" w:rsidRDefault="00000000">
            <w:pPr>
              <w:spacing w:after="0"/>
              <w:jc w:val="center"/>
            </w:pPr>
            <w:r>
              <w:rPr>
                <w:sz w:val="18"/>
              </w:rPr>
              <w:t>34.15</w:t>
            </w:r>
          </w:p>
        </w:tc>
        <w:tc>
          <w:tcPr>
            <w:tcW w:w="864" w:type="dxa"/>
          </w:tcPr>
          <w:p w14:paraId="0192CFA3" w14:textId="77777777" w:rsidR="00D23216" w:rsidRDefault="00000000">
            <w:pPr>
              <w:spacing w:after="0"/>
              <w:jc w:val="center"/>
            </w:pPr>
            <w:r>
              <w:rPr>
                <w:sz w:val="18"/>
              </w:rPr>
              <w:t>−0.0811</w:t>
            </w:r>
          </w:p>
        </w:tc>
        <w:tc>
          <w:tcPr>
            <w:tcW w:w="792" w:type="dxa"/>
          </w:tcPr>
          <w:p w14:paraId="78344C6B" w14:textId="77777777" w:rsidR="00D23216" w:rsidRDefault="00000000">
            <w:pPr>
              <w:spacing w:after="0"/>
              <w:jc w:val="center"/>
            </w:pPr>
            <w:r>
              <w:rPr>
                <w:sz w:val="18"/>
              </w:rPr>
              <w:t>&lt;0.001</w:t>
            </w:r>
          </w:p>
        </w:tc>
        <w:tc>
          <w:tcPr>
            <w:tcW w:w="792" w:type="dxa"/>
          </w:tcPr>
          <w:p w14:paraId="0964AB86" w14:textId="77777777" w:rsidR="00D23216" w:rsidRDefault="00000000">
            <w:pPr>
              <w:spacing w:after="0"/>
              <w:jc w:val="center"/>
            </w:pPr>
            <w:r>
              <w:rPr>
                <w:sz w:val="18"/>
              </w:rPr>
              <w:t>0.233</w:t>
            </w:r>
          </w:p>
        </w:tc>
        <w:tc>
          <w:tcPr>
            <w:tcW w:w="792" w:type="dxa"/>
          </w:tcPr>
          <w:p w14:paraId="7614DBEA" w14:textId="77777777" w:rsidR="00D23216" w:rsidRDefault="00000000">
            <w:pPr>
              <w:spacing w:after="0"/>
              <w:jc w:val="center"/>
            </w:pPr>
            <w:r>
              <w:rPr>
                <w:sz w:val="18"/>
              </w:rPr>
              <w:t>&lt;0.001</w:t>
            </w:r>
          </w:p>
        </w:tc>
      </w:tr>
    </w:tbl>
    <w:p w14:paraId="1C7C87AF" w14:textId="77777777" w:rsidR="00D23216" w:rsidRDefault="00000000">
      <w:pPr>
        <w:spacing w:after="200"/>
      </w:pPr>
      <w:r>
        <w:rPr>
          <w:i/>
          <w:sz w:val="20"/>
        </w:rPr>
        <w:t>Notes: Bounds F-statistics exceed the upper I(1) critical value at the 1 percent level for all four specifications, supporting a long-run levels relationship between the dependent variable and the asymmetric oil-side regressors. The error-correction terms are negative and significant in each specification, with magnitudes consistent with slow adjustment to the long-run relationship. The short-run Wald symmetry test does not reject symmetric short-run pass-through in any of the four specifications, while the long-run Wald symmetry test rejects symmetry in three of the four. These NARDL results are reported as supplementary evidence; the main conclusions of the dissertation rest on the differenced ADL specifications in the main text.</w:t>
      </w:r>
    </w:p>
    <w:p w14:paraId="706E00F7" w14:textId="77777777" w:rsidR="00D23216" w:rsidRDefault="00000000">
      <w:r>
        <w:t xml:space="preserve">Two readings of Table A.1 are worth keeping. First, the long-run asymmetry signal that emerges in the levels NARDL is consistent with the marginal short-run asymmetry observed at the retail petrol layer in the main text, but it does not reverse the central </w:t>
      </w:r>
      <w:r>
        <w:lastRenderedPageBreak/>
        <w:t>conclusion that short-run asymmetry is weak across the layered chain. Second, the NARDL specification depends on the level-series integration assumptions and on the lag-selection criteria used to set up the bounds test. The differenced ADL specifications used in the main text do not require these assumptions and are therefore the more defensible workhorse for short-run pass-through inference.</w:t>
      </w:r>
    </w:p>
    <w:p w14:paraId="4727ED01" w14:textId="77777777" w:rsidR="00D23216" w:rsidRDefault="00000000">
      <w:r>
        <w:br w:type="page"/>
      </w:r>
    </w:p>
    <w:p w14:paraId="61BC2125" w14:textId="77777777" w:rsidR="00D23216" w:rsidRDefault="00000000">
      <w:pPr>
        <w:pStyle w:val="Heading1"/>
      </w:pPr>
      <w:r>
        <w:rPr>
          <w:rFonts w:ascii="Times New Roman" w:hAnsi="Times New Roman"/>
        </w:rPr>
        <w:lastRenderedPageBreak/>
        <w:br/>
      </w:r>
      <w:bookmarkStart w:id="41" w:name="_Toc228196723"/>
      <w:r>
        <w:rPr>
          <w:rFonts w:ascii="Times New Roman" w:hAnsi="Times New Roman"/>
        </w:rPr>
        <w:t>References</w:t>
      </w:r>
      <w:bookmarkEnd w:id="41"/>
    </w:p>
    <w:p w14:paraId="095063DC" w14:textId="77777777" w:rsidR="00D23216" w:rsidRDefault="00000000">
      <w:pPr>
        <w:ind w:left="576" w:hanging="576"/>
        <w:jc w:val="left"/>
      </w:pPr>
      <w:r>
        <w:t>Bai, J., &amp; Perron, P. (2003). Computation and analysis of multiple structural change models. Journal of Applied Econometrics, 18(1), 1–22. https://doi.org/10.1002/jae.659</w:t>
      </w:r>
    </w:p>
    <w:p w14:paraId="6C13931C" w14:textId="77777777" w:rsidR="00D23216" w:rsidRDefault="00000000">
      <w:pPr>
        <w:ind w:left="576" w:hanging="576"/>
        <w:jc w:val="left"/>
      </w:pPr>
      <w:r>
        <w:t>Bhanumurthy, N. R., Das, S., &amp; Bose, S. (2012). Oil price shock, pass-through policy and its impact on India (NIPFP Working Paper No. 2012-99). National Institute of Public Finance and Policy.</w:t>
      </w:r>
    </w:p>
    <w:p w14:paraId="45FF8F1C" w14:textId="77777777" w:rsidR="00D23216" w:rsidRDefault="00000000">
      <w:pPr>
        <w:ind w:left="576" w:hanging="576"/>
        <w:jc w:val="left"/>
      </w:pPr>
      <w:r>
        <w:t>Kwiatkowski, D., Phillips, P. C. B., Schmidt, P., &amp; Shin, Y. (1992). Testing the null hypothesis of stationarity against the alternative of a unit root. Journal of Econometrics, 54(1–3), 159–178. https://doi.org/10.1016/0304-4076(92)90104-Y</w:t>
      </w:r>
    </w:p>
    <w:p w14:paraId="7821FB43" w14:textId="77777777" w:rsidR="00D23216" w:rsidRDefault="00000000">
      <w:pPr>
        <w:ind w:left="576" w:hanging="576"/>
        <w:jc w:val="left"/>
      </w:pPr>
      <w:r>
        <w:t>Mandal, K., Bhattacharyya, I., &amp; Bhoi, B. B. (2012). Is the oil price pass-through in India any different? Journal of Policy Modeling, 34(6), 832–848. https://doi.org/10.1016/j.jpolmod.2012.06.001</w:t>
      </w:r>
    </w:p>
    <w:p w14:paraId="4AB12E3A" w14:textId="77777777" w:rsidR="00D23216" w:rsidRDefault="00000000">
      <w:pPr>
        <w:ind w:left="576" w:hanging="576"/>
        <w:jc w:val="left"/>
      </w:pPr>
      <w:r>
        <w:t>Ministry of Statistics and Programme Implementation. (2015). Consumer Price Index: Changes in the revised series. Government of India.</w:t>
      </w:r>
    </w:p>
    <w:p w14:paraId="0A474EB3" w14:textId="77777777" w:rsidR="00D23216" w:rsidRDefault="00000000">
      <w:pPr>
        <w:ind w:left="576" w:hanging="576"/>
        <w:jc w:val="left"/>
      </w:pPr>
      <w:r>
        <w:t>Newey, W. K., &amp; West, K. D. (1987). A simple, positive semi-definite, heteroskedasticity and autocorrelation consistent covariance matrix. Econometrica, 55(3), 703–708. https://doi.org/10.2307/1913610</w:t>
      </w:r>
    </w:p>
    <w:p w14:paraId="6CA2E485" w14:textId="77777777" w:rsidR="00D23216" w:rsidRDefault="00000000">
      <w:pPr>
        <w:ind w:left="576" w:hanging="576"/>
        <w:jc w:val="left"/>
      </w:pPr>
      <w:r>
        <w:t>Office of the Economic Adviser. (2017). Manual on Wholesale Price Index: Base 2011-12 = 100. Department for Promotion of Industry and Internal Trade, Ministry of Commerce and Industry, Government of India.</w:t>
      </w:r>
    </w:p>
    <w:p w14:paraId="4025A4B3" w14:textId="77777777" w:rsidR="00D23216" w:rsidRDefault="00000000">
      <w:pPr>
        <w:ind w:left="576" w:hanging="576"/>
        <w:jc w:val="left"/>
      </w:pPr>
      <w:r>
        <w:t>Pal, D., &amp; Mitra, S. K. (2016). Asymmetric oil product pricing in India: Evidence from a multiple threshold nonlinear ARDL model. Economic Modelling, 59, 314–328. https://doi.org/10.1016/j.econmod.2016.08.003</w:t>
      </w:r>
    </w:p>
    <w:p w14:paraId="7F2C2D88" w14:textId="77777777" w:rsidR="00D23216" w:rsidRDefault="00000000">
      <w:pPr>
        <w:ind w:left="576" w:hanging="576"/>
        <w:jc w:val="left"/>
      </w:pPr>
      <w:r>
        <w:t>Pesaran, M. H., Shin, Y., &amp; Smith, R. J. (2001). Bounds testing approaches to the analysis of level relationships. Journal of Applied Econometrics, 16(3), 289–326. https://doi.org/10.1002/jae.616</w:t>
      </w:r>
    </w:p>
    <w:p w14:paraId="5CDBB7AF" w14:textId="77777777" w:rsidR="00D23216" w:rsidRDefault="00000000">
      <w:pPr>
        <w:ind w:left="576" w:hanging="576"/>
        <w:jc w:val="left"/>
      </w:pPr>
      <w:r>
        <w:lastRenderedPageBreak/>
        <w:t>Petroleum Planning and Analysis Cell. (2024). Ready reckoner: India's oil and gas. Ministry of Petroleum and Natural Gas, Government of India.</w:t>
      </w:r>
    </w:p>
    <w:p w14:paraId="7422A962" w14:textId="77777777" w:rsidR="00D23216" w:rsidRDefault="00000000">
      <w:pPr>
        <w:ind w:left="576" w:hanging="576"/>
        <w:jc w:val="left"/>
      </w:pPr>
      <w:r>
        <w:t>Pradeep, S. (2022). Impact of diesel price reforms on asymmetricity of oil price pass-through to inflation: Indian perspective. The Journal of Economic Asymmetries, 26, e00249. https://doi.org/10.1016/j.jeca.2022.e00249</w:t>
      </w:r>
    </w:p>
    <w:p w14:paraId="70C91B9F" w14:textId="77777777" w:rsidR="00D23216" w:rsidRDefault="00000000">
      <w:pPr>
        <w:ind w:left="576" w:hanging="576"/>
        <w:jc w:val="left"/>
      </w:pPr>
      <w:r>
        <w:t>Shin, Y., Yu, B., &amp; Greenwood-Nimmo, M. (2014). Modelling asymmetric cointegration and dynamic multipliers in a nonlinear ARDL framework. In R. C. Sickles &amp; W. C. Horrace (Eds.), Festschrift in honor of Peter Schmidt: Econometric methods and applications (pp. 281–314). Springer. https://doi.org/10.1007/978-1-4899-8008-3_9</w:t>
      </w:r>
    </w:p>
    <w:p w14:paraId="6E3588BD" w14:textId="77777777" w:rsidR="00D23216" w:rsidRDefault="00000000">
      <w:pPr>
        <w:ind w:left="576" w:hanging="576"/>
        <w:jc w:val="left"/>
      </w:pPr>
      <w:r>
        <w:t>World Bank. (2026). Commodity price data: The Pink Sheet. World Bank Commodity Markets.</w:t>
      </w:r>
    </w:p>
    <w:sectPr w:rsidR="00D23216" w:rsidSect="00034616">
      <w:pgSz w:w="11906" w:h="16838"/>
      <w:pgMar w:top="1440" w:right="1440" w:bottom="1440" w:left="20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C499" w14:textId="77777777" w:rsidR="00AA2480" w:rsidRDefault="00AA2480" w:rsidP="003A158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745D" w14:textId="77777777" w:rsidR="00AA2480" w:rsidRDefault="00AA2480">
    <w:pPr>
      <w:pStyle w:val="Footer"/>
      <w:jc w:val="center"/>
    </w:pPr>
  </w:p>
  <w:p w14:paraId="0E27CB63" w14:textId="77777777" w:rsidR="00AA2480" w:rsidRDefault="00AA24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847025"/>
      <w:docPartObj>
        <w:docPartGallery w:val="Page Numbers (Bottom of Page)"/>
        <w:docPartUnique/>
      </w:docPartObj>
    </w:sdtPr>
    <w:sdtEndPr>
      <w:rPr>
        <w:noProof/>
      </w:rPr>
    </w:sdtEndPr>
    <w:sdtContent>
      <w:p w14:paraId="7C4A3776" w14:textId="77777777" w:rsidR="00AA2480" w:rsidRDefault="00AA24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3EB310" w14:textId="77777777" w:rsidR="00AA2480" w:rsidRDefault="00AA248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7080912">
    <w:abstractNumId w:val="8"/>
  </w:num>
  <w:num w:numId="2" w16cid:durableId="310913207">
    <w:abstractNumId w:val="6"/>
  </w:num>
  <w:num w:numId="3" w16cid:durableId="632172732">
    <w:abstractNumId w:val="5"/>
  </w:num>
  <w:num w:numId="4" w16cid:durableId="1136483864">
    <w:abstractNumId w:val="4"/>
  </w:num>
  <w:num w:numId="5" w16cid:durableId="1873687811">
    <w:abstractNumId w:val="7"/>
  </w:num>
  <w:num w:numId="6" w16cid:durableId="489176689">
    <w:abstractNumId w:val="3"/>
  </w:num>
  <w:num w:numId="7" w16cid:durableId="181284999">
    <w:abstractNumId w:val="2"/>
  </w:num>
  <w:num w:numId="8" w16cid:durableId="906964077">
    <w:abstractNumId w:val="1"/>
  </w:num>
  <w:num w:numId="9" w16cid:durableId="1860503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0D3"/>
    <w:rsid w:val="0015074B"/>
    <w:rsid w:val="001D4734"/>
    <w:rsid w:val="0029639D"/>
    <w:rsid w:val="00326F90"/>
    <w:rsid w:val="004B0D1C"/>
    <w:rsid w:val="006F446A"/>
    <w:rsid w:val="008B0EC6"/>
    <w:rsid w:val="00AA1D8D"/>
    <w:rsid w:val="00AA2480"/>
    <w:rsid w:val="00B47730"/>
    <w:rsid w:val="00CB0664"/>
    <w:rsid w:val="00D23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A0F27"/>
  <w14:defaultImageDpi w14:val="300"/>
  <w15:docId w15:val="{A2A3039B-D0E8-2547-9B43-A97817D94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70D3"/>
    <w:pPr>
      <w:spacing w:before="120" w:after="0"/>
      <w:jc w:val="left"/>
    </w:pPr>
    <w:rPr>
      <w:rFonts w:asciiTheme="minorHAnsi" w:hAnsiTheme="minorHAnsi"/>
      <w:b/>
      <w:bCs/>
      <w:i/>
      <w:iCs/>
      <w:szCs w:val="28"/>
    </w:rPr>
  </w:style>
  <w:style w:type="paragraph" w:styleId="TOC2">
    <w:name w:val="toc 2"/>
    <w:basedOn w:val="Normal"/>
    <w:next w:val="Normal"/>
    <w:autoRedefine/>
    <w:uiPriority w:val="39"/>
    <w:unhideWhenUsed/>
    <w:rsid w:val="001070D3"/>
    <w:pPr>
      <w:spacing w:before="120" w:after="0"/>
      <w:ind w:left="240"/>
      <w:jc w:val="left"/>
    </w:pPr>
    <w:rPr>
      <w:rFonts w:asciiTheme="minorHAnsi" w:hAnsiTheme="minorHAnsi"/>
      <w:b/>
      <w:bCs/>
      <w:sz w:val="22"/>
      <w:szCs w:val="26"/>
    </w:rPr>
  </w:style>
  <w:style w:type="character" w:styleId="Hyperlink">
    <w:name w:val="Hyperlink"/>
    <w:basedOn w:val="DefaultParagraphFont"/>
    <w:uiPriority w:val="99"/>
    <w:unhideWhenUsed/>
    <w:rsid w:val="001070D3"/>
    <w:rPr>
      <w:color w:val="0000FF" w:themeColor="hyperlink"/>
      <w:u w:val="single"/>
    </w:rPr>
  </w:style>
  <w:style w:type="paragraph" w:styleId="TOC3">
    <w:name w:val="toc 3"/>
    <w:basedOn w:val="Normal"/>
    <w:next w:val="Normal"/>
    <w:autoRedefine/>
    <w:uiPriority w:val="39"/>
    <w:semiHidden/>
    <w:unhideWhenUsed/>
    <w:rsid w:val="001070D3"/>
    <w:pPr>
      <w:spacing w:after="0"/>
      <w:ind w:left="480"/>
      <w:jc w:val="left"/>
    </w:pPr>
    <w:rPr>
      <w:rFonts w:asciiTheme="minorHAnsi" w:hAnsiTheme="minorHAnsi"/>
      <w:sz w:val="20"/>
      <w:szCs w:val="24"/>
    </w:rPr>
  </w:style>
  <w:style w:type="paragraph" w:styleId="TOC4">
    <w:name w:val="toc 4"/>
    <w:basedOn w:val="Normal"/>
    <w:next w:val="Normal"/>
    <w:autoRedefine/>
    <w:uiPriority w:val="39"/>
    <w:semiHidden/>
    <w:unhideWhenUsed/>
    <w:rsid w:val="001070D3"/>
    <w:pPr>
      <w:spacing w:after="0"/>
      <w:ind w:left="720"/>
      <w:jc w:val="left"/>
    </w:pPr>
    <w:rPr>
      <w:rFonts w:asciiTheme="minorHAnsi" w:hAnsiTheme="minorHAnsi"/>
      <w:sz w:val="20"/>
      <w:szCs w:val="24"/>
    </w:rPr>
  </w:style>
  <w:style w:type="paragraph" w:styleId="TOC5">
    <w:name w:val="toc 5"/>
    <w:basedOn w:val="Normal"/>
    <w:next w:val="Normal"/>
    <w:autoRedefine/>
    <w:uiPriority w:val="39"/>
    <w:semiHidden/>
    <w:unhideWhenUsed/>
    <w:rsid w:val="001070D3"/>
    <w:pPr>
      <w:spacing w:after="0"/>
      <w:ind w:left="960"/>
      <w:jc w:val="left"/>
    </w:pPr>
    <w:rPr>
      <w:rFonts w:asciiTheme="minorHAnsi" w:hAnsiTheme="minorHAnsi"/>
      <w:sz w:val="20"/>
      <w:szCs w:val="24"/>
    </w:rPr>
  </w:style>
  <w:style w:type="paragraph" w:styleId="TOC6">
    <w:name w:val="toc 6"/>
    <w:basedOn w:val="Normal"/>
    <w:next w:val="Normal"/>
    <w:autoRedefine/>
    <w:uiPriority w:val="39"/>
    <w:semiHidden/>
    <w:unhideWhenUsed/>
    <w:rsid w:val="001070D3"/>
    <w:pPr>
      <w:spacing w:after="0"/>
      <w:ind w:left="1200"/>
      <w:jc w:val="left"/>
    </w:pPr>
    <w:rPr>
      <w:rFonts w:asciiTheme="minorHAnsi" w:hAnsiTheme="minorHAnsi"/>
      <w:sz w:val="20"/>
      <w:szCs w:val="24"/>
    </w:rPr>
  </w:style>
  <w:style w:type="paragraph" w:styleId="TOC7">
    <w:name w:val="toc 7"/>
    <w:basedOn w:val="Normal"/>
    <w:next w:val="Normal"/>
    <w:autoRedefine/>
    <w:uiPriority w:val="39"/>
    <w:semiHidden/>
    <w:unhideWhenUsed/>
    <w:rsid w:val="001070D3"/>
    <w:pPr>
      <w:spacing w:after="0"/>
      <w:ind w:left="1440"/>
      <w:jc w:val="left"/>
    </w:pPr>
    <w:rPr>
      <w:rFonts w:asciiTheme="minorHAnsi" w:hAnsiTheme="minorHAnsi"/>
      <w:sz w:val="20"/>
      <w:szCs w:val="24"/>
    </w:rPr>
  </w:style>
  <w:style w:type="paragraph" w:styleId="TOC8">
    <w:name w:val="toc 8"/>
    <w:basedOn w:val="Normal"/>
    <w:next w:val="Normal"/>
    <w:autoRedefine/>
    <w:uiPriority w:val="39"/>
    <w:semiHidden/>
    <w:unhideWhenUsed/>
    <w:rsid w:val="001070D3"/>
    <w:pPr>
      <w:spacing w:after="0"/>
      <w:ind w:left="1680"/>
      <w:jc w:val="left"/>
    </w:pPr>
    <w:rPr>
      <w:rFonts w:asciiTheme="minorHAnsi" w:hAnsiTheme="minorHAnsi"/>
      <w:sz w:val="20"/>
      <w:szCs w:val="24"/>
    </w:rPr>
  </w:style>
  <w:style w:type="paragraph" w:styleId="TOC9">
    <w:name w:val="toc 9"/>
    <w:basedOn w:val="Normal"/>
    <w:next w:val="Normal"/>
    <w:autoRedefine/>
    <w:uiPriority w:val="39"/>
    <w:semiHidden/>
    <w:unhideWhenUsed/>
    <w:rsid w:val="001070D3"/>
    <w:pPr>
      <w:spacing w:after="0"/>
      <w:ind w:left="1920"/>
      <w:jc w:val="left"/>
    </w:pPr>
    <w:rPr>
      <w:rFonts w:asciiTheme="minorHAnsi" w:hAnsiTheme="minorHAns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3.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37</Pages>
  <Words>9128</Words>
  <Characters>52033</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Pandey</cp:lastModifiedBy>
  <cp:revision>5</cp:revision>
  <dcterms:created xsi:type="dcterms:W3CDTF">2013-12-23T23:15:00Z</dcterms:created>
  <dcterms:modified xsi:type="dcterms:W3CDTF">2026-04-27T10:08:00Z</dcterms:modified>
  <cp:category/>
</cp:coreProperties>
</file>