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ind w:firstLine="0"/>
        <w:jc w:val="center"/>
      </w:pPr>
      <w:r>
        <w:rPr>
          <w:rFonts w:ascii="Times New Roman" w:hAnsi="Times New Roman"/>
          <w:b/>
          <w:sz w:val="56"/>
        </w:rPr>
        <w:t>Study Guide</w:t>
      </w:r>
    </w:p>
    <w:p>
      <w:pPr>
        <w:spacing w:after="160"/>
        <w:ind w:firstLine="0"/>
        <w:jc w:val="center"/>
      </w:pPr>
      <w:r>
        <w:rPr>
          <w:rFonts w:ascii="Times New Roman" w:hAnsi="Times New Roman"/>
          <w:b/>
          <w:sz w:val="32"/>
        </w:rPr>
        <w:t>From wholesale prices to consumer inflation: layered pass-through of global oil shocks in India</w:t>
      </w:r>
    </w:p>
    <w:p>
      <w:pPr>
        <w:spacing w:after="120"/>
        <w:ind w:firstLine="0"/>
        <w:jc w:val="center"/>
      </w:pPr>
      <w:r>
        <w:rPr>
          <w:rFonts w:ascii="Times New Roman" w:hAnsi="Times New Roman"/>
          <w:i/>
          <w:sz w:val="26"/>
        </w:rPr>
        <w:t>A plain-language walk-through for presentation and viva</w:t>
      </w:r>
    </w:p>
    <w:p>
      <w:pPr>
        <w:spacing w:before="600" w:after="120"/>
        <w:ind w:firstLine="0"/>
        <w:jc w:val="center"/>
      </w:pPr>
      <w:r>
        <w:rPr>
          <w:rFonts w:ascii="Times New Roman" w:hAnsi="Times New Roman"/>
          <w:sz w:val="24"/>
        </w:rPr>
        <w:t>Companion to the dissertation and journal paper by Aniket Pandey</w:t>
      </w:r>
    </w:p>
    <w:p>
      <w:pPr>
        <w:spacing w:before="720"/>
        <w:ind w:firstLine="0"/>
        <w:jc w:val="center"/>
      </w:pPr>
      <w:r>
        <w:rPr>
          <w:rFonts w:ascii="Times New Roman" w:hAnsi="Times New Roman"/>
          <w:i/>
          <w:sz w:val="22"/>
        </w:rPr>
        <w:t>Read this side by side with aniket-dissertation.docx and journal-paper.docx. Every result cited here comes from the model outputs in models/cpi and models/wpi.</w:t>
      </w:r>
      <w:r>
        <w:br w:type="page"/>
      </w:r>
    </w:p>
    <w:p>
      <w:pPr>
        <w:pStyle w:val="Heading1"/>
        <w:ind w:firstLine="0"/>
        <w:jc w:val="left"/>
      </w:pPr>
      <w:r>
        <w:rPr>
          <w:rFonts w:ascii="Times New Roman" w:hAnsi="Times New Roman"/>
          <w:b/>
        </w:rPr>
        <w:t>How to use this guide</w:t>
      </w:r>
    </w:p>
    <w:p>
      <w:pPr>
        <w:jc w:val="both"/>
      </w:pPr>
      <w:r>
        <w:rPr>
          <w:rFonts w:ascii="Times New Roman" w:hAnsi="Times New Roman" w:cs="Times New Roman" w:eastAsia="Times New Roman"/>
          <w:b w:val="0"/>
          <w:i w:val="0"/>
          <w:sz w:val="23"/>
        </w:rPr>
        <w:t>This guide is written for you, the student, and for anyone grading or listening to your defence. It is not a second dissertation. It is a companion. Read it in order the first time through. After that, jump to whichever section a specific question points to. Every Greek letter, every test, every model choice is explained in plain words before any formula is used.</w:t>
      </w:r>
    </w:p>
    <w:p>
      <w:pPr>
        <w:pStyle w:val="ListBullet"/>
        <w:spacing w:after="40" w:line="300" w:lineRule="auto"/>
        <w:ind w:firstLine="0"/>
      </w:pPr>
      <w:r>
        <w:rPr>
          <w:rFonts w:ascii="Times New Roman" w:hAnsi="Times New Roman" w:cs="Times New Roman" w:eastAsia="Times New Roman"/>
          <w:b w:val="0"/>
          <w:i w:val="0"/>
          <w:sz w:val="23"/>
        </w:rPr>
        <w:t>Part 1: The big picture in one page.</w:t>
      </w:r>
    </w:p>
    <w:p>
      <w:pPr>
        <w:pStyle w:val="ListBullet"/>
        <w:spacing w:after="40" w:line="300" w:lineRule="auto"/>
        <w:ind w:firstLine="0"/>
      </w:pPr>
      <w:r>
        <w:rPr>
          <w:rFonts w:ascii="Times New Roman" w:hAnsi="Times New Roman" w:cs="Times New Roman" w:eastAsia="Times New Roman"/>
          <w:b w:val="0"/>
          <w:i w:val="0"/>
          <w:sz w:val="23"/>
        </w:rPr>
        <w:t>Part 2: Background. India, oil, WPI, CPI, and why the dollar matters.</w:t>
      </w:r>
    </w:p>
    <w:p>
      <w:pPr>
        <w:pStyle w:val="ListBullet"/>
        <w:spacing w:after="40" w:line="300" w:lineRule="auto"/>
        <w:ind w:firstLine="0"/>
      </w:pPr>
      <w:r>
        <w:rPr>
          <w:rFonts w:ascii="Times New Roman" w:hAnsi="Times New Roman" w:cs="Times New Roman" w:eastAsia="Times New Roman"/>
          <w:b w:val="0"/>
          <w:i w:val="0"/>
          <w:sz w:val="23"/>
        </w:rPr>
        <w:t>Part 3: Research question, objectives, and contribution.</w:t>
      </w:r>
    </w:p>
    <w:p>
      <w:pPr>
        <w:pStyle w:val="ListBullet"/>
        <w:spacing w:after="40" w:line="300" w:lineRule="auto"/>
        <w:ind w:firstLine="0"/>
      </w:pPr>
      <w:r>
        <w:rPr>
          <w:rFonts w:ascii="Times New Roman" w:hAnsi="Times New Roman" w:cs="Times New Roman" w:eastAsia="Times New Roman"/>
          <w:b w:val="0"/>
          <w:i w:val="0"/>
          <w:sz w:val="23"/>
        </w:rPr>
        <w:t>Part 4: Data sources, full forms, and what each series is.</w:t>
      </w:r>
    </w:p>
    <w:p>
      <w:pPr>
        <w:pStyle w:val="ListBullet"/>
        <w:spacing w:after="40" w:line="300" w:lineRule="auto"/>
        <w:ind w:firstLine="0"/>
      </w:pPr>
      <w:r>
        <w:rPr>
          <w:rFonts w:ascii="Times New Roman" w:hAnsi="Times New Roman" w:cs="Times New Roman" w:eastAsia="Times New Roman"/>
          <w:b w:val="0"/>
          <w:i w:val="0"/>
          <w:sz w:val="23"/>
        </w:rPr>
        <w:t>Part 5: Variables. Log differences, shock splits, and the rupee oil price.</w:t>
      </w:r>
    </w:p>
    <w:p>
      <w:pPr>
        <w:pStyle w:val="ListBullet"/>
        <w:spacing w:after="40" w:line="300" w:lineRule="auto"/>
        <w:ind w:firstLine="0"/>
      </w:pPr>
      <w:r>
        <w:rPr>
          <w:rFonts w:ascii="Times New Roman" w:hAnsi="Times New Roman" w:cs="Times New Roman" w:eastAsia="Times New Roman"/>
          <w:b w:val="0"/>
          <w:i w:val="0"/>
          <w:sz w:val="23"/>
        </w:rPr>
        <w:t>Part 6: Methodology. ADL models, OLS, and what α, β, γ, μ, ε, φ mean.</w:t>
      </w:r>
    </w:p>
    <w:p>
      <w:pPr>
        <w:pStyle w:val="ListBullet"/>
        <w:spacing w:after="40" w:line="300" w:lineRule="auto"/>
        <w:ind w:firstLine="0"/>
      </w:pPr>
      <w:r>
        <w:rPr>
          <w:rFonts w:ascii="Times New Roman" w:hAnsi="Times New Roman" w:cs="Times New Roman" w:eastAsia="Times New Roman"/>
          <w:b w:val="0"/>
          <w:i w:val="0"/>
          <w:sz w:val="23"/>
        </w:rPr>
        <w:t>Part 7: Inference. HAC standard errors, bootstrap, Wald, Granger.</w:t>
      </w:r>
    </w:p>
    <w:p>
      <w:pPr>
        <w:pStyle w:val="ListBullet"/>
        <w:spacing w:after="40" w:line="300" w:lineRule="auto"/>
        <w:ind w:firstLine="0"/>
      </w:pPr>
      <w:r>
        <w:rPr>
          <w:rFonts w:ascii="Times New Roman" w:hAnsi="Times New Roman" w:cs="Times New Roman" w:eastAsia="Times New Roman"/>
          <w:b w:val="0"/>
          <w:i w:val="0"/>
          <w:sz w:val="23"/>
        </w:rPr>
        <w:t>Part 8: Diagnostics. Unit roots, breaks, BG, RESET, CUSUM, the model gate.</w:t>
      </w:r>
    </w:p>
    <w:p>
      <w:pPr>
        <w:pStyle w:val="ListBullet"/>
        <w:spacing w:after="40" w:line="300" w:lineRule="auto"/>
        <w:ind w:firstLine="0"/>
      </w:pPr>
      <w:r>
        <w:rPr>
          <w:rFonts w:ascii="Times New Roman" w:hAnsi="Times New Roman" w:cs="Times New Roman" w:eastAsia="Times New Roman"/>
          <w:b w:val="0"/>
          <w:i w:val="0"/>
          <w:sz w:val="23"/>
        </w:rPr>
        <w:t>Part 9: Results. Layer by layer with every number spelled out.</w:t>
      </w:r>
    </w:p>
    <w:p>
      <w:pPr>
        <w:pStyle w:val="ListBullet"/>
        <w:spacing w:after="40" w:line="300" w:lineRule="auto"/>
        <w:ind w:firstLine="0"/>
      </w:pPr>
      <w:r>
        <w:rPr>
          <w:rFonts w:ascii="Times New Roman" w:hAnsi="Times New Roman" w:cs="Times New Roman" w:eastAsia="Times New Roman"/>
          <w:b w:val="0"/>
          <w:i w:val="0"/>
          <w:sz w:val="23"/>
        </w:rPr>
        <w:t>Part 10: Robustness and limitations.</w:t>
      </w:r>
    </w:p>
    <w:p>
      <w:pPr>
        <w:pStyle w:val="ListBullet"/>
        <w:spacing w:after="40" w:line="300" w:lineRule="auto"/>
        <w:ind w:firstLine="0"/>
      </w:pPr>
      <w:r>
        <w:rPr>
          <w:rFonts w:ascii="Times New Roman" w:hAnsi="Times New Roman" w:cs="Times New Roman" w:eastAsia="Times New Roman"/>
          <w:b w:val="0"/>
          <w:i w:val="0"/>
          <w:sz w:val="23"/>
        </w:rPr>
        <w:t>Part 11: Conclusion and what the teacher will ask.</w:t>
      </w:r>
    </w:p>
    <w:p>
      <w:pPr>
        <w:pStyle w:val="ListBullet"/>
        <w:spacing w:after="40" w:line="300" w:lineRule="auto"/>
        <w:ind w:firstLine="0"/>
      </w:pPr>
      <w:r>
        <w:rPr>
          <w:rFonts w:ascii="Times New Roman" w:hAnsi="Times New Roman" w:cs="Times New Roman" w:eastAsia="Times New Roman"/>
          <w:b w:val="0"/>
          <w:i w:val="0"/>
          <w:sz w:val="23"/>
        </w:rPr>
        <w:t>Part 12: Viva question bank with model answers.</w:t>
      </w:r>
    </w:p>
    <w:p>
      <w:pPr>
        <w:pStyle w:val="ListBullet"/>
        <w:spacing w:after="40" w:line="300" w:lineRule="auto"/>
        <w:ind w:firstLine="0"/>
      </w:pPr>
      <w:r>
        <w:rPr>
          <w:rFonts w:ascii="Times New Roman" w:hAnsi="Times New Roman" w:cs="Times New Roman" w:eastAsia="Times New Roman"/>
          <w:b w:val="0"/>
          <w:i w:val="0"/>
          <w:sz w:val="23"/>
        </w:rPr>
        <w:t>Part 13: Glossary and cheat sheet.</w:t>
      </w:r>
    </w:p>
    <w:p>
      <w:pPr>
        <w:spacing w:before="120" w:after="120"/>
        <w:ind w:firstLine="0" w:left="144" w:right="144"/>
        <w:shd w:val="clear" w:color="auto" w:fill="EEF2FA"/>
      </w:pPr>
      <w:r>
        <w:rPr>
          <w:rFonts w:ascii="Times New Roman" w:hAnsi="Times New Roman" w:cs="Times New Roman" w:eastAsia="Times New Roman"/>
          <w:b/>
          <w:i w:val="0"/>
          <w:sz w:val="22"/>
        </w:rPr>
        <w:t xml:space="preserve">Tip: </w:t>
      </w:r>
      <w:r>
        <w:rPr>
          <w:rFonts w:ascii="Times New Roman" w:hAnsi="Times New Roman" w:cs="Times New Roman" w:eastAsia="Times New Roman"/>
          <w:b w:val="0"/>
          <w:i/>
          <w:sz w:val="22"/>
        </w:rPr>
        <w:t>If a single question lands on one topic, turn to the Viva question bank in Part 12 first, then read the relevant methodology or results section for supporting detail.</w:t>
      </w:r>
      <w:r>
        <w:br w:type="page"/>
      </w:r>
    </w:p>
    <w:p>
      <w:pPr>
        <w:pStyle w:val="Heading1"/>
        <w:ind w:firstLine="0"/>
        <w:jc w:val="left"/>
      </w:pPr>
      <w:r>
        <w:rPr>
          <w:rFonts w:ascii="Times New Roman" w:hAnsi="Times New Roman"/>
          <w:b/>
        </w:rPr>
        <w:t>Part 1. The big picture in one page</w:t>
      </w:r>
    </w:p>
    <w:p>
      <w:pPr>
        <w:pStyle w:val="Heading2"/>
        <w:ind w:firstLine="0"/>
        <w:jc w:val="left"/>
      </w:pPr>
      <w:r>
        <w:rPr>
          <w:rFonts w:ascii="Times New Roman" w:hAnsi="Times New Roman"/>
          <w:b/>
        </w:rPr>
        <w:t>1.1 What is the research about, in one line</w:t>
      </w:r>
    </w:p>
    <w:p>
      <w:pPr>
        <w:jc w:val="both"/>
      </w:pPr>
      <w:r>
        <w:rPr>
          <w:rFonts w:ascii="Times New Roman" w:hAnsi="Times New Roman" w:cs="Times New Roman" w:eastAsia="Times New Roman"/>
          <w:b w:val="0"/>
          <w:i w:val="0"/>
          <w:sz w:val="23"/>
        </w:rPr>
        <w:t>We study how changes in the global price of crude oil reach different layers of prices in India, and we show that the effect is large near fuel prices but becomes much weaker by the time it hits the headline consumer price index.</w:t>
      </w:r>
    </w:p>
    <w:p>
      <w:pPr>
        <w:pStyle w:val="Heading2"/>
        <w:ind w:firstLine="0"/>
        <w:jc w:val="left"/>
      </w:pPr>
      <w:r>
        <w:rPr>
          <w:rFonts w:ascii="Times New Roman" w:hAnsi="Times New Roman"/>
          <w:b/>
        </w:rPr>
        <w:t>1.2 Why does it matter</w:t>
      </w:r>
    </w:p>
    <w:p>
      <w:pPr>
        <w:pStyle w:val="ListBullet"/>
        <w:spacing w:after="40" w:line="300" w:lineRule="auto"/>
        <w:ind w:firstLine="0"/>
      </w:pPr>
      <w:r>
        <w:rPr>
          <w:rFonts w:ascii="Times New Roman" w:hAnsi="Times New Roman" w:cs="Times New Roman" w:eastAsia="Times New Roman"/>
          <w:b w:val="0"/>
          <w:i w:val="0"/>
          <w:sz w:val="23"/>
        </w:rPr>
        <w:t>India imports most of its crude oil, and crude is priced in US dollars. So every oil shock is also partly a rupee-dollar shock.</w:t>
      </w:r>
    </w:p>
    <w:p>
      <w:pPr>
        <w:pStyle w:val="ListBullet"/>
        <w:spacing w:after="40" w:line="300" w:lineRule="auto"/>
        <w:ind w:firstLine="0"/>
      </w:pPr>
      <w:r>
        <w:rPr>
          <w:rFonts w:ascii="Times New Roman" w:hAnsi="Times New Roman" w:cs="Times New Roman" w:eastAsia="Times New Roman"/>
          <w:b w:val="0"/>
          <w:i w:val="0"/>
          <w:sz w:val="23"/>
        </w:rPr>
        <w:t>Headline CPI is the number the Reserve Bank of India targets for inflation. If headline CPI moves only a little with oil, people may think oil no longer matters for Indian inflation. We show that is the wrong reading. Oil still matters. It matters most in fuel-related prices and becomes diluted by the time you reach the broad basket.</w:t>
      </w:r>
    </w:p>
    <w:p>
      <w:pPr>
        <w:pStyle w:val="ListBullet"/>
        <w:spacing w:after="40" w:line="300" w:lineRule="auto"/>
        <w:ind w:firstLine="0"/>
      </w:pPr>
      <w:r>
        <w:rPr>
          <w:rFonts w:ascii="Times New Roman" w:hAnsi="Times New Roman" w:cs="Times New Roman" w:eastAsia="Times New Roman"/>
          <w:b w:val="0"/>
          <w:i w:val="0"/>
          <w:sz w:val="23"/>
        </w:rPr>
        <w:t>For a policy reader this is useful. It says that headline CPI alone hides fuel-side pressure. You have to look at WPI Fuel and Power, retail petrol, and CPI Fuel and Light to see it.</w:t>
      </w:r>
    </w:p>
    <w:p>
      <w:pPr>
        <w:pStyle w:val="Heading2"/>
        <w:ind w:firstLine="0"/>
        <w:jc w:val="left"/>
      </w:pPr>
      <w:r>
        <w:rPr>
          <w:rFonts w:ascii="Times New Roman" w:hAnsi="Times New Roman"/>
          <w:b/>
        </w:rPr>
        <w:t>1.3 The five price layers we look at</w:t>
      </w:r>
    </w:p>
    <w:p>
      <w:pPr>
        <w:pStyle w:val="ListBullet"/>
        <w:spacing w:after="40" w:line="300" w:lineRule="auto"/>
        <w:ind w:firstLine="0"/>
      </w:pPr>
      <w:r>
        <w:rPr>
          <w:rFonts w:ascii="Times New Roman" w:hAnsi="Times New Roman" w:cs="Times New Roman" w:eastAsia="Times New Roman"/>
          <w:b w:val="0"/>
          <w:i w:val="0"/>
          <w:sz w:val="23"/>
        </w:rPr>
        <w:t>Headline WPI: the broad wholesale price index.</w:t>
      </w:r>
    </w:p>
    <w:p>
      <w:pPr>
        <w:pStyle w:val="ListBullet"/>
        <w:spacing w:after="40" w:line="300" w:lineRule="auto"/>
        <w:ind w:firstLine="0"/>
      </w:pPr>
      <w:r>
        <w:rPr>
          <w:rFonts w:ascii="Times New Roman" w:hAnsi="Times New Roman" w:cs="Times New Roman" w:eastAsia="Times New Roman"/>
          <w:b w:val="0"/>
          <w:i w:val="0"/>
          <w:sz w:val="23"/>
        </w:rPr>
        <w:t>WPI Fuel and Power: the fuel-specific part of WPI.</w:t>
      </w:r>
    </w:p>
    <w:p>
      <w:pPr>
        <w:pStyle w:val="ListBullet"/>
        <w:spacing w:after="40" w:line="300" w:lineRule="auto"/>
        <w:ind w:firstLine="0"/>
      </w:pPr>
      <w:r>
        <w:rPr>
          <w:rFonts w:ascii="Times New Roman" w:hAnsi="Times New Roman" w:cs="Times New Roman" w:eastAsia="Times New Roman"/>
          <w:b w:val="0"/>
          <w:i w:val="0"/>
          <w:sz w:val="23"/>
        </w:rPr>
        <w:t>PPAC Delhi retail petrol: the price you actually pay at the pump.</w:t>
      </w:r>
    </w:p>
    <w:p>
      <w:pPr>
        <w:pStyle w:val="ListBullet"/>
        <w:spacing w:after="40" w:line="300" w:lineRule="auto"/>
        <w:ind w:firstLine="0"/>
      </w:pPr>
      <w:r>
        <w:rPr>
          <w:rFonts w:ascii="Times New Roman" w:hAnsi="Times New Roman" w:cs="Times New Roman" w:eastAsia="Times New Roman"/>
          <w:b w:val="0"/>
          <w:i w:val="0"/>
          <w:sz w:val="23"/>
        </w:rPr>
        <w:t>CPI Fuel and Light: the fuel-related part of the consumer basket.</w:t>
      </w:r>
    </w:p>
    <w:p>
      <w:pPr>
        <w:pStyle w:val="ListBullet"/>
        <w:spacing w:after="40" w:line="300" w:lineRule="auto"/>
        <w:ind w:firstLine="0"/>
      </w:pPr>
      <w:r>
        <w:rPr>
          <w:rFonts w:ascii="Times New Roman" w:hAnsi="Times New Roman" w:cs="Times New Roman" w:eastAsia="Times New Roman"/>
          <w:b w:val="0"/>
          <w:i w:val="0"/>
          <w:sz w:val="23"/>
        </w:rPr>
        <w:t>Headline CPI: the broad consumer price index.</w:t>
      </w:r>
    </w:p>
    <w:p>
      <w:pPr>
        <w:pStyle w:val="Heading2"/>
        <w:ind w:firstLine="0"/>
        <w:jc w:val="left"/>
      </w:pPr>
      <w:r>
        <w:rPr>
          <w:rFonts w:ascii="Times New Roman" w:hAnsi="Times New Roman"/>
          <w:b/>
        </w:rPr>
        <w:t>1.4 The one-line punchline of the results</w:t>
      </w:r>
    </w:p>
    <w:p>
      <w:pPr>
        <w:jc w:val="both"/>
      </w:pPr>
      <w:r>
        <w:rPr>
          <w:rFonts w:ascii="Times New Roman" w:hAnsi="Times New Roman" w:cs="Times New Roman" w:eastAsia="Times New Roman"/>
          <w:b w:val="0"/>
          <w:i w:val="0"/>
          <w:sz w:val="23"/>
        </w:rPr>
        <w:t>Positive cumulative pass-through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(a fancy name for ‘how much of a one per cent oil rise shows up in the dependent price over the model's lag window’) is about 0.52 for the preferred WPI Fuel and Power model, 0.35 for retail petrol, 0.18 for CPI Fuel and Light, 0.03 for headline WPI, and only 0.02 for headline CPI — and headline CPI is not even statistically significant. The numbers fall as we move from fuel to the broad consumer index. That fall is what we call layered attenuation.</w:t>
      </w:r>
    </w:p>
    <w:p>
      <w:pPr>
        <w:pStyle w:val="Heading2"/>
        <w:ind w:firstLine="0"/>
        <w:jc w:val="left"/>
      </w:pPr>
      <w:r>
        <w:rPr>
          <w:rFonts w:ascii="Times New Roman" w:hAnsi="Times New Roman"/>
          <w:b/>
        </w:rPr>
        <w:t>1.5 One sentence on each technical ingredient</w:t>
      </w:r>
    </w:p>
    <w:p>
      <w:pPr>
        <w:pStyle w:val="ListBullet"/>
        <w:spacing w:after="40" w:line="300" w:lineRule="auto"/>
        <w:ind w:firstLine="0"/>
      </w:pPr>
      <w:r>
        <w:rPr>
          <w:rFonts w:ascii="Times New Roman" w:hAnsi="Times New Roman" w:cs="Times New Roman" w:eastAsia="Times New Roman"/>
          <w:b w:val="0"/>
          <w:i w:val="0"/>
          <w:sz w:val="23"/>
        </w:rPr>
        <w:t>Model: short-run asymmetric ADL in monthly log differences. ADL = autoregressive distributed lag. Asymmetric = positive and negative shocks enter separately. Short-run = we do not chase long-run relationships; the question is monthly response.</w:t>
      </w:r>
    </w:p>
    <w:p>
      <w:pPr>
        <w:pStyle w:val="ListBullet"/>
        <w:spacing w:after="40" w:line="300" w:lineRule="auto"/>
        <w:ind w:firstLine="0"/>
      </w:pPr>
      <w:r>
        <w:rPr>
          <w:rFonts w:ascii="Times New Roman" w:hAnsi="Times New Roman" w:cs="Times New Roman" w:eastAsia="Times New Roman"/>
          <w:b w:val="0"/>
          <w:i w:val="0"/>
          <w:sz w:val="23"/>
        </w:rPr>
        <w:t>Estimation: OLS, exactly the standard least squares you met in your first econometrics class, but with Newey-West HAC standard errors to fix the fact that monthly price data are auto-correlated and heteroscedastic.</w:t>
      </w:r>
    </w:p>
    <w:p>
      <w:pPr>
        <w:pStyle w:val="ListBullet"/>
        <w:spacing w:after="40" w:line="300" w:lineRule="auto"/>
        <w:ind w:firstLine="0"/>
      </w:pPr>
      <w:r>
        <w:rPr>
          <w:rFonts w:ascii="Times New Roman" w:hAnsi="Times New Roman" w:cs="Times New Roman" w:eastAsia="Times New Roman"/>
          <w:b w:val="0"/>
          <w:i w:val="0"/>
          <w:sz w:val="23"/>
        </w:rPr>
        <w:t>Inference: tests on whether the cumulative pass-through is zero, and whether positive and negative responses are equal (the symmetry test). Plus a restricted-residual circular block bootstrap with 4,999 replications as a robustness check.</w:t>
      </w:r>
    </w:p>
    <w:p>
      <w:pPr>
        <w:pStyle w:val="ListBullet"/>
        <w:spacing w:after="40" w:line="300" w:lineRule="auto"/>
        <w:ind w:firstLine="0"/>
      </w:pPr>
      <w:r>
        <w:rPr>
          <w:rFonts w:ascii="Times New Roman" w:hAnsi="Times New Roman" w:cs="Times New Roman" w:eastAsia="Times New Roman"/>
          <w:b w:val="0"/>
          <w:i w:val="0"/>
          <w:sz w:val="23"/>
        </w:rPr>
        <w:t>Diagnostics gate: a model only carries a main claim if it passes Breusch-Godfrey (no leftover serial correlation), HAC-RESET (functional form not obviously wrong), and recursive CUSUM (coefficients stable over time).</w:t>
      </w:r>
    </w:p>
    <w:p>
      <w:pPr>
        <w:pStyle w:val="Heading2"/>
        <w:ind w:firstLine="0"/>
        <w:jc w:val="left"/>
      </w:pPr>
      <w:r>
        <w:rPr>
          <w:rFonts w:ascii="Times New Roman" w:hAnsi="Times New Roman"/>
          <w:b/>
        </w:rPr>
        <w:t>1.6 Research question in one sentence</w:t>
      </w:r>
    </w:p>
    <w:p>
      <w:pPr>
        <w:jc w:val="both"/>
      </w:pPr>
      <w:r>
        <w:rPr>
          <w:rFonts w:ascii="Times New Roman" w:hAnsi="Times New Roman" w:cs="Times New Roman" w:eastAsia="Times New Roman"/>
          <w:b w:val="0"/>
          <w:i w:val="0"/>
          <w:sz w:val="23"/>
        </w:rPr>
        <w:t>How do global oil-price shocks transmit across India's wholesale, retail fuel, fuel-sensitive consumer, and headline consumer price layers, and where does this pass-through weaken?</w:t>
      </w:r>
    </w:p>
    <w:p>
      <w:pPr>
        <w:pStyle w:val="Heading2"/>
        <w:ind w:firstLine="0"/>
        <w:jc w:val="left"/>
      </w:pPr>
      <w:r>
        <w:rPr>
          <w:rFonts w:ascii="Times New Roman" w:hAnsi="Times New Roman"/>
          <w:b/>
        </w:rPr>
        <w:t>1.7 Contribution in one sentence</w:t>
      </w:r>
    </w:p>
    <w:p>
      <w:pPr>
        <w:jc w:val="both"/>
      </w:pPr>
      <w:r>
        <w:rPr>
          <w:rFonts w:ascii="Times New Roman" w:hAnsi="Times New Roman" w:cs="Times New Roman" w:eastAsia="Times New Roman"/>
          <w:b w:val="0"/>
          <w:i w:val="0"/>
          <w:sz w:val="23"/>
        </w:rPr>
        <w:t>We treat oil pass-through as a layered transmission problem across different price indices rather than as a single number linking crude to headline CPI, and we keep each layer's sample, shock variable, and diagnostics visible so nothing is hidden.</w:t>
      </w:r>
    </w:p>
    <w:p>
      <w:pPr>
        <w:spacing w:before="120" w:after="120"/>
        <w:ind w:firstLine="0" w:left="144" w:right="144"/>
        <w:shd w:val="clear" w:color="auto" w:fill="EEF2FA"/>
      </w:pPr>
      <w:r>
        <w:rPr>
          <w:rFonts w:ascii="Times New Roman" w:hAnsi="Times New Roman" w:cs="Times New Roman" w:eastAsia="Times New Roman"/>
          <w:b/>
          <w:i w:val="0"/>
          <w:sz w:val="22"/>
        </w:rPr>
        <w:t xml:space="preserve">Remember: </w:t>
      </w:r>
      <w:r>
        <w:rPr>
          <w:rFonts w:ascii="Times New Roman" w:hAnsi="Times New Roman" w:cs="Times New Roman" w:eastAsia="Times New Roman"/>
          <w:b w:val="0"/>
          <w:i/>
          <w:sz w:val="22"/>
        </w:rPr>
        <w:t>The dissertation does not claim oil causes Indian inflation. It claims oil shocks pass through strongly at fuel layers and weakly at the headline CPI layer, and the difference is statistically rejected by a Wald test.</w:t>
      </w:r>
      <w:r>
        <w:br w:type="page"/>
      </w:r>
    </w:p>
    <w:p>
      <w:pPr>
        <w:pStyle w:val="Heading1"/>
        <w:ind w:firstLine="0"/>
        <w:jc w:val="left"/>
      </w:pPr>
      <w:r>
        <w:rPr>
          <w:rFonts w:ascii="Times New Roman" w:hAnsi="Times New Roman"/>
          <w:b/>
        </w:rPr>
        <w:t>Part 2. Background: India, oil, WPI, and CPI</w:t>
      </w:r>
    </w:p>
    <w:p>
      <w:pPr>
        <w:pStyle w:val="Heading2"/>
        <w:ind w:firstLine="0"/>
        <w:jc w:val="left"/>
      </w:pPr>
      <w:r>
        <w:rPr>
          <w:rFonts w:ascii="Times New Roman" w:hAnsi="Times New Roman"/>
          <w:b/>
        </w:rPr>
        <w:t>2.1 India and imported crude oil</w:t>
      </w:r>
    </w:p>
    <w:p>
      <w:pPr>
        <w:jc w:val="both"/>
      </w:pPr>
      <w:r>
        <w:rPr>
          <w:rFonts w:ascii="Times New Roman" w:hAnsi="Times New Roman" w:cs="Times New Roman" w:eastAsia="Times New Roman"/>
          <w:b w:val="0"/>
          <w:i w:val="0"/>
          <w:sz w:val="23"/>
        </w:rPr>
        <w:t>India produces only a small share of the crude oil it consumes. Most of the crude used in Indian refineries is imported. The import bill is paid in US dollars because crude oil trades worldwide in dollars per barrel. That is why the rupee-dollar exchange rate is part of the story and not just a background variable.</w:t>
      </w:r>
    </w:p>
    <w:p>
      <w:pPr>
        <w:jc w:val="both"/>
      </w:pPr>
      <w:r>
        <w:rPr>
          <w:rFonts w:ascii="Times New Roman" w:hAnsi="Times New Roman" w:cs="Times New Roman" w:eastAsia="Times New Roman"/>
          <w:b w:val="0"/>
          <w:i w:val="0"/>
          <w:sz w:val="23"/>
        </w:rPr>
        <w:t>When we talk about an ‘oil shock’ for India, we mean the movement in the rupee price of oil, oil</w:t>
      </w:r>
      <w:r>
        <w:rPr>
          <w:rFonts w:ascii="Times New Roman" w:hAnsi="Times New Roman" w:cs="Times New Roman" w:eastAsia="Times New Roman"/>
          <w:b w:val="0"/>
          <w:i w:val="0"/>
          <w:sz w:val="23"/>
          <w:vertAlign w:val="superscript"/>
        </w:rPr>
        <w:t>INR</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Brent</w:t>
      </w:r>
      <w:r>
        <w:rPr>
          <w:rFonts w:ascii="Times New Roman" w:hAnsi="Times New Roman" w:cs="Times New Roman" w:eastAsia="Times New Roman"/>
          <w:b w:val="0"/>
          <w:i w:val="0"/>
          <w:sz w:val="23"/>
          <w:vertAlign w:val="superscript"/>
        </w:rPr>
        <w:t>USD</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INR</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/USD</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If Brent rises or the rupee depreciates, this rupee oil price rises, and refiners and distributors face higher costs in rupees.</w:t>
      </w:r>
    </w:p>
    <w:p>
      <w:pPr>
        <w:pStyle w:val="Heading2"/>
        <w:ind w:firstLine="0"/>
        <w:jc w:val="left"/>
      </w:pPr>
      <w:r>
        <w:rPr>
          <w:rFonts w:ascii="Times New Roman" w:hAnsi="Times New Roman"/>
          <w:b/>
        </w:rPr>
        <w:t>2.2 Why the dollar and the exchange rate matter</w:t>
      </w:r>
    </w:p>
    <w:p>
      <w:pPr>
        <w:pStyle w:val="ListBullet"/>
        <w:spacing w:after="40" w:line="300" w:lineRule="auto"/>
        <w:ind w:firstLine="0"/>
      </w:pPr>
      <w:r>
        <w:rPr>
          <w:rFonts w:ascii="Times New Roman" w:hAnsi="Times New Roman" w:cs="Times New Roman" w:eastAsia="Times New Roman"/>
          <w:b w:val="0"/>
          <w:i w:val="0"/>
          <w:sz w:val="23"/>
        </w:rPr>
        <w:t>A 10 per cent rise in Brent does not always lead to a 10 per cent rise in the rupee oil price. If the rupee appreciates at the same time, the rupee oil price rises by less than 10 per cent.</w:t>
      </w:r>
    </w:p>
    <w:p>
      <w:pPr>
        <w:pStyle w:val="ListBullet"/>
        <w:spacing w:after="40" w:line="300" w:lineRule="auto"/>
        <w:ind w:firstLine="0"/>
      </w:pPr>
      <w:r>
        <w:rPr>
          <w:rFonts w:ascii="Times New Roman" w:hAnsi="Times New Roman" w:cs="Times New Roman" w:eastAsia="Times New Roman"/>
          <w:b w:val="0"/>
          <w:i w:val="0"/>
          <w:sz w:val="23"/>
        </w:rPr>
        <w:t>A depreciation of the rupee, even without any Brent move, pushes up the rupee oil price.</w:t>
      </w:r>
    </w:p>
    <w:p>
      <w:pPr>
        <w:pStyle w:val="ListBullet"/>
        <w:spacing w:after="40" w:line="300" w:lineRule="auto"/>
        <w:ind w:firstLine="0"/>
      </w:pPr>
      <w:r>
        <w:rPr>
          <w:rFonts w:ascii="Times New Roman" w:hAnsi="Times New Roman" w:cs="Times New Roman" w:eastAsia="Times New Roman"/>
          <w:b w:val="0"/>
          <w:i w:val="0"/>
          <w:sz w:val="23"/>
        </w:rPr>
        <w:t>Studying the rupee oil price captures both channels at once. That is why our main WPI and headline CPI equations use the rupee oil shock as the explanatory variable.</w:t>
      </w:r>
    </w:p>
    <w:p>
      <w:pPr>
        <w:pStyle w:val="Heading2"/>
        <w:ind w:firstLine="0"/>
        <w:jc w:val="left"/>
      </w:pPr>
      <w:r>
        <w:rPr>
          <w:rFonts w:ascii="Times New Roman" w:hAnsi="Times New Roman"/>
          <w:b/>
        </w:rPr>
        <w:t>2.3 The difference between WPI and CPI</w:t>
      </w:r>
    </w:p>
    <w:p>
      <w:pPr>
        <w:jc w:val="both"/>
      </w:pPr>
      <w:r>
        <w:rPr>
          <w:rFonts w:ascii="Times New Roman" w:hAnsi="Times New Roman" w:cs="Times New Roman" w:eastAsia="Times New Roman"/>
          <w:b w:val="0"/>
          <w:i w:val="0"/>
          <w:sz w:val="23"/>
        </w:rPr>
        <w:t>Wholesale Price Index, WPI, measures prices at the wholesale or producer level. It is published by the Office of the Economic Adviser, which sits inside the Department for Promotion of Industry and Internal Trade, Ministry of Commerce and Industry. WPI has a fairly large share of mineral oils, fuel and power, and oil-intensive manufactured goods, which is why it is sensitive to oil shocks.</w:t>
      </w:r>
    </w:p>
    <w:p>
      <w:pPr>
        <w:jc w:val="both"/>
      </w:pPr>
      <w:r>
        <w:rPr>
          <w:rFonts w:ascii="Times New Roman" w:hAnsi="Times New Roman" w:cs="Times New Roman" w:eastAsia="Times New Roman"/>
          <w:b w:val="0"/>
          <w:i w:val="0"/>
          <w:sz w:val="23"/>
        </w:rPr>
        <w:t>Consumer Price Index, CPI, measures prices at the household level. It is published by the Ministry of Statistics and Programme Implementation. The CPI basket is dominated by food, housing, services (like health and education), transport, and clothing. Fuel and Light is only one of several groups inside the CPI, so a pure fuel shock gets averaged down when you sum to the headline CPI.</w:t>
      </w:r>
    </w:p>
    <w:p>
      <w:pPr>
        <w:pStyle w:val="Caption"/>
        <w:ind w:firstLine="0"/>
        <w:jc w:val="left"/>
      </w:pPr>
      <w:r>
        <w:rPr>
          <w:rFonts w:ascii="Times New Roman" w:hAnsi="Times New Roman" w:cs="Times New Roman" w:eastAsia="Times New Roman"/>
          <w:b/>
          <w:i w:val="0"/>
          <w:sz w:val="21"/>
        </w:rPr>
        <w:t>Table 2.1. WPI and CPI at a glance.</w:t>
      </w:r>
    </w:p>
    <w:tbl>
      <w:tblPr>
        <w:tblStyle w:val="TableGrid"/>
        <w:tblW w:type="auto" w:w="0"/>
        <w:jc w:val="center"/>
        <w:tblLayout w:type="fixed"/>
        <w:tblLook w:firstColumn="1" w:firstRow="1" w:lastColumn="0" w:lastRow="0" w:noHBand="0" w:noVBand="1" w:val="04A0"/>
        <w:tblLayout w:type="fixed"/>
      </w:tblPr>
      <w:tblGrid>
        <w:gridCol w:w="2539"/>
        <w:gridCol w:w="3244"/>
        <w:gridCol w:w="3244"/>
      </w:tblGrid>
      <w:tr>
        <w:trPr>
          <w:cantSplit/>
          <w:tblHeader/>
        </w:trPr>
        <w:tc>
          <w:tcPr>
            <w:tcW w:type="dxa" w:w="253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Feature</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WPI</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CPI</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Level of the economy measured</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Wholesale / producer</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Retail / household</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Publisher</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Office of the Economic Adviser, DPIIT, MoCI</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Ministry of Statistics and Programme Implementation (MoSPI)</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Base year used here</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2011-12 = 100 (chained)</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Processed series; official base periodically revised</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Fuel and oil-intensive weight</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High</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Low (Fuel and Light is a sub-group)</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Policy role</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Useful for producer-side cost pressure</w:t>
            </w:r>
          </w:p>
        </w:tc>
        <w:tc>
          <w:tcPr>
            <w:tcW w:type="dxa" w:w="324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Main inflation target of the Reserve Bank of India</w:t>
            </w:r>
          </w:p>
        </w:tc>
      </w:tr>
    </w:tbl>
    <w:p>
      <w:pPr>
        <w:spacing w:before="40" w:after="160" w:line="240" w:lineRule="auto"/>
        <w:ind w:firstLine="0"/>
      </w:pPr>
      <w:r>
        <w:rPr>
          <w:rFonts w:ascii="Times New Roman" w:hAnsi="Times New Roman" w:cs="Times New Roman" w:eastAsia="Times New Roman"/>
          <w:b w:val="0"/>
          <w:i/>
          <w:sz w:val="18"/>
        </w:rPr>
        <w:t>Note: Both indices are published monthly. The study chains successive WPI base years so a long monthly series is available from 1983 onward.</w:t>
      </w:r>
    </w:p>
    <w:p>
      <w:pPr>
        <w:pStyle w:val="Heading2"/>
        <w:ind w:firstLine="0"/>
        <w:jc w:val="left"/>
      </w:pPr>
      <w:r>
        <w:rPr>
          <w:rFonts w:ascii="Times New Roman" w:hAnsi="Times New Roman"/>
          <w:b/>
        </w:rPr>
        <w:t>2.4 How fuel is priced in India, in short</w:t>
      </w:r>
    </w:p>
    <w:p>
      <w:pPr>
        <w:jc w:val="both"/>
      </w:pPr>
      <w:r>
        <w:rPr>
          <w:rFonts w:ascii="Times New Roman" w:hAnsi="Times New Roman" w:cs="Times New Roman" w:eastAsia="Times New Roman"/>
          <w:b w:val="0"/>
          <w:i w:val="0"/>
          <w:sz w:val="23"/>
        </w:rPr>
        <w:t>Before 2010, retail petrol prices in India were administered. The government held them fixed for long stretches, and oil marketing companies (Indian Oil, Bharat Petroleum, Hindustan Petroleum) absorbed the difference through under-recoveries and fiscal support. So when Brent moved, retail petrol sometimes did not move at all for months.</w:t>
      </w:r>
    </w:p>
    <w:p>
      <w:pPr>
        <w:jc w:val="both"/>
      </w:pPr>
      <w:r>
        <w:rPr>
          <w:rFonts w:ascii="Times New Roman" w:hAnsi="Times New Roman" w:cs="Times New Roman" w:eastAsia="Times New Roman"/>
          <w:b w:val="0"/>
          <w:i w:val="0"/>
          <w:sz w:val="23"/>
        </w:rPr>
        <w:t>In June 2010 petrol pricing was deregulated. The oil marketing companies were allowed to revise petrol prices more freely in line with international product prices. Diesel was deregulated in October 2014. The move to daily price revisions began in 2017. Under these rules, a Brent move now reaches retail petrol quickly, so the econometric pass-through we can measure from the data is bigger in the post-2010 sample than in the pre-2010 sample.</w:t>
      </w:r>
    </w:p>
    <w:p>
      <w:pPr>
        <w:spacing w:before="120" w:after="120"/>
        <w:ind w:firstLine="0" w:left="144" w:right="144"/>
        <w:shd w:val="clear" w:color="auto" w:fill="EEF2FA"/>
      </w:pPr>
      <w:r>
        <w:rPr>
          <w:rFonts w:ascii="Times New Roman" w:hAnsi="Times New Roman" w:cs="Times New Roman" w:eastAsia="Times New Roman"/>
          <w:b/>
          <w:i w:val="0"/>
          <w:sz w:val="22"/>
        </w:rPr>
        <w:t xml:space="preserve">Careful wording: </w:t>
      </w:r>
      <w:r>
        <w:rPr>
          <w:rFonts w:ascii="Times New Roman" w:hAnsi="Times New Roman" w:cs="Times New Roman" w:eastAsia="Times New Roman"/>
          <w:b w:val="0"/>
          <w:i/>
          <w:sz w:val="22"/>
        </w:rPr>
        <w:t>We do not claim that deregulation caused the bigger post-2010 pass-through. Other things also changed: new CPI series in 2011, flexible inflation targeting in 2016, GST in 2017, tax-rate moves, and so on. The pre/post-2010 split is institutional evidence, not a clean experiment.</w:t>
      </w:r>
    </w:p>
    <w:p>
      <w:pPr>
        <w:pStyle w:val="Heading2"/>
        <w:ind w:firstLine="0"/>
        <w:jc w:val="left"/>
      </w:pPr>
      <w:r>
        <w:rPr>
          <w:rFonts w:ascii="Times New Roman" w:hAnsi="Times New Roman"/>
          <w:b/>
        </w:rPr>
        <w:t>2.5 Why a layered reading beats a single elasticity</w:t>
      </w:r>
    </w:p>
    <w:p>
      <w:pPr>
        <w:jc w:val="both"/>
      </w:pPr>
      <w:r>
        <w:rPr>
          <w:rFonts w:ascii="Times New Roman" w:hAnsi="Times New Roman" w:cs="Times New Roman" w:eastAsia="Times New Roman"/>
          <w:b w:val="0"/>
          <w:i w:val="0"/>
          <w:sz w:val="23"/>
        </w:rPr>
        <w:t>Most earlier India papers pick one price index, usually headline WPI or headline CPI, and report a single number for how much oil passes through. That is fine, but it misses where the shock weakens. If you only look at headline CPI, you may get a small coefficient and think oil is unimportant. But retail petrol may be moving by a lot in the same data. Our layered design keeps all those layers in one frame so the reader can see the attenuation pattern.</w:t>
      </w:r>
    </w:p>
    <w:p>
      <w:pPr>
        <w:pStyle w:val="Heading2"/>
        <w:ind w:firstLine="0"/>
        <w:jc w:val="left"/>
      </w:pPr>
      <w:r>
        <w:rPr>
          <w:rFonts w:ascii="Times New Roman" w:hAnsi="Times New Roman"/>
          <w:b/>
        </w:rPr>
        <w:t>2.6 The literature that anchors this work</w:t>
      </w:r>
    </w:p>
    <w:p>
      <w:pPr>
        <w:pStyle w:val="ListBullet"/>
        <w:spacing w:after="40" w:line="300" w:lineRule="auto"/>
        <w:ind w:firstLine="0"/>
      </w:pPr>
      <w:r>
        <w:rPr>
          <w:rFonts w:ascii="Times New Roman" w:hAnsi="Times New Roman" w:cs="Times New Roman" w:eastAsia="Times New Roman"/>
          <w:b w:val="0"/>
          <w:i w:val="0"/>
          <w:sz w:val="23"/>
        </w:rPr>
        <w:t>Mandal, Bhattacharyya and Bhoi (2012) studied oil price pass-through in India and found partial, asymmetric, and policy-sensitive transmission, especially through administered fuel prices.</w:t>
      </w:r>
    </w:p>
    <w:p>
      <w:pPr>
        <w:pStyle w:val="ListBullet"/>
        <w:spacing w:after="40" w:line="300" w:lineRule="auto"/>
        <w:ind w:firstLine="0"/>
      </w:pPr>
      <w:r>
        <w:rPr>
          <w:rFonts w:ascii="Times New Roman" w:hAnsi="Times New Roman" w:cs="Times New Roman" w:eastAsia="Times New Roman"/>
          <w:b w:val="0"/>
          <w:i w:val="0"/>
          <w:sz w:val="23"/>
        </w:rPr>
        <w:t>Bhanumurthy, Das and Bose (2012) analysed oil shock pass-through and its policy implications in India in an NIPFP working paper.</w:t>
      </w:r>
    </w:p>
    <w:p>
      <w:pPr>
        <w:pStyle w:val="ListBullet"/>
        <w:spacing w:after="40" w:line="300" w:lineRule="auto"/>
        <w:ind w:firstLine="0"/>
      </w:pPr>
      <w:r>
        <w:rPr>
          <w:rFonts w:ascii="Times New Roman" w:hAnsi="Times New Roman" w:cs="Times New Roman" w:eastAsia="Times New Roman"/>
          <w:b w:val="0"/>
          <w:i w:val="0"/>
          <w:sz w:val="23"/>
        </w:rPr>
        <w:t>Pradeep (2022) looked at diesel price reforms and asymmetric oil pass-through in India, using disaggregated data.</w:t>
      </w:r>
    </w:p>
    <w:p>
      <w:pPr>
        <w:pStyle w:val="ListBullet"/>
        <w:spacing w:after="40" w:line="300" w:lineRule="auto"/>
        <w:ind w:firstLine="0"/>
      </w:pPr>
      <w:r>
        <w:rPr>
          <w:rFonts w:ascii="Times New Roman" w:hAnsi="Times New Roman" w:cs="Times New Roman" w:eastAsia="Times New Roman"/>
          <w:b w:val="0"/>
          <w:i w:val="0"/>
          <w:sz w:val="23"/>
        </w:rPr>
        <w:t>Newey and West (1987) gave us the HAC standard errors we use for inference. The formula they introduced corrects standard errors for autocorrelation and heteroskedasticity.</w:t>
      </w:r>
    </w:p>
    <w:p>
      <w:pPr>
        <w:pStyle w:val="ListBullet"/>
        <w:spacing w:after="40" w:line="300" w:lineRule="auto"/>
        <w:ind w:firstLine="0"/>
      </w:pPr>
      <w:r>
        <w:rPr>
          <w:rFonts w:ascii="Times New Roman" w:hAnsi="Times New Roman" w:cs="Times New Roman" w:eastAsia="Times New Roman"/>
          <w:b w:val="0"/>
          <w:i w:val="0"/>
          <w:sz w:val="23"/>
        </w:rPr>
        <w:t>Bai and Perron (2003) gave the structural-break test we use as a background check for regime shifts.</w:t>
      </w:r>
    </w:p>
    <w:p>
      <w:pPr>
        <w:pStyle w:val="ListBullet"/>
        <w:spacing w:after="40" w:line="300" w:lineRule="auto"/>
        <w:ind w:firstLine="0"/>
      </w:pPr>
      <w:r>
        <w:rPr>
          <w:rFonts w:ascii="Times New Roman" w:hAnsi="Times New Roman" w:cs="Times New Roman" w:eastAsia="Times New Roman"/>
          <w:b w:val="0"/>
          <w:i w:val="0"/>
          <w:sz w:val="23"/>
        </w:rPr>
        <w:t>Kwiatkowski, Phillips, Schmidt and Shin (1992) gave the KPSS stationarity test we use alongside ADF and Phillips-Perron.</w:t>
      </w:r>
      <w:r>
        <w:br w:type="page"/>
      </w:r>
    </w:p>
    <w:p>
      <w:pPr>
        <w:pStyle w:val="Heading1"/>
        <w:ind w:firstLine="0"/>
        <w:jc w:val="left"/>
      </w:pPr>
      <w:r>
        <w:rPr>
          <w:rFonts w:ascii="Times New Roman" w:hAnsi="Times New Roman"/>
          <w:b/>
        </w:rPr>
        <w:t>Part 3. Research question, objectives, and contribution</w:t>
      </w:r>
    </w:p>
    <w:p>
      <w:pPr>
        <w:pStyle w:val="Heading2"/>
        <w:ind w:firstLine="0"/>
        <w:jc w:val="left"/>
      </w:pPr>
      <w:r>
        <w:rPr>
          <w:rFonts w:ascii="Times New Roman" w:hAnsi="Times New Roman"/>
          <w:b/>
        </w:rPr>
        <w:t>3.1 Main research question</w:t>
      </w:r>
    </w:p>
    <w:p>
      <w:pPr>
        <w:jc w:val="both"/>
      </w:pPr>
      <w:r>
        <w:rPr>
          <w:rFonts w:ascii="Times New Roman" w:hAnsi="Times New Roman" w:cs="Times New Roman" w:eastAsia="Times New Roman"/>
          <w:b w:val="0"/>
          <w:i w:val="0"/>
          <w:sz w:val="23"/>
        </w:rPr>
        <w:t>How do global oil-price shocks transmit across India's wholesale, retail fuel, fuel-sensitive consumer, and headline consumer price layers, and where does this pass-through weaken?</w:t>
      </w:r>
    </w:p>
    <w:p>
      <w:pPr>
        <w:jc w:val="both"/>
      </w:pPr>
      <w:r>
        <w:rPr>
          <w:rFonts w:ascii="Times New Roman" w:hAnsi="Times New Roman" w:cs="Times New Roman" w:eastAsia="Times New Roman"/>
          <w:b w:val="0"/>
          <w:i w:val="0"/>
          <w:sz w:val="23"/>
        </w:rPr>
        <w:t>Note what the question does not say. It does not ask ‘do oil prices cause Indian inflation’. It does not ask ‘what is the one true elasticity between Brent and headline CPI’. It asks how the shock moves across layers, and where it fades. This framing is the point of the whole paper.</w:t>
      </w:r>
    </w:p>
    <w:p>
      <w:pPr>
        <w:pStyle w:val="Heading2"/>
        <w:ind w:firstLine="0"/>
        <w:jc w:val="left"/>
      </w:pPr>
      <w:r>
        <w:rPr>
          <w:rFonts w:ascii="Times New Roman" w:hAnsi="Times New Roman"/>
          <w:b/>
        </w:rPr>
        <w:t>3.2 Sub-questions you might be asked in the viva</w:t>
      </w:r>
    </w:p>
    <w:p>
      <w:pPr>
        <w:pStyle w:val="ListBullet"/>
        <w:spacing w:after="40" w:line="300" w:lineRule="auto"/>
        <w:ind w:firstLine="0"/>
      </w:pPr>
      <w:r>
        <w:rPr>
          <w:rFonts w:ascii="Times New Roman" w:hAnsi="Times New Roman" w:cs="Times New Roman" w:eastAsia="Times New Roman"/>
          <w:b w:val="0"/>
          <w:i w:val="0"/>
          <w:sz w:val="23"/>
        </w:rPr>
        <w:t>Does an oil shock visible in wholesale prices also show up in headline consumer inflation?</w:t>
      </w:r>
    </w:p>
    <w:p>
      <w:pPr>
        <w:pStyle w:val="ListBullet"/>
        <w:spacing w:after="40" w:line="300" w:lineRule="auto"/>
        <w:ind w:firstLine="0"/>
      </w:pPr>
      <w:r>
        <w:rPr>
          <w:rFonts w:ascii="Times New Roman" w:hAnsi="Times New Roman" w:cs="Times New Roman" w:eastAsia="Times New Roman"/>
          <w:b w:val="0"/>
          <w:i w:val="0"/>
          <w:sz w:val="23"/>
        </w:rPr>
        <w:t>Do positive and negative oil shocks have the same size of effect? This is the asymmetry question.</w:t>
      </w:r>
    </w:p>
    <w:p>
      <w:pPr>
        <w:pStyle w:val="ListBullet"/>
        <w:spacing w:after="40" w:line="300" w:lineRule="auto"/>
        <w:ind w:firstLine="0"/>
      </w:pPr>
      <w:r>
        <w:rPr>
          <w:rFonts w:ascii="Times New Roman" w:hAnsi="Times New Roman" w:cs="Times New Roman" w:eastAsia="Times New Roman"/>
          <w:b w:val="0"/>
          <w:i w:val="0"/>
          <w:sz w:val="23"/>
        </w:rPr>
        <w:t>Did fuel deregulation after 2010 change the size of pass-through? This is the pre/post-2010 question.</w:t>
      </w:r>
    </w:p>
    <w:p>
      <w:pPr>
        <w:pStyle w:val="ListBullet"/>
        <w:spacing w:after="40" w:line="300" w:lineRule="auto"/>
        <w:ind w:firstLine="0"/>
      </w:pPr>
      <w:r>
        <w:rPr>
          <w:rFonts w:ascii="Times New Roman" w:hAnsi="Times New Roman" w:cs="Times New Roman" w:eastAsia="Times New Roman"/>
          <w:b w:val="0"/>
          <w:i w:val="0"/>
          <w:sz w:val="23"/>
        </w:rPr>
        <w:t>Is headline CPI insulated from oil? If so, why? And if not, how much of the shock reaches it?</w:t>
      </w:r>
    </w:p>
    <w:p>
      <w:pPr>
        <w:pStyle w:val="Heading2"/>
        <w:ind w:firstLine="0"/>
        <w:jc w:val="left"/>
      </w:pPr>
      <w:r>
        <w:rPr>
          <w:rFonts w:ascii="Times New Roman" w:hAnsi="Times New Roman"/>
          <w:b/>
        </w:rPr>
        <w:t>3.3 Research objectives</w:t>
      </w:r>
    </w:p>
    <w:p>
      <w:pPr>
        <w:pStyle w:val="ListBullet"/>
        <w:spacing w:after="40" w:line="300" w:lineRule="auto"/>
        <w:ind w:firstLine="0"/>
      </w:pPr>
      <w:r>
        <w:rPr>
          <w:rFonts w:ascii="Times New Roman" w:hAnsi="Times New Roman" w:cs="Times New Roman" w:eastAsia="Times New Roman"/>
          <w:b w:val="0"/>
          <w:i w:val="0"/>
          <w:sz w:val="23"/>
        </w:rPr>
        <w:t>Build a consistent monthly dataset of oil, exchange rate, WPI, retail petrol, and CPI layers.</w:t>
      </w:r>
    </w:p>
    <w:p>
      <w:pPr>
        <w:pStyle w:val="ListBullet"/>
        <w:spacing w:after="40" w:line="300" w:lineRule="auto"/>
        <w:ind w:firstLine="0"/>
      </w:pPr>
      <w:r>
        <w:rPr>
          <w:rFonts w:ascii="Times New Roman" w:hAnsi="Times New Roman" w:cs="Times New Roman" w:eastAsia="Times New Roman"/>
          <w:b w:val="0"/>
          <w:i w:val="0"/>
          <w:sz w:val="23"/>
        </w:rPr>
        <w:t>Estimate short-run asymmetric ADL models for each layer using OLS with Newey-West HAC standard errors.</w:t>
      </w:r>
    </w:p>
    <w:p>
      <w:pPr>
        <w:pStyle w:val="ListBullet"/>
        <w:spacing w:after="40" w:line="300" w:lineRule="auto"/>
        <w:ind w:firstLine="0"/>
      </w:pPr>
      <w:r>
        <w:rPr>
          <w:rFonts w:ascii="Times New Roman" w:hAnsi="Times New Roman" w:cs="Times New Roman" w:eastAsia="Times New Roman"/>
          <w:b w:val="0"/>
          <w:i w:val="0"/>
          <w:sz w:val="23"/>
        </w:rPr>
        <w:t>Summarise each layer's response with cumulative pass-through for positive shocks (CPT+) and negative shocks (CPT-).</w:t>
      </w:r>
    </w:p>
    <w:p>
      <w:pPr>
        <w:pStyle w:val="ListBullet"/>
        <w:spacing w:after="40" w:line="300" w:lineRule="auto"/>
        <w:ind w:firstLine="0"/>
      </w:pPr>
      <w:r>
        <w:rPr>
          <w:rFonts w:ascii="Times New Roman" w:hAnsi="Times New Roman" w:cs="Times New Roman" w:eastAsia="Times New Roman"/>
          <w:b w:val="0"/>
          <w:i w:val="0"/>
          <w:sz w:val="23"/>
        </w:rPr>
        <w:t>Test whether CPT+ differs from zero, whether CPT- differs from zero, and whether the two are equal (the symmetry test).</w:t>
      </w:r>
    </w:p>
    <w:p>
      <w:pPr>
        <w:pStyle w:val="ListBullet"/>
        <w:spacing w:after="40" w:line="300" w:lineRule="auto"/>
        <w:ind w:firstLine="0"/>
      </w:pPr>
      <w:r>
        <w:rPr>
          <w:rFonts w:ascii="Times New Roman" w:hAnsi="Times New Roman" w:cs="Times New Roman" w:eastAsia="Times New Roman"/>
          <w:b w:val="0"/>
          <w:i w:val="0"/>
          <w:sz w:val="23"/>
        </w:rPr>
        <w:t>Run diagnostics and robustness checks so the main claims are defensible.</w:t>
      </w:r>
    </w:p>
    <w:p>
      <w:pPr>
        <w:pStyle w:val="ListBullet"/>
        <w:spacing w:after="40" w:line="300" w:lineRule="auto"/>
        <w:ind w:firstLine="0"/>
      </w:pPr>
      <w:r>
        <w:rPr>
          <w:rFonts w:ascii="Times New Roman" w:hAnsi="Times New Roman" w:cs="Times New Roman" w:eastAsia="Times New Roman"/>
          <w:b w:val="0"/>
          <w:i w:val="0"/>
          <w:sz w:val="23"/>
        </w:rPr>
        <w:t>Present the results as an attenuation map with a formal Wald test on the consumer-side chain.</w:t>
      </w:r>
    </w:p>
    <w:p>
      <w:pPr>
        <w:pStyle w:val="Heading2"/>
        <w:ind w:firstLine="0"/>
        <w:jc w:val="left"/>
      </w:pPr>
      <w:r>
        <w:rPr>
          <w:rFonts w:ascii="Times New Roman" w:hAnsi="Times New Roman"/>
          <w:b/>
        </w:rPr>
        <w:t>3.4 Scope and limits</w:t>
      </w:r>
    </w:p>
    <w:p>
      <w:pPr>
        <w:pStyle w:val="ListBullet"/>
        <w:spacing w:after="40" w:line="300" w:lineRule="auto"/>
        <w:ind w:firstLine="0"/>
      </w:pPr>
      <w:r>
        <w:rPr>
          <w:rFonts w:ascii="Times New Roman" w:hAnsi="Times New Roman" w:cs="Times New Roman" w:eastAsia="Times New Roman"/>
          <w:b w:val="0"/>
          <w:i w:val="0"/>
          <w:sz w:val="23"/>
        </w:rPr>
        <w:t>Monthly frequency only. We do not use daily or quarterly data.</w:t>
      </w:r>
    </w:p>
    <w:p>
      <w:pPr>
        <w:pStyle w:val="ListBullet"/>
        <w:spacing w:after="40" w:line="300" w:lineRule="auto"/>
        <w:ind w:firstLine="0"/>
      </w:pPr>
      <w:r>
        <w:rPr>
          <w:rFonts w:ascii="Times New Roman" w:hAnsi="Times New Roman" w:cs="Times New Roman" w:eastAsia="Times New Roman"/>
          <w:b w:val="0"/>
          <w:i w:val="0"/>
          <w:sz w:val="23"/>
        </w:rPr>
        <w:t>Short-run pass-through only. We do not estimate long-run equilibrium relationships, so there is no NARDL bounds test, no error correction model, and no cointegration claim.</w:t>
      </w:r>
    </w:p>
    <w:p>
      <w:pPr>
        <w:pStyle w:val="ListBullet"/>
        <w:spacing w:after="40" w:line="300" w:lineRule="auto"/>
        <w:ind w:firstLine="0"/>
      </w:pPr>
      <w:r>
        <w:rPr>
          <w:rFonts w:ascii="Times New Roman" w:hAnsi="Times New Roman" w:cs="Times New Roman" w:eastAsia="Times New Roman"/>
          <w:b w:val="0"/>
          <w:i w:val="0"/>
          <w:sz w:val="23"/>
        </w:rPr>
        <w:t>India as a whole. Retail petrol prices are taken from Delhi and treated as a retail-channel proxy, not a national retail measure.</w:t>
      </w:r>
    </w:p>
    <w:p>
      <w:pPr>
        <w:pStyle w:val="ListBullet"/>
        <w:spacing w:after="40" w:line="300" w:lineRule="auto"/>
        <w:ind w:firstLine="0"/>
      </w:pPr>
      <w:r>
        <w:rPr>
          <w:rFonts w:ascii="Times New Roman" w:hAnsi="Times New Roman" w:cs="Times New Roman" w:eastAsia="Times New Roman"/>
          <w:b w:val="0"/>
          <w:i w:val="0"/>
          <w:sz w:val="23"/>
        </w:rPr>
        <w:t>Reduced-form models. We estimate projections, not structural causal effects.</w:t>
      </w:r>
    </w:p>
    <w:p>
      <w:pPr>
        <w:pStyle w:val="Heading2"/>
        <w:ind w:firstLine="0"/>
        <w:jc w:val="left"/>
      </w:pPr>
      <w:r>
        <w:rPr>
          <w:rFonts w:ascii="Times New Roman" w:hAnsi="Times New Roman"/>
          <w:b/>
        </w:rPr>
        <w:t>3.5 Contribution</w:t>
      </w:r>
    </w:p>
    <w:p>
      <w:pPr>
        <w:jc w:val="both"/>
      </w:pPr>
      <w:r>
        <w:rPr>
          <w:rFonts w:ascii="Times New Roman" w:hAnsi="Times New Roman" w:cs="Times New Roman" w:eastAsia="Times New Roman"/>
          <w:b w:val="0"/>
          <w:i w:val="0"/>
          <w:sz w:val="23"/>
        </w:rPr>
        <w:t>The main contribution is the layered framing. Instead of one regression of headline CPI on oil, we fit five reduced-form equations, one per layer, and put the cumulative pass-through numbers side by side. This makes the attenuation pattern visible and testable with a formal Wald test on the common-sample consumer-side chain.</w:t>
      </w:r>
    </w:p>
    <w:p>
      <w:pPr>
        <w:jc w:val="both"/>
      </w:pPr>
      <w:r>
        <w:rPr>
          <w:rFonts w:ascii="Times New Roman" w:hAnsi="Times New Roman" w:cs="Times New Roman" w:eastAsia="Times New Roman"/>
          <w:b w:val="0"/>
          <w:i w:val="0"/>
          <w:sz w:val="23"/>
        </w:rPr>
        <w:t>A second smaller contribution is methodological hygiene. We use a strict diagnostic gate (Breusch-Godfrey, HAC-RESET, recursive CUSUM) and we report models that fail the gate as context rather than as claim-bearing estimates. For example, the full-sample pooled WPI Fuel and Power model fails HAC-RESET, so we report it as context and move the wholesale fuel claim to the preferred post-2010 excluding-COVID model which clears the gate cleanly.</w:t>
      </w:r>
    </w:p>
    <w:p>
      <w:pPr>
        <w:pStyle w:val="Heading2"/>
        <w:ind w:firstLine="0"/>
        <w:jc w:val="left"/>
      </w:pPr>
      <w:r>
        <w:rPr>
          <w:rFonts w:ascii="Times New Roman" w:hAnsi="Times New Roman"/>
          <w:b/>
        </w:rPr>
        <w:t>3.6 What we deliberately did not do</w:t>
      </w:r>
    </w:p>
    <w:p>
      <w:pPr>
        <w:pStyle w:val="ListBullet"/>
        <w:spacing w:after="40" w:line="300" w:lineRule="auto"/>
        <w:ind w:firstLine="0"/>
      </w:pPr>
      <w:r>
        <w:rPr>
          <w:rFonts w:ascii="Times New Roman" w:hAnsi="Times New Roman" w:cs="Times New Roman" w:eastAsia="Times New Roman"/>
          <w:b w:val="0"/>
          <w:i w:val="0"/>
          <w:sz w:val="23"/>
        </w:rPr>
        <w:t>No long-run cointegration analysis. Our claim is about monthly transmission, so long-run tools would be overkill and potentially misleading.</w:t>
      </w:r>
    </w:p>
    <w:p>
      <w:pPr>
        <w:pStyle w:val="ListBullet"/>
        <w:spacing w:after="40" w:line="300" w:lineRule="auto"/>
        <w:ind w:firstLine="0"/>
      </w:pPr>
      <w:r>
        <w:rPr>
          <w:rFonts w:ascii="Times New Roman" w:hAnsi="Times New Roman" w:cs="Times New Roman" w:eastAsia="Times New Roman"/>
          <w:b w:val="0"/>
          <w:i w:val="0"/>
          <w:sz w:val="23"/>
        </w:rPr>
        <w:t>No structural VAR decomposition. We report predictive precedence from Granger tests but we do not claim a structural shock identification.</w:t>
      </w:r>
    </w:p>
    <w:p>
      <w:pPr>
        <w:pStyle w:val="ListBullet"/>
        <w:spacing w:after="40" w:line="300" w:lineRule="auto"/>
        <w:ind w:firstLine="0"/>
      </w:pPr>
      <w:r>
        <w:rPr>
          <w:rFonts w:ascii="Times New Roman" w:hAnsi="Times New Roman" w:cs="Times New Roman" w:eastAsia="Times New Roman"/>
          <w:b w:val="0"/>
          <w:i w:val="0"/>
          <w:sz w:val="23"/>
        </w:rPr>
        <w:t>No disaggregated CPI sub-component regressions beyond Fuel and Light. That is explicitly listed as a future extension.</w:t>
      </w:r>
    </w:p>
    <w:p>
      <w:pPr>
        <w:spacing w:before="120" w:after="120"/>
        <w:ind w:firstLine="0" w:left="144" w:right="144"/>
        <w:shd w:val="clear" w:color="auto" w:fill="EEF2FA"/>
      </w:pPr>
      <w:r>
        <w:rPr>
          <w:rFonts w:ascii="Times New Roman" w:hAnsi="Times New Roman" w:cs="Times New Roman" w:eastAsia="Times New Roman"/>
          <w:b/>
          <w:i w:val="0"/>
          <w:sz w:val="22"/>
        </w:rPr>
        <w:t xml:space="preserve">One-line contribution: </w:t>
      </w:r>
      <w:r>
        <w:rPr>
          <w:rFonts w:ascii="Times New Roman" w:hAnsi="Times New Roman" w:cs="Times New Roman" w:eastAsia="Times New Roman"/>
          <w:b w:val="0"/>
          <w:i/>
          <w:sz w:val="22"/>
        </w:rPr>
        <w:t>Oil pass-through in India is best read as a layered attenuation map, not as a single elasticity, and we provide the numbers and the formal test that support that reading.</w:t>
      </w:r>
      <w:r>
        <w:br w:type="page"/>
      </w:r>
    </w:p>
    <w:p>
      <w:pPr>
        <w:pStyle w:val="Heading1"/>
        <w:ind w:firstLine="0"/>
        <w:jc w:val="left"/>
      </w:pPr>
      <w:r>
        <w:rPr>
          <w:rFonts w:ascii="Times New Roman" w:hAnsi="Times New Roman"/>
          <w:b/>
        </w:rPr>
        <w:t>Part 4. Data: what is it, where does it come from, and why</w:t>
      </w:r>
    </w:p>
    <w:p>
      <w:pPr>
        <w:pStyle w:val="Heading2"/>
        <w:ind w:firstLine="0"/>
        <w:jc w:val="left"/>
      </w:pPr>
      <w:r>
        <w:rPr>
          <w:rFonts w:ascii="Times New Roman" w:hAnsi="Times New Roman"/>
          <w:b/>
        </w:rPr>
        <w:t>4.1 All series at monthly frequency</w:t>
      </w:r>
    </w:p>
    <w:p>
      <w:pPr>
        <w:jc w:val="both"/>
      </w:pPr>
      <w:r>
        <w:rPr>
          <w:rFonts w:ascii="Times New Roman" w:hAnsi="Times New Roman" w:cs="Times New Roman" w:eastAsia="Times New Roman"/>
          <w:b w:val="0"/>
          <w:i w:val="0"/>
          <w:sz w:val="23"/>
        </w:rPr>
        <w:t>Every series we use is monthly. Different series start in different years because the underlying publications began at different dates. This is why the sample windows are not the same across layers.</w:t>
      </w:r>
    </w:p>
    <w:p>
      <w:pPr>
        <w:pStyle w:val="Heading2"/>
        <w:ind w:firstLine="0"/>
        <w:jc w:val="left"/>
      </w:pPr>
      <w:r>
        <w:rPr>
          <w:rFonts w:ascii="Times New Roman" w:hAnsi="Times New Roman"/>
          <w:b/>
        </w:rPr>
        <w:t>4.2 Crude oil price: Brent, from the World Bank Pink Sheet</w:t>
      </w:r>
    </w:p>
    <w:p>
      <w:pPr>
        <w:jc w:val="both"/>
      </w:pPr>
      <w:r>
        <w:rPr>
          <w:rFonts w:ascii="Times New Roman" w:hAnsi="Times New Roman" w:cs="Times New Roman" w:eastAsia="Times New Roman"/>
          <w:b w:val="0"/>
          <w:i w:val="0"/>
          <w:sz w:val="23"/>
        </w:rPr>
        <w:t>‘Brent crude’ is a benchmark crude oil produced in the North Sea. ‘Brent price’ is the price of a barrel of Brent crude in US dollars. World traders use Brent as a standard, so it is the global oil price most economists use for applied work on India.</w:t>
      </w:r>
    </w:p>
    <w:p>
      <w:pPr>
        <w:jc w:val="both"/>
      </w:pPr>
      <w:r>
        <w:rPr>
          <w:rFonts w:ascii="Times New Roman" w:hAnsi="Times New Roman" w:cs="Times New Roman" w:eastAsia="Times New Roman"/>
          <w:b w:val="0"/>
          <w:i w:val="0"/>
          <w:sz w:val="23"/>
        </w:rPr>
        <w:t>We take the monthly Brent price from the World Bank Commodity Price Data, the publication commonly called the Pink Sheet. It is a monthly bulletin published by the World Bank with prices of major energy, metals, and agricultural commodities. The WPI model also cross-checks against FRED series POILBREUSDM. FRED stands for Federal Reserve Economic Data, maintained by the Federal Reserve Bank of St. Louis.</w:t>
      </w:r>
    </w:p>
    <w:p>
      <w:pPr>
        <w:pStyle w:val="Heading2"/>
        <w:ind w:firstLine="0"/>
        <w:jc w:val="left"/>
      </w:pPr>
      <w:r>
        <w:rPr>
          <w:rFonts w:ascii="Times New Roman" w:hAnsi="Times New Roman"/>
          <w:b/>
        </w:rPr>
        <w:t>4.3 Exchange rate: INR per USD, from FRED</w:t>
      </w:r>
    </w:p>
    <w:p>
      <w:pPr>
        <w:jc w:val="both"/>
      </w:pPr>
      <w:r>
        <w:rPr>
          <w:rFonts w:ascii="Times New Roman" w:hAnsi="Times New Roman" w:cs="Times New Roman" w:eastAsia="Times New Roman"/>
          <w:b w:val="0"/>
          <w:i w:val="0"/>
          <w:sz w:val="23"/>
        </w:rPr>
        <w:t>INR per USD is how many rupees you pay for one dollar. It goes up when the rupee depreciates. We take the monthly average INR/USD rate from the FRED series EXINUS (the CPI pipeline uses EXINUS; the WPI pipeline uses the updated EXINUS_latest file). FRED pulls this from the Federal Reserve's H.10 statistical release.</w:t>
      </w:r>
    </w:p>
    <w:p>
      <w:pPr>
        <w:pStyle w:val="Heading2"/>
        <w:ind w:firstLine="0"/>
        <w:jc w:val="left"/>
      </w:pPr>
      <w:r>
        <w:rPr>
          <w:rFonts w:ascii="Times New Roman" w:hAnsi="Times New Roman"/>
          <w:b/>
        </w:rPr>
        <w:t>4.4 Rupee oil price: constructed, not downloaded</w:t>
      </w:r>
    </w:p>
    <w:p>
      <w:pPr>
        <w:jc w:val="both"/>
      </w:pPr>
      <w:r>
        <w:rPr>
          <w:rFonts w:ascii="Times New Roman" w:hAnsi="Times New Roman" w:cs="Times New Roman" w:eastAsia="Times New Roman"/>
          <w:b w:val="0"/>
          <w:i w:val="0"/>
          <w:sz w:val="23"/>
        </w:rPr>
        <w:t>The rupee oil price, oil</w:t>
      </w:r>
      <w:r>
        <w:rPr>
          <w:rFonts w:ascii="Times New Roman" w:hAnsi="Times New Roman" w:cs="Times New Roman" w:eastAsia="Times New Roman"/>
          <w:b w:val="0"/>
          <w:i w:val="0"/>
          <w:sz w:val="23"/>
          <w:vertAlign w:val="superscript"/>
        </w:rPr>
        <w:t>INR</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is built as Brent in dollars multiplied by the INR/USD rate: oil</w:t>
      </w:r>
      <w:r>
        <w:rPr>
          <w:rFonts w:ascii="Times New Roman" w:hAnsi="Times New Roman" w:cs="Times New Roman" w:eastAsia="Times New Roman"/>
          <w:b w:val="0"/>
          <w:i w:val="0"/>
          <w:sz w:val="23"/>
          <w:vertAlign w:val="superscript"/>
        </w:rPr>
        <w:t>INR</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Brent</w:t>
      </w:r>
      <w:r>
        <w:rPr>
          <w:rFonts w:ascii="Times New Roman" w:hAnsi="Times New Roman" w:cs="Times New Roman" w:eastAsia="Times New Roman"/>
          <w:b w:val="0"/>
          <w:i w:val="0"/>
          <w:sz w:val="23"/>
          <w:vertAlign w:val="superscript"/>
        </w:rPr>
        <w:t>USD</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INR</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/USD</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This is the main shock variable for the WPI and headline CPI equations.</w:t>
      </w:r>
    </w:p>
    <w:p>
      <w:pPr>
        <w:pStyle w:val="Heading2"/>
        <w:ind w:firstLine="0"/>
        <w:jc w:val="left"/>
      </w:pPr>
      <w:r>
        <w:rPr>
          <w:rFonts w:ascii="Times New Roman" w:hAnsi="Times New Roman"/>
          <w:b/>
        </w:rPr>
        <w:t>4.5 Wholesale Price Index (WPI): from the Office of the Economic Adviser</w:t>
      </w:r>
    </w:p>
    <w:p>
      <w:pPr>
        <w:jc w:val="both"/>
      </w:pPr>
      <w:r>
        <w:rPr>
          <w:rFonts w:ascii="Times New Roman" w:hAnsi="Times New Roman" w:cs="Times New Roman" w:eastAsia="Times New Roman"/>
          <w:b w:val="0"/>
          <w:i w:val="0"/>
          <w:sz w:val="23"/>
        </w:rPr>
        <w:t>The Office of the Economic Adviser (OEA) inside the Department for Promotion of Industry and Internal Trade (DPIIT), Ministry of Commerce and Industry, Government of India, publishes the WPI every month. We use two WPI series: headline WPI (the whole index) and WPI Fuel and Power (the sub-index that tracks fuel, power, and mineral oil items in the wholesale basket).</w:t>
      </w:r>
    </w:p>
    <w:p>
      <w:pPr>
        <w:jc w:val="both"/>
      </w:pPr>
      <w:r>
        <w:rPr>
          <w:rFonts w:ascii="Times New Roman" w:hAnsi="Times New Roman" w:cs="Times New Roman" w:eastAsia="Times New Roman"/>
          <w:b w:val="0"/>
          <w:i w:val="0"/>
          <w:sz w:val="23"/>
        </w:rPr>
        <w:t>The OEA has published WPI under several base years, 1981-82, 1993-94, 2004-05, and now 2011-12 = 100. To get a continuous monthly series from May 1983 to March 2026, we chain the older vintages using the OEA's official chain factors and rebase everything to 2011-12 = 100. The pipeline verifies splices at the overlap dates so that we do not introduce visible level breaks.</w:t>
      </w:r>
    </w:p>
    <w:p>
      <w:pPr>
        <w:pStyle w:val="Heading2"/>
        <w:ind w:firstLine="0"/>
        <w:jc w:val="left"/>
      </w:pPr>
      <w:r>
        <w:rPr>
          <w:rFonts w:ascii="Times New Roman" w:hAnsi="Times New Roman"/>
          <w:b/>
        </w:rPr>
        <w:t>4.6 PPAC Delhi retail petrol: from the Petroleum Planning and Analysis Cell</w:t>
      </w:r>
    </w:p>
    <w:p>
      <w:pPr>
        <w:jc w:val="both"/>
      </w:pPr>
      <w:r>
        <w:rPr>
          <w:rFonts w:ascii="Times New Roman" w:hAnsi="Times New Roman" w:cs="Times New Roman" w:eastAsia="Times New Roman"/>
          <w:b w:val="0"/>
          <w:i w:val="0"/>
          <w:sz w:val="23"/>
        </w:rPr>
        <w:t>PPAC, the Petroleum Planning and Analysis Cell, is a unit under the Ministry of Petroleum and Natural Gas. It publishes a ready reckoner with monthly retail prices of petrol and diesel in major Indian cities. We use the Delhi retail petrol price from August 2004 to December 2024 as our direct retail-fuel layer. We choose Delhi because it has one of the longest, most consistent monthly series.</w:t>
      </w:r>
    </w:p>
    <w:p>
      <w:pPr>
        <w:pStyle w:val="Heading2"/>
        <w:ind w:firstLine="0"/>
        <w:jc w:val="left"/>
      </w:pPr>
      <w:r>
        <w:rPr>
          <w:rFonts w:ascii="Times New Roman" w:hAnsi="Times New Roman"/>
          <w:b/>
        </w:rPr>
        <w:t>4.7 Consumer Price Index (CPI): from MoSPI</w:t>
      </w:r>
    </w:p>
    <w:p>
      <w:pPr>
        <w:jc w:val="both"/>
      </w:pPr>
      <w:r>
        <w:rPr>
          <w:rFonts w:ascii="Times New Roman" w:hAnsi="Times New Roman" w:cs="Times New Roman" w:eastAsia="Times New Roman"/>
          <w:b w:val="0"/>
          <w:i w:val="0"/>
          <w:sz w:val="23"/>
        </w:rPr>
        <w:t>MoSPI, the Ministry of Statistics and Programme Implementation, publishes the all-India CPI every month. We use two CPI series: headline CPI (the whole index) and CPI Fuel and Light (the sub-group that collects household energy items like LPG, kerosene, and electricity-related charges).</w:t>
      </w:r>
    </w:p>
    <w:p>
      <w:pPr>
        <w:jc w:val="both"/>
      </w:pPr>
      <w:r>
        <w:rPr>
          <w:rFonts w:ascii="Times New Roman" w:hAnsi="Times New Roman" w:cs="Times New Roman" w:eastAsia="Times New Roman"/>
          <w:b w:val="0"/>
          <w:i w:val="0"/>
          <w:sz w:val="23"/>
        </w:rPr>
        <w:t>In practice, headline CPI is loaded from a processed file inside the CPI pipeline (the FRED OECD series INDCPIALLMINMEI is the headline source; MoSPI is the authority). CPI Fuel and Light is the processed MoSPI all-India component series used starting in May 2011, when the current harmonised series is continuously available.</w:t>
      </w:r>
    </w:p>
    <w:p>
      <w:pPr>
        <w:pStyle w:val="Heading2"/>
        <w:ind w:firstLine="0"/>
        <w:jc w:val="left"/>
      </w:pPr>
      <w:r>
        <w:rPr>
          <w:rFonts w:ascii="Times New Roman" w:hAnsi="Times New Roman"/>
          <w:b/>
        </w:rPr>
        <w:t>4.8 Index of Industrial Production (IIP): MoSPI</w:t>
      </w:r>
    </w:p>
    <w:p>
      <w:pPr>
        <w:jc w:val="both"/>
      </w:pPr>
      <w:r>
        <w:rPr>
          <w:rFonts w:ascii="Times New Roman" w:hAnsi="Times New Roman" w:cs="Times New Roman" w:eastAsia="Times New Roman"/>
          <w:b w:val="0"/>
          <w:i w:val="0"/>
          <w:sz w:val="23"/>
        </w:rPr>
        <w:t>IIP is a monthly index of manufacturing and industrial output published by MoSPI. We use its monthly growth rate as a control for domestic activity or demand in the retail-petrol and headline CPI equations. The idea is that some inflation movement is caused by demand conditions, not by oil, and we do not want the oil coefficient to pick up that other story.</w:t>
      </w:r>
    </w:p>
    <w:p>
      <w:pPr>
        <w:pStyle w:val="Heading2"/>
        <w:ind w:firstLine="0"/>
        <w:jc w:val="left"/>
      </w:pPr>
      <w:r>
        <w:rPr>
          <w:rFonts w:ascii="Times New Roman" w:hAnsi="Times New Roman"/>
          <w:b/>
        </w:rPr>
        <w:t>4.9 Summary table of series and their roles</w:t>
      </w:r>
    </w:p>
    <w:p>
      <w:pPr>
        <w:pStyle w:val="Caption"/>
        <w:ind w:firstLine="0"/>
        <w:jc w:val="left"/>
      </w:pPr>
      <w:r>
        <w:rPr>
          <w:rFonts w:ascii="Times New Roman" w:hAnsi="Times New Roman" w:cs="Times New Roman" w:eastAsia="Times New Roman"/>
          <w:b/>
          <w:i w:val="0"/>
          <w:sz w:val="21"/>
        </w:rPr>
        <w:t>Table 4.1. Every series used in the paper, with its full source name, transformation, active sample, and role.</w:t>
      </w:r>
    </w:p>
    <w:tbl>
      <w:tblPr>
        <w:tblStyle w:val="TableGrid"/>
        <w:tblW w:type="auto" w:w="0"/>
        <w:jc w:val="center"/>
        <w:tblLayout w:type="fixed"/>
        <w:tblLook w:firstColumn="1" w:firstRow="1" w:lastColumn="0" w:lastRow="0" w:noHBand="0" w:noVBand="1" w:val="04A0"/>
        <w:tblLayout w:type="fixed"/>
      </w:tblPr>
      <w:tblGrid>
        <w:gridCol w:w="1863"/>
        <w:gridCol w:w="2436"/>
        <w:gridCol w:w="1576"/>
        <w:gridCol w:w="1576"/>
        <w:gridCol w:w="1576"/>
      </w:tblGrid>
      <w:tr>
        <w:trPr>
          <w:cantSplit/>
          <w:tblHeader/>
        </w:trPr>
        <w:tc>
          <w:tcPr>
            <w:tcW w:type="dxa" w:w="186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Series</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Source (full name)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Transformation</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Active sample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Role in the paper</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Brent crude price</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World Bank Commodity Price Data (Pink Sheet)</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Matched to layer</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Global oil shock</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INR/USD exchange rate</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Federal Reserve Economic Data (FRED EXINUS / EXINUS_latest)</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Matched to layer</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Exchange-rate component</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Rupee oil price</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Brent multiplied by INR/USD</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Matched to layer</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Domestic oil shock</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WPI</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Office of the Economic Adviser (DPIIT, MoCI), 2011-12 = 100</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1983-05 to 2026-03</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Wholesale endpoint</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WPI Fuel and Power</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Office of the Economic Adviser (DPIIT, MoCI), 2011-12 = 100</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1995-05 to 2026-03</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Wholesale fuel layer</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PPAC Delhi retail petrol</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Petroleum Planning and Analysis Cell (MoPNG) ready reckoner</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2004-08 to 2024-12</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Retail fuel layer</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CPI Fuel and Light</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Ministry of Statistics and Programme Implementation (MoSPI)</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2011-05 to 2024-12</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Consumer fuel bridge</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CPI</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MoSPI, via processed CPI source (OECD INDCPIALLMINMEI / FRED)</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2004-08 to 2024-12</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Consumer endpoint</w:t>
            </w:r>
          </w:p>
        </w:tc>
      </w:tr>
      <w:tr>
        <w:trPr>
          <w:cantSplit/>
        </w:trPr>
        <w:tc>
          <w:tcPr>
            <w:tcW w:type="dxa" w:w="18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Index of Industrial Production</w:t>
            </w:r>
          </w:p>
        </w:tc>
        <w:tc>
          <w:tcPr>
            <w:tcW w:type="dxa" w:w="243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MoSPI</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Monthly log difference</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Matched to layer</w:t>
            </w:r>
          </w:p>
        </w:tc>
        <w:tc>
          <w:tcPr>
            <w:tcW w:type="dxa" w:w="15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Activity control</w:t>
            </w:r>
          </w:p>
        </w:tc>
      </w:tr>
    </w:tbl>
    <w:p>
      <w:pPr>
        <w:spacing w:before="40" w:after="160" w:line="240" w:lineRule="auto"/>
        <w:ind w:firstLine="0"/>
      </w:pPr>
      <w:r>
        <w:rPr>
          <w:rFonts w:ascii="Times New Roman" w:hAnsi="Times New Roman" w:cs="Times New Roman" w:eastAsia="Times New Roman"/>
          <w:b w:val="0"/>
          <w:i/>
          <w:sz w:val="18"/>
        </w:rPr>
        <w:t>Note: Samples differ across layers because the official series became available in different years. We deliberately did not force a common sample; instead we run a common-sample CPI-chain check separately (see Part 9).</w:t>
      </w:r>
    </w:p>
    <w:p>
      <w:pPr>
        <w:pStyle w:val="Heading2"/>
        <w:ind w:firstLine="0"/>
        <w:jc w:val="left"/>
      </w:pPr>
      <w:r>
        <w:rPr>
          <w:rFonts w:ascii="Times New Roman" w:hAnsi="Times New Roman"/>
          <w:b/>
        </w:rPr>
        <w:t>4.10 Why samples are different, and why that is fine</w:t>
      </w:r>
    </w:p>
    <w:p>
      <w:pPr>
        <w:pStyle w:val="ListBullet"/>
        <w:spacing w:after="40" w:line="300" w:lineRule="auto"/>
        <w:ind w:firstLine="0"/>
      </w:pPr>
      <w:r>
        <w:rPr>
          <w:rFonts w:ascii="Times New Roman" w:hAnsi="Times New Roman" w:cs="Times New Roman" w:eastAsia="Times New Roman"/>
          <w:b w:val="0"/>
          <w:i w:val="0"/>
          <w:sz w:val="23"/>
        </w:rPr>
        <w:t>Headline WPI has the longest window (1983 onward) because the OEA series goes back that far. We use it fully, since more data gives better inference.</w:t>
      </w:r>
    </w:p>
    <w:p>
      <w:pPr>
        <w:pStyle w:val="ListBullet"/>
        <w:spacing w:after="40" w:line="300" w:lineRule="auto"/>
        <w:ind w:firstLine="0"/>
      </w:pPr>
      <w:r>
        <w:rPr>
          <w:rFonts w:ascii="Times New Roman" w:hAnsi="Times New Roman" w:cs="Times New Roman" w:eastAsia="Times New Roman"/>
          <w:b w:val="0"/>
          <w:i w:val="0"/>
          <w:sz w:val="23"/>
        </w:rPr>
        <w:t>WPI Fuel and Power starts in 1995 because that is when the OEA component series is continuously available in a chainable form.</w:t>
      </w:r>
    </w:p>
    <w:p>
      <w:pPr>
        <w:pStyle w:val="ListBullet"/>
        <w:spacing w:after="40" w:line="300" w:lineRule="auto"/>
        <w:ind w:firstLine="0"/>
      </w:pPr>
      <w:r>
        <w:rPr>
          <w:rFonts w:ascii="Times New Roman" w:hAnsi="Times New Roman" w:cs="Times New Roman" w:eastAsia="Times New Roman"/>
          <w:b w:val="0"/>
          <w:i w:val="0"/>
          <w:sz w:val="23"/>
        </w:rPr>
        <w:t>PPAC retail petrol starts in August 2004 because that is the earliest consistent monthly series from PPAC.</w:t>
      </w:r>
    </w:p>
    <w:p>
      <w:pPr>
        <w:pStyle w:val="ListBullet"/>
        <w:spacing w:after="40" w:line="300" w:lineRule="auto"/>
        <w:ind w:firstLine="0"/>
      </w:pPr>
      <w:r>
        <w:rPr>
          <w:rFonts w:ascii="Times New Roman" w:hAnsi="Times New Roman" w:cs="Times New Roman" w:eastAsia="Times New Roman"/>
          <w:b w:val="0"/>
          <w:i w:val="0"/>
          <w:sz w:val="23"/>
        </w:rPr>
        <w:t>Headline CPI uses the same post-2004 window so the retail petrol and headline CPI are on the same 20-year consumer-side window.</w:t>
      </w:r>
    </w:p>
    <w:p>
      <w:pPr>
        <w:pStyle w:val="ListBullet"/>
        <w:spacing w:after="40" w:line="300" w:lineRule="auto"/>
        <w:ind w:firstLine="0"/>
      </w:pPr>
      <w:r>
        <w:rPr>
          <w:rFonts w:ascii="Times New Roman" w:hAnsi="Times New Roman" w:cs="Times New Roman" w:eastAsia="Times New Roman"/>
          <w:b w:val="0"/>
          <w:i w:val="0"/>
          <w:sz w:val="23"/>
        </w:rPr>
        <w:t>CPI Fuel and Light starts in May 2011 because that is when the current harmonised MoSPI series begins. We treat it as bridge evidence for this reason, not as the main headline model.</w:t>
      </w:r>
    </w:p>
    <w:p>
      <w:pPr>
        <w:spacing w:before="120" w:after="120"/>
        <w:ind w:firstLine="0" w:left="144" w:right="144"/>
        <w:shd w:val="clear" w:color="auto" w:fill="EEF2FA"/>
      </w:pPr>
      <w:r>
        <w:rPr>
          <w:rFonts w:ascii="Times New Roman" w:hAnsi="Times New Roman" w:cs="Times New Roman" w:eastAsia="Times New Roman"/>
          <w:b/>
          <w:i w:val="0"/>
          <w:sz w:val="22"/>
        </w:rPr>
        <w:t xml:space="preserve">Viva tip: </w:t>
      </w:r>
      <w:r>
        <w:rPr>
          <w:rFonts w:ascii="Times New Roman" w:hAnsi="Times New Roman" w:cs="Times New Roman" w:eastAsia="Times New Roman"/>
          <w:b w:val="0"/>
          <w:i/>
          <w:sz w:val="22"/>
        </w:rPr>
        <w:t>If a teacher asks why the sample windows differ, answer: ‘Each series is used from the earliest date its official publisher makes it available. Headline WPI goes back to 1983. CPI Fuel and Light starts in 2011, which is why we treat it as bridge evidence and not as our main consumer-side claim.’</w:t>
      </w:r>
      <w:r>
        <w:br w:type="page"/>
      </w:r>
    </w:p>
    <w:p>
      <w:pPr>
        <w:pStyle w:val="Heading1"/>
        <w:ind w:firstLine="0"/>
        <w:jc w:val="left"/>
      </w:pPr>
      <w:r>
        <w:rPr>
          <w:rFonts w:ascii="Times New Roman" w:hAnsi="Times New Roman"/>
          <w:b/>
        </w:rPr>
        <w:t>Part 5. Variables: log differences, shocks, and the rupee oil price</w:t>
      </w:r>
    </w:p>
    <w:p>
      <w:pPr>
        <w:pStyle w:val="Heading2"/>
        <w:ind w:firstLine="0"/>
        <w:jc w:val="left"/>
      </w:pPr>
      <w:r>
        <w:rPr>
          <w:rFonts w:ascii="Times New Roman" w:hAnsi="Times New Roman"/>
          <w:b/>
        </w:rPr>
        <w:t>5.1 Why we use log differences and not raw levels</w:t>
      </w:r>
    </w:p>
    <w:p>
      <w:pPr>
        <w:jc w:val="both"/>
      </w:pPr>
      <w:r>
        <w:rPr>
          <w:rFonts w:ascii="Times New Roman" w:hAnsi="Times New Roman" w:cs="Times New Roman" w:eastAsia="Times New Roman"/>
          <w:b w:val="0"/>
          <w:i w:val="0"/>
          <w:sz w:val="23"/>
        </w:rPr>
        <w:t>Prices grow roughly exponentially over time. If we regress the level of CPI on the level of Brent, we get a misleading ‘t-statistic’ because both variables trend together, even when no real relationship exists. This is the classic spurious regression problem from Granger and Newbold (1974). To avoid it, we difference the logs.</w:t>
      </w:r>
    </w:p>
    <w:p>
      <w:pPr>
        <w:jc w:val="both"/>
      </w:pPr>
      <w:r>
        <w:rPr>
          <w:rFonts w:ascii="Times New Roman" w:hAnsi="Times New Roman" w:cs="Times New Roman" w:eastAsia="Times New Roman"/>
          <w:b w:val="0"/>
          <w:i w:val="0"/>
          <w:sz w:val="23"/>
        </w:rPr>
        <w:t>Logarithms turn a proportional change into a level change. If a price goes up by one per cent, the log goes up by about 0.01. Taking the difference of the log is therefore a clean way to measure monthly growth in per cent terms.</w:t>
      </w:r>
    </w:p>
    <w:p>
      <w:pPr>
        <w:pStyle w:val="Heading2"/>
        <w:ind w:firstLine="0"/>
        <w:jc w:val="left"/>
      </w:pPr>
      <w:r>
        <w:rPr>
          <w:rFonts w:ascii="Times New Roman" w:hAnsi="Times New Roman"/>
          <w:b/>
        </w:rPr>
        <w:t>5.2 The log-difference formula</w:t>
      </w:r>
    </w:p>
    <w:p>
      <w:pPr>
        <w:spacing w:before="120" w:after="120"/>
        <w:ind w:firstLine="0"/>
        <w:tabs>
          <w:tab w:val="center" w:pos="4230"/>
          <w:tab w:val="right" w:pos="8460"/>
        </w:tabs>
      </w:pPr>
      <w:r>
        <w:tab/>
      </w:r>
      <m:oMath>
        <m:r>
          <m:t xml:space="preserve">Δ</m:t>
        </m:r>
        <m:sSub>
          <m:e>
            <m:r>
              <m:t xml:space="preserve">x</m:t>
            </m:r>
          </m:e>
          <m:sub>
            <m:r>
              <m:t xml:space="preserve">t</m:t>
            </m:r>
          </m:sub>
        </m:sSub>
        <m:r>
          <m:t xml:space="preserve"> = 100 × </m:t>
        </m:r>
        <m:d>
          <m:dPr>
            <m:begChr m:val="("/>
            <m:endChr m:val=")"/>
          </m:dPr>
          <m:e>
            <m:r>
              <m:t xml:space="preserve">ln</m:t>
            </m:r>
            <m:d>
              <m:dPr>
                <m:begChr m:val="("/>
                <m:endChr m:val=")"/>
              </m:dPr>
              <m:e>
                <m:sSub>
                  <m:e>
                    <m:r>
                      <m:t xml:space="preserve">x</m:t>
                    </m:r>
                  </m:e>
                  <m:sub>
                    <m:r>
                      <m:t xml:space="preserve">t</m:t>
                    </m:r>
                  </m:sub>
                </m:sSub>
              </m:e>
            </m:d>
            <m:r>
              <m:t xml:space="preserve"> − ln</m:t>
            </m:r>
            <m:d>
              <m:dPr>
                <m:begChr m:val="("/>
                <m:endChr m:val=")"/>
              </m:dPr>
              <m:e>
                <m:sSub>
                  <m:e>
                    <m:r>
                      <m:t xml:space="preserve">x</m:t>
                    </m:r>
                  </m:e>
                  <m:sub>
                    <m:r>
                      <m:t xml:space="preserve">t−1</m:t>
                    </m:r>
                  </m:sub>
                </m:sSub>
              </m:e>
            </m:d>
          </m:e>
        </m:d>
      </m:oMath>
      <w:r>
        <w:rPr>
          <w:rFonts w:ascii="Times New Roman" w:hAnsi="Times New Roman"/>
          <w:sz w:val="22"/>
        </w:rPr>
        <w:tab/>
        <w:t xml:space="preserve">(5.1)</w:t>
      </w:r>
    </w:p>
    <w:p>
      <w:pPr>
        <w:jc w:val="both"/>
      </w:pPr>
      <w:r>
        <w:rPr>
          <w:rFonts w:ascii="Times New Roman" w:hAnsi="Times New Roman" w:cs="Times New Roman" w:eastAsia="Times New Roman"/>
          <w:b w:val="0"/>
          <w:i w:val="0"/>
          <w:sz w:val="23"/>
        </w:rPr>
        <w:t>Here x</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is the value of a series in month t and x</w:t>
      </w:r>
      <w:r>
        <w:rPr>
          <w:rFonts w:ascii="Times New Roman" w:hAnsi="Times New Roman" w:cs="Times New Roman" w:eastAsia="Times New Roman"/>
          <w:b w:val="0"/>
          <w:i w:val="0"/>
          <w:sz w:val="23"/>
          <w:vertAlign w:val="subscript"/>
        </w:rPr>
        <w:t>t−1</w:t>
      </w:r>
      <w:r>
        <w:rPr>
          <w:rFonts w:ascii="Times New Roman" w:hAnsi="Times New Roman" w:cs="Times New Roman" w:eastAsia="Times New Roman"/>
          <w:b w:val="0"/>
          <w:i w:val="0"/>
          <w:sz w:val="23"/>
        </w:rPr>
        <w:t xml:space="preserve"> is its value the previous month. The factor of 100 turns the number into a percentage. So Δx</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is the percentage growth of x from month t−1 to month t.</w:t>
      </w:r>
    </w:p>
    <w:p>
      <w:pPr>
        <w:spacing w:before="120" w:after="120"/>
        <w:ind w:firstLine="0" w:left="144" w:right="144"/>
        <w:shd w:val="clear" w:color="auto" w:fill="EEF2FA"/>
      </w:pPr>
      <w:r>
        <w:rPr>
          <w:rFonts w:ascii="Times New Roman" w:hAnsi="Times New Roman" w:cs="Times New Roman" w:eastAsia="Times New Roman"/>
          <w:b/>
          <w:i w:val="0"/>
          <w:sz w:val="22"/>
        </w:rPr>
        <w:t xml:space="preserve">Intuition: </w:t>
      </w:r>
      <w:r>
        <w:rPr>
          <w:rFonts w:ascii="Times New Roman" w:hAnsi="Times New Roman" w:cs="Times New Roman" w:eastAsia="Times New Roman"/>
          <w:b w:val="0"/>
          <w:i/>
          <w:sz w:val="22"/>
        </w:rPr>
        <w:t>If Brent goes from 100 dollars in one month to 101 dollars the next, then Δ(Brent)</w:t>
      </w:r>
      <w:r>
        <w:rPr>
          <w:rFonts w:ascii="Times New Roman" w:hAnsi="Times New Roman" w:cs="Times New Roman" w:eastAsia="Times New Roman"/>
          <w:b w:val="0"/>
          <w:i/>
          <w:sz w:val="22"/>
          <w:vertAlign w:val="subscript"/>
        </w:rPr>
        <w:t>t</w:t>
      </w:r>
      <w:r>
        <w:rPr>
          <w:rFonts w:ascii="Times New Roman" w:hAnsi="Times New Roman" w:cs="Times New Roman" w:eastAsia="Times New Roman"/>
          <w:b w:val="0"/>
          <w:i/>
          <w:sz w:val="22"/>
        </w:rPr>
        <w:t xml:space="preserve"> is approximately 100 × (ln 101 − ln 100) ≈ 0.995, very close to 1. We read this as about a one per cent rise.</w:t>
      </w:r>
    </w:p>
    <w:p>
      <w:pPr>
        <w:pStyle w:val="Heading2"/>
        <w:ind w:firstLine="0"/>
        <w:jc w:val="left"/>
      </w:pPr>
      <w:r>
        <w:rPr>
          <w:rFonts w:ascii="Times New Roman" w:hAnsi="Times New Roman"/>
          <w:b/>
        </w:rPr>
        <w:t>5.3 Splitting shocks into positive and negative parts</w:t>
      </w:r>
    </w:p>
    <w:p>
      <w:pPr>
        <w:jc w:val="both"/>
      </w:pPr>
      <w:r>
        <w:rPr>
          <w:rFonts w:ascii="Times New Roman" w:hAnsi="Times New Roman" w:cs="Times New Roman" w:eastAsia="Times New Roman"/>
          <w:b w:val="0"/>
          <w:i w:val="0"/>
          <w:sz w:val="23"/>
        </w:rPr>
        <w:t>For every shock variable we build two ‘twins’: one that is zero whenever the shock is negative, and one that is zero whenever the shock is positive. Formally, Δx</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max(Δx</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0) and Δx</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min(Δx</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0). The first is non-negative. The second is non-positive. Added together they reconstruct the original shock.</w:t>
      </w:r>
    </w:p>
    <w:p>
      <w:pPr>
        <w:jc w:val="both"/>
      </w:pPr>
      <w:r>
        <w:rPr>
          <w:rFonts w:ascii="Times New Roman" w:hAnsi="Times New Roman" w:cs="Times New Roman" w:eastAsia="Times New Roman"/>
          <w:b w:val="0"/>
          <w:i w:val="0"/>
          <w:sz w:val="23"/>
        </w:rPr>
        <w:t>Why do this split? Because an oil-price rise and an oil-price fall may pass through at different speeds. Retailers often raise fuel prices quickly and cut them slowly, a pattern the pass-through literature calls ‘rockets and feathers’. The split lets the data test whether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and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are equal without forcing them to be.</w:t>
      </w:r>
    </w:p>
    <w:p>
      <w:pPr>
        <w:pStyle w:val="Heading2"/>
        <w:ind w:firstLine="0"/>
        <w:jc w:val="left"/>
      </w:pPr>
      <w:r>
        <w:rPr>
          <w:rFonts w:ascii="Times New Roman" w:hAnsi="Times New Roman"/>
          <w:b/>
        </w:rPr>
        <w:t>5.4 Cumulative pass-through, CPT+ and CPT−</w:t>
      </w:r>
    </w:p>
    <w:p>
      <w:pPr>
        <w:jc w:val="both"/>
      </w:pPr>
      <w:r>
        <w:rPr>
          <w:rFonts w:ascii="Times New Roman" w:hAnsi="Times New Roman" w:cs="Times New Roman" w:eastAsia="Times New Roman"/>
          <w:b w:val="0"/>
          <w:i w:val="0"/>
          <w:sz w:val="23"/>
        </w:rPr>
        <w:t>In the ADL model we put several lags of Δx</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and several lags of Δx</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on the right-hand side. Each lag has its own coefficient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1</w:t>
      </w:r>
      <w:r>
        <w:rPr>
          <w:rFonts w:ascii="Times New Roman" w:hAnsi="Times New Roman" w:cs="Times New Roman" w:eastAsia="Times New Roman"/>
          <w:b w:val="0"/>
          <w:i w:val="0"/>
          <w:sz w:val="23"/>
        </w:rPr>
        <w:t>, … and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1</w:t>
      </w:r>
      <w:r>
        <w:rPr>
          <w:rFonts w:ascii="Times New Roman" w:hAnsi="Times New Roman" w:cs="Times New Roman" w:eastAsia="Times New Roman"/>
          <w:b w:val="0"/>
          <w:i w:val="0"/>
          <w:sz w:val="23"/>
        </w:rPr>
        <w:t>, …. The cumulative pass-through for positive shocks is simply the sum of those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coefficients over the lag window.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Σ</w:t>
      </w:r>
      <w:r>
        <w:rPr>
          <w:rFonts w:ascii="Times New Roman" w:hAnsi="Times New Roman" w:cs="Times New Roman" w:eastAsia="Times New Roman"/>
          <w:b w:val="0"/>
          <w:i w:val="0"/>
          <w:sz w:val="23"/>
          <w:vertAlign w:val="subscript"/>
        </w:rPr>
        <w:t>j=0</w:t>
      </w:r>
      <w:r>
        <w:rPr>
          <w:rFonts w:ascii="Times New Roman" w:hAnsi="Times New Roman" w:cs="Times New Roman" w:eastAsia="Times New Roman"/>
          <w:b w:val="0"/>
          <w:i w:val="0"/>
          <w:sz w:val="23"/>
          <w:vertAlign w:val="superscript"/>
        </w:rPr>
        <w:t>q</w:t>
      </w:r>
      <w:r>
        <w:rPr>
          <w:rFonts w:ascii="Times New Roman" w:hAnsi="Times New Roman" w:cs="Times New Roman" w:eastAsia="Times New Roman"/>
          <w:b w:val="0"/>
          <w:i w:val="0"/>
          <w:sz w:val="23"/>
        </w:rPr>
        <w:t xml:space="preserve">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j</w:t>
      </w:r>
      <w:r>
        <w:rPr>
          <w:rFonts w:ascii="Times New Roman" w:hAnsi="Times New Roman" w:cs="Times New Roman" w:eastAsia="Times New Roman"/>
          <w:b w:val="0"/>
          <w:i w:val="0"/>
          <w:sz w:val="23"/>
        </w:rPr>
        <w:t>. Likewise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Σ</w:t>
      </w:r>
      <w:r>
        <w:rPr>
          <w:rFonts w:ascii="Times New Roman" w:hAnsi="Times New Roman" w:cs="Times New Roman" w:eastAsia="Times New Roman"/>
          <w:b w:val="0"/>
          <w:i w:val="0"/>
          <w:sz w:val="23"/>
          <w:vertAlign w:val="subscript"/>
        </w:rPr>
        <w:t>j=0</w:t>
      </w:r>
      <w:r>
        <w:rPr>
          <w:rFonts w:ascii="Times New Roman" w:hAnsi="Times New Roman" w:cs="Times New Roman" w:eastAsia="Times New Roman"/>
          <w:b w:val="0"/>
          <w:i w:val="0"/>
          <w:sz w:val="23"/>
          <w:vertAlign w:val="superscript"/>
        </w:rPr>
        <w:t>q</w:t>
      </w:r>
      <w:r>
        <w:rPr>
          <w:rFonts w:ascii="Times New Roman" w:hAnsi="Times New Roman" w:cs="Times New Roman" w:eastAsia="Times New Roman"/>
          <w:b w:val="0"/>
          <w:i w:val="0"/>
          <w:sz w:val="23"/>
        </w:rPr>
        <w:t xml:space="preserve">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j</w:t>
      </w:r>
      <w:r>
        <w:rPr>
          <w:rFonts w:ascii="Times New Roman" w:hAnsi="Times New Roman" w:cs="Times New Roman" w:eastAsia="Times New Roman"/>
          <w:b w:val="0"/>
          <w:i w:val="0"/>
          <w:sz w:val="23"/>
        </w:rPr>
        <w:t>.</w:t>
      </w:r>
    </w:p>
    <w:p>
      <w:pPr>
        <w:jc w:val="both"/>
      </w:pPr>
      <w:r>
        <w:rPr>
          <w:rFonts w:ascii="Times New Roman" w:hAnsi="Times New Roman" w:cs="Times New Roman" w:eastAsia="Times New Roman"/>
          <w:b w:val="0"/>
          <w:i w:val="0"/>
          <w:sz w:val="23"/>
        </w:rPr>
        <w:t>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0.3 means: a one per cent positive oil shock this month is associated with, in total across this month and the following q months, about a 0.3 per cent change in the dependent price index.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is the twin number for negative shocks.</w:t>
      </w:r>
    </w:p>
    <w:p>
      <w:pPr>
        <w:spacing w:before="120" w:after="120"/>
        <w:ind w:firstLine="0" w:left="144" w:right="144"/>
        <w:shd w:val="clear" w:color="auto" w:fill="EEF2FA"/>
      </w:pPr>
      <w:r>
        <w:rPr>
          <w:rFonts w:ascii="Times New Roman" w:hAnsi="Times New Roman" w:cs="Times New Roman" w:eastAsia="Times New Roman"/>
          <w:b/>
          <w:i w:val="0"/>
          <w:sz w:val="22"/>
        </w:rPr>
        <w:t xml:space="preserve">Careful: </w:t>
      </w:r>
      <w:r>
        <w:rPr>
          <w:rFonts w:ascii="Times New Roman" w:hAnsi="Times New Roman" w:cs="Times New Roman" w:eastAsia="Times New Roman"/>
          <w:b w:val="0"/>
          <w:i/>
          <w:sz w:val="22"/>
        </w:rPr>
        <w:t>Since Δx</w:t>
      </w:r>
      <w:r>
        <w:rPr>
          <w:rFonts w:ascii="Times New Roman" w:hAnsi="Times New Roman" w:cs="Times New Roman" w:eastAsia="Times New Roman"/>
          <w:b w:val="0"/>
          <w:i/>
          <w:sz w:val="22"/>
          <w:vertAlign w:val="superscript"/>
        </w:rPr>
        <w:t>−</w:t>
      </w:r>
      <w:r>
        <w:rPr>
          <w:rFonts w:ascii="Times New Roman" w:hAnsi="Times New Roman" w:cs="Times New Roman" w:eastAsia="Times New Roman"/>
          <w:b w:val="0"/>
          <w:i/>
          <w:sz w:val="22"/>
        </w:rPr>
        <w:t xml:space="preserve"> is non-positive by construction, CPT</w:t>
      </w:r>
      <w:r>
        <w:rPr>
          <w:rFonts w:ascii="Times New Roman" w:hAnsi="Times New Roman" w:cs="Times New Roman" w:eastAsia="Times New Roman"/>
          <w:b w:val="0"/>
          <w:i/>
          <w:sz w:val="22"/>
          <w:vertAlign w:val="superscript"/>
        </w:rPr>
        <w:t>−</w:t>
      </w:r>
      <w:r>
        <w:rPr>
          <w:rFonts w:ascii="Times New Roman" w:hAnsi="Times New Roman" w:cs="Times New Roman" w:eastAsia="Times New Roman"/>
          <w:b w:val="0"/>
          <w:i/>
          <w:sz w:val="22"/>
        </w:rPr>
        <w:t xml:space="preserve"> times a negative shock value produces a negative price response on average. Do not read CPT</w:t>
      </w:r>
      <w:r>
        <w:rPr>
          <w:rFonts w:ascii="Times New Roman" w:hAnsi="Times New Roman" w:cs="Times New Roman" w:eastAsia="Times New Roman"/>
          <w:b w:val="0"/>
          <w:i/>
          <w:sz w:val="22"/>
          <w:vertAlign w:val="superscript"/>
        </w:rPr>
        <w:t>−</w:t>
      </w:r>
      <w:r>
        <w:rPr>
          <w:rFonts w:ascii="Times New Roman" w:hAnsi="Times New Roman" w:cs="Times New Roman" w:eastAsia="Times New Roman"/>
          <w:b w:val="0"/>
          <w:i/>
          <w:sz w:val="22"/>
        </w:rPr>
        <w:t xml:space="preserve"> as if it were a separate positive shock.</w:t>
      </w:r>
    </w:p>
    <w:p>
      <w:pPr>
        <w:pStyle w:val="Heading2"/>
        <w:ind w:firstLine="0"/>
        <w:jc w:val="left"/>
      </w:pPr>
      <w:r>
        <w:rPr>
          <w:rFonts w:ascii="Times New Roman" w:hAnsi="Times New Roman"/>
          <w:b/>
        </w:rPr>
        <w:t>5.5 Why we multiply the log difference by 100</w:t>
      </w:r>
    </w:p>
    <w:p>
      <w:pPr>
        <w:jc w:val="both"/>
      </w:pPr>
      <w:r>
        <w:rPr>
          <w:rFonts w:ascii="Times New Roman" w:hAnsi="Times New Roman" w:cs="Times New Roman" w:eastAsia="Times New Roman"/>
          <w:b w:val="0"/>
          <w:i w:val="0"/>
          <w:sz w:val="23"/>
        </w:rPr>
        <w:t>The factor of 100 is cosmetic. It simply turns log differences into percentages so that every coefficient reads as ‘percentage response per one per cent shock’. Without the 100, the coefficients would be the same story told in decimals (0.003 instead of 0.30).</w:t>
      </w:r>
    </w:p>
    <w:p>
      <w:pPr>
        <w:pStyle w:val="Heading2"/>
        <w:ind w:firstLine="0"/>
        <w:jc w:val="left"/>
      </w:pPr>
      <w:r>
        <w:rPr>
          <w:rFonts w:ascii="Times New Roman" w:hAnsi="Times New Roman"/>
          <w:b/>
        </w:rPr>
        <w:t>5.6 Rupee oil price step by step</w:t>
      </w:r>
    </w:p>
    <w:p>
      <w:pPr>
        <w:jc w:val="both"/>
      </w:pPr>
      <w:r>
        <w:rPr>
          <w:rFonts w:ascii="Times New Roman" w:hAnsi="Times New Roman" w:cs="Times New Roman" w:eastAsia="Times New Roman"/>
          <w:b w:val="0"/>
          <w:i w:val="0"/>
          <w:sz w:val="23"/>
        </w:rPr>
        <w:t>We construct the rupee oil price in two steps:</w:t>
      </w:r>
    </w:p>
    <w:p>
      <w:pPr>
        <w:spacing w:after="0" w:before="0" w:line="276" w:lineRule="auto"/>
        <w:ind w:firstLine="0" w:left="360"/>
        <w:shd w:val="clear" w:color="auto" w:fill="F4F4F4"/>
      </w:pPr>
      <w:r>
        <w:rPr>
          <w:rFonts w:ascii="Consolas" w:hAnsi="Consolas" w:cs="Consolas"/>
          <w:sz w:val="19"/>
        </w:rPr>
        <w:t># Step 1: align dates and pick monthly series</w:t>
      </w:r>
    </w:p>
    <w:p>
      <w:pPr>
        <w:spacing w:after="0" w:before="0" w:line="276" w:lineRule="auto"/>
        <w:ind w:firstLine="0" w:left="360"/>
        <w:shd w:val="clear" w:color="auto" w:fill="F4F4F4"/>
      </w:pPr>
      <w:r>
        <w:rPr>
          <w:rFonts w:ascii="Consolas" w:hAnsi="Consolas" w:cs="Consolas"/>
          <w:sz w:val="19"/>
        </w:rPr>
        <w:t>brent_usd       &lt;- load_world_bank_pink_sheet()</w:t>
      </w:r>
    </w:p>
    <w:p>
      <w:pPr>
        <w:spacing w:after="0" w:before="0" w:line="276" w:lineRule="auto"/>
        <w:ind w:firstLine="0" w:left="360"/>
        <w:shd w:val="clear" w:color="auto" w:fill="F4F4F4"/>
      </w:pPr>
      <w:r>
        <w:rPr>
          <w:rFonts w:ascii="Consolas" w:hAnsi="Consolas" w:cs="Consolas"/>
          <w:sz w:val="19"/>
        </w:rPr>
        <w:t>inr_per_usd     &lt;- load_fred_EXINUS()</w:t>
      </w:r>
    </w:p>
    <w:p>
      <w:pPr>
        <w:spacing w:after="0" w:before="0" w:line="276" w:lineRule="auto"/>
        <w:ind w:firstLine="0" w:left="360"/>
        <w:shd w:val="clear" w:color="auto" w:fill="F4F4F4"/>
      </w:pPr>
      <w:r>
        <w:rPr>
          <w:rFonts w:ascii="Consolas" w:hAnsi="Consolas" w:cs="Consolas"/>
          <w:sz w:val="19"/>
        </w:rPr>
        <w:t xml:space="preserve"> </w:t>
      </w:r>
    </w:p>
    <w:p>
      <w:pPr>
        <w:spacing w:after="0" w:before="0" w:line="276" w:lineRule="auto"/>
        <w:ind w:firstLine="0" w:left="360"/>
        <w:shd w:val="clear" w:color="auto" w:fill="F4F4F4"/>
      </w:pPr>
      <w:r>
        <w:rPr>
          <w:rFonts w:ascii="Consolas" w:hAnsi="Consolas" w:cs="Consolas"/>
          <w:sz w:val="19"/>
        </w:rPr>
        <w:t># Step 2: multiply them at each date to get rupee oil</w:t>
      </w:r>
    </w:p>
    <w:p>
      <w:pPr>
        <w:spacing w:after="0" w:before="0" w:line="276" w:lineRule="auto"/>
        <w:ind w:firstLine="0" w:left="360"/>
        <w:shd w:val="clear" w:color="auto" w:fill="F4F4F4"/>
      </w:pPr>
      <w:r>
        <w:rPr>
          <w:rFonts w:ascii="Consolas" w:hAnsi="Consolas" w:cs="Consolas"/>
          <w:sz w:val="19"/>
        </w:rPr>
        <w:t>oil_inr[t]      &lt;- brent_usd[t] * inr_per_usd[t]</w:t>
      </w:r>
    </w:p>
    <w:p>
      <w:pPr>
        <w:spacing w:after="0" w:before="0" w:line="276" w:lineRule="auto"/>
        <w:ind w:firstLine="0" w:left="360"/>
        <w:shd w:val="clear" w:color="auto" w:fill="F4F4F4"/>
      </w:pPr>
      <w:r>
        <w:rPr>
          <w:rFonts w:ascii="Consolas" w:hAnsi="Consolas" w:cs="Consolas"/>
          <w:sz w:val="19"/>
        </w:rPr>
        <w:t xml:space="preserve"> </w:t>
      </w:r>
    </w:p>
    <w:p>
      <w:pPr>
        <w:spacing w:after="0" w:before="0" w:line="276" w:lineRule="auto"/>
        <w:ind w:firstLine="0" w:left="360"/>
        <w:shd w:val="clear" w:color="auto" w:fill="F4F4F4"/>
      </w:pPr>
      <w:r>
        <w:rPr>
          <w:rFonts w:ascii="Consolas" w:hAnsi="Consolas" w:cs="Consolas"/>
          <w:sz w:val="19"/>
        </w:rPr>
        <w:t># Step 3: make it a monthly change</w:t>
      </w:r>
    </w:p>
    <w:p>
      <w:pPr>
        <w:spacing w:after="0" w:before="0" w:line="276" w:lineRule="auto"/>
        <w:ind w:firstLine="0" w:left="360"/>
        <w:shd w:val="clear" w:color="auto" w:fill="F4F4F4"/>
      </w:pPr>
      <w:r>
        <w:rPr>
          <w:rFonts w:ascii="Consolas" w:hAnsi="Consolas" w:cs="Consolas"/>
          <w:sz w:val="19"/>
        </w:rPr>
        <w:t>dln_oil_inr[t]  &lt;- 100 * ( log(oil_inr[t]) - log(oil_inr[t-1]) )</w:t>
      </w:r>
    </w:p>
    <w:p>
      <w:pPr>
        <w:spacing w:after="0" w:before="0" w:line="276" w:lineRule="auto"/>
        <w:ind w:firstLine="0" w:left="360"/>
        <w:shd w:val="clear" w:color="auto" w:fill="F4F4F4"/>
      </w:pPr>
      <w:r>
        <w:rPr>
          <w:rFonts w:ascii="Consolas" w:hAnsi="Consolas" w:cs="Consolas"/>
          <w:sz w:val="19"/>
        </w:rPr>
        <w:t xml:space="preserve"> </w:t>
      </w:r>
    </w:p>
    <w:p>
      <w:pPr>
        <w:spacing w:after="0" w:before="0" w:line="276" w:lineRule="auto"/>
        <w:ind w:firstLine="0" w:left="360"/>
        <w:shd w:val="clear" w:color="auto" w:fill="F4F4F4"/>
      </w:pPr>
      <w:r>
        <w:rPr>
          <w:rFonts w:ascii="Consolas" w:hAnsi="Consolas" w:cs="Consolas"/>
          <w:sz w:val="19"/>
        </w:rPr>
        <w:t># Step 4: split into positive and negative shock</w:t>
      </w:r>
    </w:p>
    <w:p>
      <w:pPr>
        <w:spacing w:after="0" w:before="0" w:line="276" w:lineRule="auto"/>
        <w:ind w:firstLine="0" w:left="360"/>
        <w:shd w:val="clear" w:color="auto" w:fill="F4F4F4"/>
      </w:pPr>
      <w:r>
        <w:rPr>
          <w:rFonts w:ascii="Consolas" w:hAnsi="Consolas" w:cs="Consolas"/>
          <w:sz w:val="19"/>
        </w:rPr>
        <w:t>dln_oil_inr_pos[t] &lt;- max(dln_oil_inr[t], 0)</w:t>
      </w:r>
    </w:p>
    <w:p>
      <w:pPr>
        <w:spacing w:after="0" w:before="0" w:line="276" w:lineRule="auto"/>
        <w:ind w:firstLine="0" w:left="360"/>
        <w:shd w:val="clear" w:color="auto" w:fill="F4F4F4"/>
      </w:pPr>
      <w:r>
        <w:rPr>
          <w:rFonts w:ascii="Consolas" w:hAnsi="Consolas" w:cs="Consolas"/>
          <w:sz w:val="19"/>
        </w:rPr>
        <w:t>dln_oil_inr_neg[t] &lt;- min(dln_oil_inr[t], 0)</w:t>
      </w:r>
    </w:p>
    <w:p>
      <w:pPr>
        <w:spacing w:after="120"/>
      </w:pPr>
    </w:p>
    <w:p>
      <w:pPr>
        <w:jc w:val="both"/>
      </w:pPr>
      <w:r>
        <w:rPr>
          <w:rFonts w:ascii="Times New Roman" w:hAnsi="Times New Roman" w:cs="Times New Roman" w:eastAsia="Times New Roman"/>
          <w:b w:val="0"/>
          <w:i w:val="0"/>
          <w:sz w:val="23"/>
        </w:rPr>
        <w:t>The same step-by-step logic applies to Brent alone (for the retail petrol equation) and to PPAC petrol (for the CPI Fuel and Light bridge equation). The only difference is which input series plays the role of ‘x’.</w:t>
      </w:r>
    </w:p>
    <w:p>
      <w:pPr>
        <w:pStyle w:val="Heading2"/>
        <w:ind w:firstLine="0"/>
        <w:jc w:val="left"/>
      </w:pPr>
      <w:r>
        <w:rPr>
          <w:rFonts w:ascii="Times New Roman" w:hAnsi="Times New Roman"/>
          <w:b/>
        </w:rPr>
        <w:t>5.7 Controls you will see in the equations</w:t>
      </w:r>
    </w:p>
    <w:p>
      <w:pPr>
        <w:pStyle w:val="ListBullet"/>
        <w:spacing w:after="40" w:line="300" w:lineRule="auto"/>
        <w:ind w:firstLine="0"/>
      </w:pPr>
      <w:r>
        <w:rPr>
          <w:rFonts w:ascii="Times New Roman" w:hAnsi="Times New Roman" w:cs="Times New Roman" w:eastAsia="Times New Roman"/>
          <w:b w:val="0"/>
          <w:i w:val="0"/>
          <w:sz w:val="23"/>
        </w:rPr>
        <w:t>ΔIIP</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the monthly growth of the Index of Industrial Production. A demand-side control for the retail petrol and headline CPI equations.</w:t>
      </w:r>
    </w:p>
    <w:p>
      <w:pPr>
        <w:pStyle w:val="ListBullet"/>
        <w:spacing w:after="40" w:line="300" w:lineRule="auto"/>
        <w:ind w:firstLine="0"/>
      </w:pPr>
      <w:r>
        <w:rPr>
          <w:rFonts w:ascii="Times New Roman" w:hAnsi="Times New Roman" w:cs="Times New Roman" w:eastAsia="Times New Roman"/>
          <w:b w:val="0"/>
          <w:i w:val="0"/>
          <w:sz w:val="23"/>
        </w:rPr>
        <w:t>D_petrol: a dummy variable that is 0 before June 2010 and 1 after that, to allow the intercept to shift after petrol deregulation.</w:t>
      </w:r>
    </w:p>
    <w:p>
      <w:pPr>
        <w:pStyle w:val="ListBullet"/>
        <w:spacing w:after="40" w:line="300" w:lineRule="auto"/>
        <w:ind w:firstLine="0"/>
      </w:pPr>
      <w:r>
        <w:rPr>
          <w:rFonts w:ascii="Times New Roman" w:hAnsi="Times New Roman" w:cs="Times New Roman" w:eastAsia="Times New Roman"/>
          <w:b w:val="0"/>
          <w:i w:val="0"/>
          <w:sz w:val="23"/>
        </w:rPr>
        <w:t>D_diesel: a dummy variable that is 0 before October 2014 and 1 after, to mark diesel deregulation.</w:t>
      </w:r>
    </w:p>
    <w:p>
      <w:pPr>
        <w:pStyle w:val="ListBullet"/>
        <w:spacing w:after="40" w:line="300" w:lineRule="auto"/>
        <w:ind w:firstLine="0"/>
      </w:pPr>
      <w:r>
        <w:rPr>
          <w:rFonts w:ascii="Times New Roman" w:hAnsi="Times New Roman" w:cs="Times New Roman" w:eastAsia="Times New Roman"/>
          <w:b w:val="0"/>
          <w:i w:val="0"/>
          <w:sz w:val="23"/>
        </w:rPr>
        <w:t>D_covid: a dummy that flags the unusual months during COVID (April-September 2020 in the WPI models; April 2020 in the CPI models).</w:t>
      </w:r>
    </w:p>
    <w:p>
      <w:pPr>
        <w:pStyle w:val="ListBullet"/>
        <w:spacing w:after="40" w:line="300" w:lineRule="auto"/>
        <w:ind w:firstLine="0"/>
      </w:pPr>
      <w:r>
        <w:rPr>
          <w:rFonts w:ascii="Times New Roman" w:hAnsi="Times New Roman" w:cs="Times New Roman" w:eastAsia="Times New Roman"/>
          <w:b w:val="0"/>
          <w:i w:val="0"/>
          <w:sz w:val="23"/>
        </w:rPr>
        <w:t>μ</w:t>
      </w:r>
      <w:r>
        <w:rPr>
          <w:rFonts w:ascii="Times New Roman" w:hAnsi="Times New Roman" w:cs="Times New Roman" w:eastAsia="Times New Roman"/>
          <w:b w:val="0"/>
          <w:i w:val="0"/>
          <w:sz w:val="23"/>
          <w:vertAlign w:val="subscript"/>
        </w:rPr>
        <w:t>m</w:t>
      </w:r>
      <w:r>
        <w:rPr>
          <w:rFonts w:ascii="Times New Roman" w:hAnsi="Times New Roman" w:cs="Times New Roman" w:eastAsia="Times New Roman"/>
          <w:b w:val="0"/>
          <w:i w:val="0"/>
          <w:sz w:val="23"/>
        </w:rPr>
        <w:t>: eleven monthly seasonal dummies (one month is the reference), to soak up residual seasonality after month-on-month differencing.</w:t>
      </w:r>
    </w:p>
    <w:p>
      <w:pPr>
        <w:pStyle w:val="Heading2"/>
        <w:ind w:firstLine="0"/>
        <w:jc w:val="left"/>
      </w:pPr>
      <w:r>
        <w:rPr>
          <w:rFonts w:ascii="Times New Roman" w:hAnsi="Times New Roman"/>
          <w:b/>
        </w:rPr>
        <w:t>5.8 Why the shock variable differs across layers</w:t>
      </w:r>
    </w:p>
    <w:p>
      <w:pPr>
        <w:jc w:val="both"/>
      </w:pPr>
      <w:r>
        <w:rPr>
          <w:rFonts w:ascii="Times New Roman" w:hAnsi="Times New Roman" w:cs="Times New Roman" w:eastAsia="Times New Roman"/>
          <w:b w:val="0"/>
          <w:i w:val="0"/>
          <w:sz w:val="23"/>
        </w:rPr>
        <w:t>We use the rupee oil price as the shock for WPI, WPI Fuel and Power, and headline CPI, because Indian producers and the economy as a whole care about the rupee cost of imported crude, which bundles Brent and the exchange rate.</w:t>
      </w:r>
    </w:p>
    <w:p>
      <w:pPr>
        <w:jc w:val="both"/>
      </w:pPr>
      <w:r>
        <w:rPr>
          <w:rFonts w:ascii="Times New Roman" w:hAnsi="Times New Roman" w:cs="Times New Roman" w:eastAsia="Times New Roman"/>
          <w:b w:val="0"/>
          <w:i w:val="0"/>
          <w:sz w:val="23"/>
        </w:rPr>
        <w:t>For retail petrol we use Brent alone, because retail petrol prices are pegged (under market-linked pricing) to international product prices that are very close to the dollar benchmark. Tax and pricing rules absorb much of the exchange-rate component separately.</w:t>
      </w:r>
    </w:p>
    <w:p>
      <w:pPr>
        <w:jc w:val="both"/>
      </w:pPr>
      <w:r>
        <w:rPr>
          <w:rFonts w:ascii="Times New Roman" w:hAnsi="Times New Roman" w:cs="Times New Roman" w:eastAsia="Times New Roman"/>
          <w:b w:val="0"/>
          <w:i w:val="0"/>
          <w:sz w:val="23"/>
        </w:rPr>
        <w:t>For CPI Fuel and Light we use PPAC retail petrol as the shock, because the question here is specifically how retail fuel movements enter the fuel-sensitive consumer basket. Using oil directly would mix the Brent-to-petrol stage and the petrol-to-CPI-Fuel-and-Light stage.</w:t>
      </w:r>
      <w:r>
        <w:br w:type="page"/>
      </w:r>
    </w:p>
    <w:p>
      <w:pPr>
        <w:pStyle w:val="Heading1"/>
        <w:ind w:firstLine="0"/>
        <w:jc w:val="left"/>
      </w:pPr>
      <w:r>
        <w:rPr>
          <w:rFonts w:ascii="Times New Roman" w:hAnsi="Times New Roman"/>
          <w:b/>
        </w:rPr>
        <w:t>Part 6. Methodology: the ADL model in plain language</w:t>
      </w:r>
    </w:p>
    <w:p>
      <w:pPr>
        <w:pStyle w:val="Heading2"/>
        <w:ind w:firstLine="0"/>
        <w:jc w:val="left"/>
      </w:pPr>
      <w:r>
        <w:rPr>
          <w:rFonts w:ascii="Times New Roman" w:hAnsi="Times New Roman"/>
          <w:b/>
        </w:rPr>
        <w:t>6.1 What is an ADL model</w:t>
      </w:r>
    </w:p>
    <w:p>
      <w:pPr>
        <w:jc w:val="both"/>
      </w:pPr>
      <w:r>
        <w:rPr>
          <w:rFonts w:ascii="Times New Roman" w:hAnsi="Times New Roman" w:cs="Times New Roman" w:eastAsia="Times New Roman"/>
          <w:b w:val="0"/>
          <w:i w:val="0"/>
          <w:sz w:val="23"/>
        </w:rPr>
        <w:t>ADL stands for Autoregressive Distributed Lag. Let us unpack that:</w:t>
      </w:r>
    </w:p>
    <w:p>
      <w:pPr>
        <w:pStyle w:val="ListBullet"/>
        <w:spacing w:after="40" w:line="300" w:lineRule="auto"/>
        <w:ind w:firstLine="0"/>
      </w:pPr>
      <w:r>
        <w:rPr>
          <w:rFonts w:ascii="Times New Roman" w:hAnsi="Times New Roman" w:cs="Times New Roman" w:eastAsia="Times New Roman"/>
          <w:b w:val="0"/>
          <w:i w:val="0"/>
          <w:sz w:val="23"/>
        </w:rPr>
        <w:t>‘Autoregressive’ means the dependent variable depends on its own past values. If last month's inflation in WPI Fuel and Power was high, this month's is also likely to be a bit higher on average. So we put lags of the dependent variable on the right-hand side.</w:t>
      </w:r>
    </w:p>
    <w:p>
      <w:pPr>
        <w:pStyle w:val="ListBullet"/>
        <w:spacing w:after="40" w:line="300" w:lineRule="auto"/>
        <w:ind w:firstLine="0"/>
      </w:pPr>
      <w:r>
        <w:rPr>
          <w:rFonts w:ascii="Times New Roman" w:hAnsi="Times New Roman" w:cs="Times New Roman" w:eastAsia="Times New Roman"/>
          <w:b w:val="0"/>
          <w:i w:val="0"/>
          <w:sz w:val="23"/>
        </w:rPr>
        <w:t>‘Distributed lag’ means the explanatory variable enters not only at time t, but also at t−1, t−2, and so on. We let the effect of an oil shock spread out over several months, because in reality refiners, taxes, and supply chains take time to pass costs on.</w:t>
      </w:r>
    </w:p>
    <w:p>
      <w:pPr>
        <w:pStyle w:val="ListBullet"/>
        <w:spacing w:after="40" w:line="300" w:lineRule="auto"/>
        <w:ind w:firstLine="0"/>
      </w:pPr>
      <w:r>
        <w:rPr>
          <w:rFonts w:ascii="Times New Roman" w:hAnsi="Times New Roman" w:cs="Times New Roman" w:eastAsia="Times New Roman"/>
          <w:b w:val="0"/>
          <w:i w:val="0"/>
          <w:sz w:val="23"/>
        </w:rPr>
        <w:t>‘Short-run asymmetric’ means (a) we are interested in the monthly dynamics, not the long-run level relationship, and (b) positive and negative shocks are entered as separate variables.</w:t>
      </w:r>
    </w:p>
    <w:p>
      <w:pPr>
        <w:pStyle w:val="Heading2"/>
        <w:ind w:firstLine="0"/>
        <w:jc w:val="left"/>
      </w:pPr>
      <w:r>
        <w:rPr>
          <w:rFonts w:ascii="Times New Roman" w:hAnsi="Times New Roman"/>
          <w:b/>
        </w:rPr>
        <w:t>6.2 The full ADL equation with every term explained</w:t>
      </w:r>
    </w:p>
    <w:p>
      <w:pPr>
        <w:spacing w:before="120" w:after="120"/>
        <w:ind w:firstLine="0"/>
        <w:tabs>
          <w:tab w:val="center" w:pos="4230"/>
          <w:tab w:val="right" w:pos="8460"/>
        </w:tabs>
      </w:pPr>
      <w:r>
        <w:tab/>
      </w:r>
      <m:oMath>
        <m:sSub>
          <m:e>
            <m:r>
              <m:t xml:space="preserve">Δy</m:t>
            </m:r>
          </m:e>
          <m:sub>
            <m:r>
              <m:t xml:space="preserve">t</m:t>
            </m:r>
          </m:sub>
        </m:sSub>
        <m:r>
          <m:t xml:space="preserve"> = α + </m:t>
        </m:r>
        <m:nary>
          <m:naryPr>
            <m:chr m:val="∑"/>
            <m:limLoc m:val="undOvr"/>
            <m:subHide m:val="0"/>
            <m:supHide m:val="0"/>
          </m:naryPr>
          <m:sub>
            <m:r>
              <m:t xml:space="preserve">i=1</m:t>
            </m:r>
          </m:sub>
          <m:sup>
            <m:r>
              <m:t xml:space="preserve">p</m:t>
            </m:r>
          </m:sup>
          <m:e>
            <m:sSub>
              <m:e>
                <m:r>
                  <m:t xml:space="preserve">φ</m:t>
                </m:r>
              </m:e>
              <m:sub>
                <m:r>
                  <m:t xml:space="preserve">i</m:t>
                </m:r>
              </m:sub>
            </m:sSub>
            <m:sSub>
              <m:e>
                <m:r>
                  <m:t xml:space="preserve">Δy</m:t>
                </m:r>
              </m:e>
              <m:sub>
                <m:r>
                  <m:t xml:space="preserve">t−i</m:t>
                </m:r>
              </m:sub>
            </m:sSub>
          </m:e>
        </m:nary>
        <m:r>
          <m:t xml:space="preserve"> + </m:t>
        </m:r>
        <m:nary>
          <m:naryPr>
            <m:chr m:val="∑"/>
            <m:limLoc m:val="undOvr"/>
            <m:subHide m:val="0"/>
            <m:supHide m:val="0"/>
          </m:naryPr>
          <m:sub>
            <m:r>
              <m:t xml:space="preserve">j=0</m:t>
            </m:r>
          </m:sub>
          <m:sup>
            <m:r>
              <m:t xml:space="preserve">q</m:t>
            </m:r>
          </m:sup>
          <m:e>
            <m:sSubSup>
              <m:e>
                <m:r>
                  <m:t xml:space="preserve">β</m:t>
                </m:r>
              </m:e>
              <m:sub>
                <m:r>
                  <m:t xml:space="preserve">j</m:t>
                </m:r>
              </m:sub>
              <m:sup>
                <m:r>
                  <m:t xml:space="preserve">+</m:t>
                </m:r>
              </m:sup>
            </m:sSubSup>
            <m:sSubSup>
              <m:e>
                <m:r>
                  <m:t xml:space="preserve">Δx</m:t>
                </m:r>
              </m:e>
              <m:sub>
                <m:r>
                  <m:t xml:space="preserve">t−j</m:t>
                </m:r>
              </m:sub>
              <m:sup>
                <m:r>
                  <m:t xml:space="preserve">+</m:t>
                </m:r>
              </m:sup>
            </m:sSubSup>
          </m:e>
        </m:nary>
        <m:r>
          <m:t xml:space="preserve"> + </m:t>
        </m:r>
        <m:nary>
          <m:naryPr>
            <m:chr m:val="∑"/>
            <m:limLoc m:val="undOvr"/>
            <m:subHide m:val="0"/>
            <m:supHide m:val="0"/>
          </m:naryPr>
          <m:sub>
            <m:r>
              <m:t xml:space="preserve">j=0</m:t>
            </m:r>
          </m:sub>
          <m:sup>
            <m:r>
              <m:t xml:space="preserve">q</m:t>
            </m:r>
          </m:sup>
          <m:e>
            <m:sSubSup>
              <m:e>
                <m:r>
                  <m:t xml:space="preserve">β</m:t>
                </m:r>
              </m:e>
              <m:sub>
                <m:r>
                  <m:t xml:space="preserve">j</m:t>
                </m:r>
              </m:sub>
              <m:sup>
                <m:r>
                  <m:t xml:space="preserve">−</m:t>
                </m:r>
              </m:sup>
            </m:sSubSup>
            <m:sSubSup>
              <m:e>
                <m:r>
                  <m:t xml:space="preserve">Δx</m:t>
                </m:r>
              </m:e>
              <m:sub>
                <m:r>
                  <m:t xml:space="preserve">t−j</m:t>
                </m:r>
              </m:sub>
              <m:sup>
                <m:r>
                  <m:t xml:space="preserve">−</m:t>
                </m:r>
              </m:sup>
            </m:sSubSup>
          </m:e>
        </m:nary>
        <m:r>
          <m:t xml:space="preserve"> + γ'</m:t>
        </m:r>
        <m:sSub>
          <m:e>
            <m:r>
              <m:t xml:space="preserve">Z</m:t>
            </m:r>
          </m:e>
          <m:sub>
            <m:r>
              <m:t xml:space="preserve">t</m:t>
            </m:r>
          </m:sub>
        </m:sSub>
        <m:r>
          <m:t xml:space="preserve"> + </m:t>
        </m:r>
        <m:sSub>
          <m:e>
            <m:r>
              <m:t xml:space="preserve">μ</m:t>
            </m:r>
          </m:e>
          <m:sub>
            <m:r>
              <m:t xml:space="preserve">m</m:t>
            </m:r>
          </m:sub>
        </m:sSub>
        <m:r>
          <m:t xml:space="preserve"> + </m:t>
        </m:r>
        <m:sSub>
          <m:e>
            <m:r>
              <m:t xml:space="preserve">ε</m:t>
            </m:r>
          </m:e>
          <m:sub>
            <m:r>
              <m:t xml:space="preserve">t</m:t>
            </m:r>
          </m:sub>
        </m:sSub>
      </m:oMath>
      <w:r>
        <w:rPr>
          <w:rFonts w:ascii="Times New Roman" w:hAnsi="Times New Roman"/>
          <w:sz w:val="22"/>
        </w:rPr>
        <w:tab/>
        <w:t xml:space="preserve">(6.1)</w:t>
      </w:r>
    </w:p>
    <w:p>
      <w:pPr>
        <w:pStyle w:val="Heading2"/>
        <w:ind w:firstLine="0"/>
        <w:jc w:val="left"/>
      </w:pPr>
      <w:r>
        <w:rPr>
          <w:rFonts w:ascii="Times New Roman" w:hAnsi="Times New Roman"/>
          <w:b/>
        </w:rPr>
        <w:t>6.3 Every symbol, one by one</w:t>
      </w:r>
    </w:p>
    <w:p>
      <w:pPr>
        <w:pStyle w:val="Caption"/>
        <w:ind w:firstLine="0"/>
        <w:jc w:val="left"/>
      </w:pPr>
      <w:r>
        <w:rPr>
          <w:rFonts w:ascii="Times New Roman" w:hAnsi="Times New Roman" w:cs="Times New Roman" w:eastAsia="Times New Roman"/>
          <w:b/>
          <w:i w:val="0"/>
          <w:sz w:val="21"/>
        </w:rPr>
        <w:t>Table 6.1. Every Greek letter and symbol in the ADL equation, translated.</w:t>
      </w:r>
    </w:p>
    <w:tbl>
      <w:tblPr>
        <w:tblStyle w:val="TableGrid"/>
        <w:tblW w:type="auto" w:w="0"/>
        <w:jc w:val="center"/>
        <w:tblLayout w:type="fixed"/>
        <w:tblLook w:firstColumn="1" w:firstRow="1" w:lastColumn="0" w:lastRow="0" w:noHBand="0" w:noVBand="1" w:val="04A0"/>
        <w:tblLayout w:type="fixed"/>
      </w:tblPr>
      <w:tblGrid>
        <w:gridCol w:w="1269"/>
        <w:gridCol w:w="1833"/>
        <w:gridCol w:w="5923"/>
      </w:tblGrid>
      <w:tr>
        <w:trPr>
          <w:cantSplit/>
          <w:tblHeader/>
        </w:trPr>
        <w:tc>
          <w:tcPr>
            <w:tcW w:type="dxa" w:w="126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Symbol</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Name</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What it means in plain language</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Δy</w:t>
            </w:r>
            <w:r>
              <w:rPr>
                <w:rFonts w:ascii="Times New Roman" w:hAnsi="Times New Roman" w:cs="Times New Roman" w:eastAsia="Times New Roman"/>
                <w:b w:val="0"/>
                <w:i w:val="0"/>
                <w:sz w:val="20"/>
                <w:vertAlign w:val="subscript"/>
              </w:rPr>
              <w:t>t</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Delta y sub t</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percentage monthly change in the dependent price index at month t. E.g. this month's inflation in headline CPI.</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α</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Alpha</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intercept, or baseline monthly inflation when all right-hand-side variables are zero. It sets the ‘average level’ of the equation.</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φ</w:t>
            </w:r>
            <w:r>
              <w:rPr>
                <w:rFonts w:ascii="Times New Roman" w:hAnsi="Times New Roman" w:cs="Times New Roman" w:eastAsia="Times New Roman"/>
                <w:b w:val="0"/>
                <w:i w:val="0"/>
                <w:sz w:val="20"/>
                <w:vertAlign w:val="subscript"/>
              </w:rPr>
              <w:t>i</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Phi sub i</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coefficient on the i-th lag of the dependent variable. Measures how persistent inflation is in that index.</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p</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number of own-lags used. For WPI models we use p = 12 to capture the annual cycle; for CPI and retail petrol we use p = 3, chosen by AIC over p = 1 to 4.</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β</w:t>
            </w:r>
            <w:r>
              <w:rPr>
                <w:rFonts w:ascii="Times New Roman" w:hAnsi="Times New Roman" w:cs="Times New Roman" w:eastAsia="Times New Roman"/>
                <w:b w:val="0"/>
                <w:i w:val="0"/>
                <w:sz w:val="20"/>
                <w:vertAlign w:val="superscript"/>
              </w:rPr>
              <w:t>+</w:t>
            </w:r>
            <w:r>
              <w:rPr>
                <w:rFonts w:ascii="Times New Roman" w:hAnsi="Times New Roman" w:cs="Times New Roman" w:eastAsia="Times New Roman"/>
                <w:b w:val="0"/>
                <w:i w:val="0"/>
                <w:sz w:val="20"/>
                <w:vertAlign w:val="subscript"/>
              </w:rPr>
              <w:t>j</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beta plus sub j</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coefficient on the j-th lag of the positive oil shock. Its sign tells us how a positive oil shock j months ago affects today's inflation.</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β</w:t>
            </w:r>
            <w:r>
              <w:rPr>
                <w:rFonts w:ascii="Times New Roman" w:hAnsi="Times New Roman" w:cs="Times New Roman" w:eastAsia="Times New Roman"/>
                <w:b w:val="0"/>
                <w:i w:val="0"/>
                <w:sz w:val="20"/>
                <w:vertAlign w:val="superscript"/>
              </w:rPr>
              <w:t>−</w:t>
            </w:r>
            <w:r>
              <w:rPr>
                <w:rFonts w:ascii="Times New Roman" w:hAnsi="Times New Roman" w:cs="Times New Roman" w:eastAsia="Times New Roman"/>
                <w:b w:val="0"/>
                <w:i w:val="0"/>
                <w:sz w:val="20"/>
                <w:vertAlign w:val="subscript"/>
              </w:rPr>
              <w:t>j</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beta minus sub j</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coefficient on the j-th lag of the negative oil shock.</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q</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q</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number of shock lags. For WPI we use q = 6 (wholesale channels are slower). For retail petrol and CPI we use q = 3 (fuel pricing and consumer baskets respond faster).</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Z</w:t>
            </w:r>
            <w:r>
              <w:rPr>
                <w:rFonts w:ascii="Times New Roman" w:hAnsi="Times New Roman" w:cs="Times New Roman" w:eastAsia="Times New Roman"/>
                <w:b w:val="0"/>
                <w:i w:val="0"/>
                <w:sz w:val="20"/>
                <w:vertAlign w:val="subscript"/>
              </w:rPr>
              <w:t>t</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Z sub t</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A vector of extra controls. For the retail petrol equation it contains IIP growth and the petrol/diesel deregulation dummies. For headline CPI it contains the same, plus a COVID dummy.</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γ</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Gamma</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vector of coefficients on those controls. The prime (γ') just means ‘multiply γ against the vector Z</w:t>
            </w:r>
            <w:r>
              <w:rPr>
                <w:rFonts w:ascii="Times New Roman" w:hAnsi="Times New Roman" w:cs="Times New Roman" w:eastAsia="Times New Roman"/>
                <w:b w:val="0"/>
                <w:i w:val="0"/>
                <w:sz w:val="20"/>
                <w:vertAlign w:val="subscript"/>
              </w:rPr>
              <w:t>t</w:t>
            </w:r>
            <w:r>
              <w:rPr>
                <w:rFonts w:ascii="Times New Roman" w:hAnsi="Times New Roman" w:cs="Times New Roman" w:eastAsia="Times New Roman"/>
                <w:b w:val="0"/>
                <w:i w:val="0"/>
                <w:sz w:val="20"/>
              </w:rPr>
              <w:t xml:space="preserve"> row by row’.</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μ</w:t>
            </w:r>
            <w:r>
              <w:rPr>
                <w:rFonts w:ascii="Times New Roman" w:hAnsi="Times New Roman" w:cs="Times New Roman" w:eastAsia="Times New Roman"/>
                <w:b w:val="0"/>
                <w:i w:val="0"/>
                <w:sz w:val="20"/>
                <w:vertAlign w:val="subscript"/>
              </w:rPr>
              <w:t>m</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Mu sub m</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month-of-year dummy. Eleven dummies for eleven months, with one month as the reference. Soaks up residual seasonality that survives log-differencing.</w:t>
            </w:r>
          </w:p>
        </w:tc>
      </w:tr>
      <w:tr>
        <w:trPr>
          <w:cantSplit/>
        </w:trPr>
        <w:tc>
          <w:tcPr>
            <w:tcW w:type="dxa" w:w="126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ε</w:t>
            </w:r>
            <w:r>
              <w:rPr>
                <w:rFonts w:ascii="Times New Roman" w:hAnsi="Times New Roman" w:cs="Times New Roman" w:eastAsia="Times New Roman"/>
                <w:b w:val="0"/>
                <w:i w:val="0"/>
                <w:sz w:val="20"/>
                <w:vertAlign w:val="subscript"/>
              </w:rPr>
              <w:t>t</w:t>
            </w:r>
          </w:p>
        </w:tc>
        <w:tc>
          <w:tcPr>
            <w:tcW w:type="dxa" w:w="1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Epsilon sub t</w:t>
            </w:r>
          </w:p>
        </w:tc>
        <w:tc>
          <w:tcPr>
            <w:tcW w:type="dxa" w:w="592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The error term. Everything the model did not explain. It is allowed to be heteroscedastic and autocorrelated; that is why we fix the standard errors later.</w:t>
            </w:r>
          </w:p>
        </w:tc>
      </w:tr>
    </w:tbl>
    <w:p>
      <w:pPr>
        <w:spacing w:before="40" w:after="160" w:line="240" w:lineRule="auto"/>
        <w:ind w:firstLine="0"/>
      </w:pPr>
      <w:r>
        <w:rPr>
          <w:rFonts w:ascii="Times New Roman" w:hAnsi="Times New Roman" w:cs="Times New Roman" w:eastAsia="Times New Roman"/>
          <w:b w:val="0"/>
          <w:i/>
          <w:sz w:val="18"/>
        </w:rPr>
        <w:t>Note: Σ is the sum symbol. The subscript below Σ is where the index starts; the superscript above Σ is where it ends.</w:t>
      </w:r>
    </w:p>
    <w:p>
      <w:pPr>
        <w:pStyle w:val="Heading2"/>
        <w:ind w:firstLine="0"/>
        <w:jc w:val="left"/>
      </w:pPr>
      <w:r>
        <w:rPr>
          <w:rFonts w:ascii="Times New Roman" w:hAnsi="Times New Roman"/>
          <w:b/>
        </w:rPr>
        <w:t>6.4 How the coefficients α, β, γ, φ, μ are derived: OLS in plain terms</w:t>
      </w:r>
    </w:p>
    <w:p>
      <w:pPr>
        <w:jc w:val="both"/>
      </w:pPr>
      <w:r>
        <w:rPr>
          <w:rFonts w:ascii="Times New Roman" w:hAnsi="Times New Roman" w:cs="Times New Roman" w:eastAsia="Times New Roman"/>
          <w:b w:val="0"/>
          <w:i w:val="0"/>
          <w:sz w:val="23"/>
        </w:rPr>
        <w:t>All the coefficients in the ADL equation are estimated by ordinary least squares, OLS, exactly the same OLS you met in first-year econometrics. Nothing exotic.</w:t>
      </w:r>
    </w:p>
    <w:p>
      <w:pPr>
        <w:jc w:val="both"/>
      </w:pPr>
      <w:r>
        <w:rPr>
          <w:rFonts w:ascii="Times New Roman" w:hAnsi="Times New Roman" w:cs="Times New Roman" w:eastAsia="Times New Roman"/>
          <w:b w:val="0"/>
          <w:i w:val="0"/>
          <w:sz w:val="23"/>
        </w:rPr>
        <w:t>OLS picks the numbers α̂,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j</w:t>
      </w:r>
      <w:r>
        <w:rPr>
          <w:rFonts w:ascii="Times New Roman" w:hAnsi="Times New Roman" w:cs="Times New Roman" w:eastAsia="Times New Roman"/>
          <w:b w:val="0"/>
          <w:i w:val="0"/>
          <w:sz w:val="23"/>
        </w:rPr>
        <w:t>,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j</w:t>
      </w:r>
      <w:r>
        <w:rPr>
          <w:rFonts w:ascii="Times New Roman" w:hAnsi="Times New Roman" w:cs="Times New Roman" w:eastAsia="Times New Roman"/>
          <w:b w:val="0"/>
          <w:i w:val="0"/>
          <w:sz w:val="23"/>
        </w:rPr>
        <w:t>, γ̂, φ̂</w:t>
      </w:r>
      <w:r>
        <w:rPr>
          <w:rFonts w:ascii="Times New Roman" w:hAnsi="Times New Roman" w:cs="Times New Roman" w:eastAsia="Times New Roman"/>
          <w:b w:val="0"/>
          <w:i w:val="0"/>
          <w:sz w:val="23"/>
          <w:vertAlign w:val="subscript"/>
        </w:rPr>
        <w:t>i</w:t>
      </w:r>
      <w:r>
        <w:rPr>
          <w:rFonts w:ascii="Times New Roman" w:hAnsi="Times New Roman" w:cs="Times New Roman" w:eastAsia="Times New Roman"/>
          <w:b w:val="0"/>
          <w:i w:val="0"/>
          <w:sz w:val="23"/>
        </w:rPr>
        <w:t>, μ̂</w:t>
      </w:r>
      <w:r>
        <w:rPr>
          <w:rFonts w:ascii="Times New Roman" w:hAnsi="Times New Roman" w:cs="Times New Roman" w:eastAsia="Times New Roman"/>
          <w:b w:val="0"/>
          <w:i w:val="0"/>
          <w:sz w:val="23"/>
          <w:vertAlign w:val="subscript"/>
        </w:rPr>
        <w:t>m</w:t>
      </w:r>
      <w:r>
        <w:rPr>
          <w:rFonts w:ascii="Times New Roman" w:hAnsi="Times New Roman" w:cs="Times New Roman" w:eastAsia="Times New Roman"/>
          <w:b w:val="0"/>
          <w:i w:val="0"/>
          <w:sz w:val="23"/>
        </w:rPr>
        <w:t xml:space="preserve"> that make the sum of squared residuals Σ ε̂</w:t>
      </w:r>
      <w:r>
        <w:rPr>
          <w:rFonts w:ascii="Times New Roman" w:hAnsi="Times New Roman" w:cs="Times New Roman" w:eastAsia="Times New Roman"/>
          <w:b w:val="0"/>
          <w:i w:val="0"/>
          <w:sz w:val="23"/>
          <w:vertAlign w:val="superscript"/>
        </w:rPr>
        <w:t>2</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as small as possible. A residual ε̂</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is the gap between the actual Δy</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we observe and the value our equation would predict for that month. OLS says: choose the coefficients so these gaps, squared and summed over all months in the sample, are minimised.</w:t>
      </w:r>
    </w:p>
    <w:p>
      <w:pPr>
        <w:spacing w:before="120" w:after="120"/>
        <w:ind w:firstLine="0" w:left="144" w:right="144"/>
        <w:shd w:val="clear" w:color="auto" w:fill="EEF2FA"/>
      </w:pPr>
      <w:r>
        <w:rPr>
          <w:rFonts w:ascii="Times New Roman" w:hAnsi="Times New Roman" w:cs="Times New Roman" w:eastAsia="Times New Roman"/>
          <w:b/>
          <w:i w:val="0"/>
          <w:sz w:val="22"/>
        </w:rPr>
        <w:t xml:space="preserve">Why squares, not absolute values: </w:t>
      </w:r>
      <w:r>
        <w:rPr>
          <w:rFonts w:ascii="Times New Roman" w:hAnsi="Times New Roman" w:cs="Times New Roman" w:eastAsia="Times New Roman"/>
          <w:b w:val="0"/>
          <w:i/>
          <w:sz w:val="22"/>
        </w:rPr>
        <w:t>Squaring punishes big misses more than small ones and makes the math tractable. Under classical assumptions it is also the best-linear-unbiased estimator by the Gauss-Markov theorem.</w:t>
      </w:r>
    </w:p>
    <w:p>
      <w:pPr>
        <w:pStyle w:val="Heading2"/>
        <w:ind w:firstLine="0"/>
        <w:jc w:val="left"/>
      </w:pPr>
      <w:r>
        <w:rPr>
          <w:rFonts w:ascii="Times New Roman" w:hAnsi="Times New Roman"/>
          <w:b/>
        </w:rPr>
        <w:t>6.5 A tiny worked example of OLS</w:t>
      </w:r>
    </w:p>
    <w:p>
      <w:pPr>
        <w:jc w:val="both"/>
      </w:pPr>
      <w:r>
        <w:rPr>
          <w:rFonts w:ascii="Times New Roman" w:hAnsi="Times New Roman" w:cs="Times New Roman" w:eastAsia="Times New Roman"/>
          <w:b w:val="0"/>
          <w:i w:val="0"/>
          <w:sz w:val="23"/>
        </w:rPr>
        <w:t>Imagine a toy regression: Δy</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α + β ΔBrent</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 ε</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with just three observations:</w:t>
      </w:r>
    </w:p>
    <w:p>
      <w:pPr>
        <w:pStyle w:val="Caption"/>
        <w:ind w:firstLine="0"/>
        <w:jc w:val="left"/>
      </w:pPr>
      <w:r>
        <w:rPr>
          <w:rFonts w:ascii="Times New Roman" w:hAnsi="Times New Roman" w:cs="Times New Roman" w:eastAsia="Times New Roman"/>
          <w:b/>
          <w:i w:val="0"/>
          <w:sz w:val="21"/>
        </w:rPr>
        <w:t>Table 6.2. Toy data for the OLS worked example.</w:t>
      </w:r>
    </w:p>
    <w:tbl>
      <w:tblPr>
        <w:tblStyle w:val="TableGrid"/>
        <w:tblW w:type="auto" w:w="0"/>
        <w:jc w:val="center"/>
        <w:tblLayout w:type="fixed"/>
        <w:tblLook w:firstColumn="1" w:firstRow="1" w:lastColumn="0" w:lastRow="0" w:noHBand="0" w:noVBand="1" w:val="04A0"/>
        <w:tblLayout w:type="fixed"/>
      </w:tblPr>
      <w:tblGrid>
        <w:gridCol w:w="1440"/>
        <w:gridCol w:w="1728"/>
        <w:gridCol w:w="1728"/>
      </w:tblGrid>
      <w:tr>
        <w:trPr>
          <w:cantSplit/>
          <w:tblHeader/>
        </w:trPr>
        <w:tc>
          <w:tcPr>
            <w:tcW w:type="dxa" w:w="144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Month</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ΔBrent</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Δy</w:t>
            </w:r>
          </w:p>
        </w:tc>
      </w:tr>
      <w:tr>
        <w:trPr>
          <w:cantSplit/>
        </w:trPr>
        <w:tc>
          <w:tcPr>
            <w:tcW w:type="dxa" w:w="144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t=1</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1.0</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0.4</w:t>
            </w:r>
          </w:p>
        </w:tc>
      </w:tr>
      <w:tr>
        <w:trPr>
          <w:cantSplit/>
        </w:trPr>
        <w:tc>
          <w:tcPr>
            <w:tcW w:type="dxa" w:w="144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t=2</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2.0</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0.9</w:t>
            </w:r>
          </w:p>
        </w:tc>
      </w:tr>
      <w:tr>
        <w:trPr>
          <w:cantSplit/>
        </w:trPr>
        <w:tc>
          <w:tcPr>
            <w:tcW w:type="dxa" w:w="144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t=3</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3.0</w:t>
            </w:r>
          </w:p>
        </w:tc>
        <w:tc>
          <w:tcPr>
            <w:tcW w:type="dxa" w:w="172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1.3</w:t>
            </w:r>
          </w:p>
        </w:tc>
      </w:tr>
    </w:tbl>
    <w:p>
      <w:pPr>
        <w:jc w:val="both"/>
      </w:pPr>
      <w:r>
        <w:rPr>
          <w:rFonts w:ascii="Times New Roman" w:hAnsi="Times New Roman" w:cs="Times New Roman" w:eastAsia="Times New Roman"/>
          <w:b w:val="0"/>
          <w:i w:val="0"/>
          <w:sz w:val="23"/>
        </w:rPr>
        <w:t>If we choose α = 0 and β = 0.45, the predicted Δy values are 0.45, 0.90, 1.35. The residuals are (0.4−0.45)=−0.05, (0.9−0.90)=0.0, (1.3−1.35)=−0.05. The sum of squared residuals is 0.005. OLS tries every possible pair (α, β) and picks the pair with the smallest sum of squared residuals. In practice the statistical package solves a simple matrix equation to find this minimum in one step.</w:t>
      </w:r>
    </w:p>
    <w:p>
      <w:pPr>
        <w:jc w:val="both"/>
      </w:pPr>
      <w:r>
        <w:rPr>
          <w:rFonts w:ascii="Times New Roman" w:hAnsi="Times New Roman" w:cs="Times New Roman" w:eastAsia="Times New Roman"/>
          <w:b w:val="0"/>
          <w:i w:val="0"/>
          <w:sz w:val="23"/>
        </w:rPr>
        <w:t>The same logic scales up to our ADL equation with many lags and many controls. Instead of two coefficients the software estimates thirty or more, but the principle is identical: the chosen coefficients are the ones that minimise the total squared prediction error.</w:t>
      </w:r>
    </w:p>
    <w:p>
      <w:pPr>
        <w:spacing w:after="0" w:before="0" w:line="276" w:lineRule="auto"/>
        <w:ind w:firstLine="0" w:left="360"/>
        <w:shd w:val="clear" w:color="auto" w:fill="F4F4F4"/>
      </w:pPr>
      <w:r>
        <w:rPr>
          <w:rFonts w:ascii="Consolas" w:hAnsi="Consolas" w:cs="Consolas"/>
          <w:sz w:val="19"/>
        </w:rPr>
        <w:t># Pseudo-code for OLS fit used inside the R scripts</w:t>
      </w:r>
    </w:p>
    <w:p>
      <w:pPr>
        <w:spacing w:after="0" w:before="0" w:line="276" w:lineRule="auto"/>
        <w:ind w:firstLine="0" w:left="360"/>
        <w:shd w:val="clear" w:color="auto" w:fill="F4F4F4"/>
      </w:pPr>
      <w:r>
        <w:rPr>
          <w:rFonts w:ascii="Consolas" w:hAnsi="Consolas" w:cs="Consolas"/>
          <w:sz w:val="19"/>
        </w:rPr>
        <w:t>y  &lt;- dln_cpi                              # dependent variable</w:t>
      </w:r>
    </w:p>
    <w:p>
      <w:pPr>
        <w:spacing w:after="0" w:before="0" w:line="276" w:lineRule="auto"/>
        <w:ind w:firstLine="0" w:left="360"/>
        <w:shd w:val="clear" w:color="auto" w:fill="F4F4F4"/>
      </w:pPr>
      <w:r>
        <w:rPr>
          <w:rFonts w:ascii="Consolas" w:hAnsi="Consolas" w:cs="Consolas"/>
          <w:sz w:val="19"/>
        </w:rPr>
        <w:t>X  &lt;- cbind(1,                             # intercept</w:t>
      </w:r>
    </w:p>
    <w:p>
      <w:pPr>
        <w:spacing w:after="0" w:before="0" w:line="276" w:lineRule="auto"/>
        <w:ind w:firstLine="0" w:left="360"/>
        <w:shd w:val="clear" w:color="auto" w:fill="F4F4F4"/>
      </w:pPr>
      <w:r>
        <w:rPr>
          <w:rFonts w:ascii="Consolas" w:hAnsi="Consolas" w:cs="Consolas"/>
          <w:sz w:val="19"/>
        </w:rPr>
        <w:t xml:space="preserve">            dln_cpi_lag1, dln_cpi_lag2, dln_cpi_lag3,</w:t>
      </w:r>
    </w:p>
    <w:p>
      <w:pPr>
        <w:spacing w:after="0" w:before="0" w:line="276" w:lineRule="auto"/>
        <w:ind w:firstLine="0" w:left="360"/>
        <w:shd w:val="clear" w:color="auto" w:fill="F4F4F4"/>
      </w:pPr>
      <w:r>
        <w:rPr>
          <w:rFonts w:ascii="Consolas" w:hAnsi="Consolas" w:cs="Consolas"/>
          <w:sz w:val="19"/>
        </w:rPr>
        <w:t xml:space="preserve">            dln_oil_inr_pos, dln_oil_inr_pos_lag1,</w:t>
      </w:r>
    </w:p>
    <w:p>
      <w:pPr>
        <w:spacing w:after="0" w:before="0" w:line="276" w:lineRule="auto"/>
        <w:ind w:firstLine="0" w:left="360"/>
        <w:shd w:val="clear" w:color="auto" w:fill="F4F4F4"/>
      </w:pPr>
      <w:r>
        <w:rPr>
          <w:rFonts w:ascii="Consolas" w:hAnsi="Consolas" w:cs="Consolas"/>
          <w:sz w:val="19"/>
        </w:rPr>
        <w:t xml:space="preserve">            dln_oil_inr_pos_lag2, dln_oil_inr_pos_lag3,</w:t>
      </w:r>
    </w:p>
    <w:p>
      <w:pPr>
        <w:spacing w:after="0" w:before="0" w:line="276" w:lineRule="auto"/>
        <w:ind w:firstLine="0" w:left="360"/>
        <w:shd w:val="clear" w:color="auto" w:fill="F4F4F4"/>
      </w:pPr>
      <w:r>
        <w:rPr>
          <w:rFonts w:ascii="Consolas" w:hAnsi="Consolas" w:cs="Consolas"/>
          <w:sz w:val="19"/>
        </w:rPr>
        <w:t xml:space="preserve">            dln_oil_inr_neg, dln_oil_inr_neg_lag1,</w:t>
      </w:r>
    </w:p>
    <w:p>
      <w:pPr>
        <w:spacing w:after="0" w:before="0" w:line="276" w:lineRule="auto"/>
        <w:ind w:firstLine="0" w:left="360"/>
        <w:shd w:val="clear" w:color="auto" w:fill="F4F4F4"/>
      </w:pPr>
      <w:r>
        <w:rPr>
          <w:rFonts w:ascii="Consolas" w:hAnsi="Consolas" w:cs="Consolas"/>
          <w:sz w:val="19"/>
        </w:rPr>
        <w:t xml:space="preserve">            dln_oil_inr_neg_lag2, dln_oil_inr_neg_lag3,</w:t>
      </w:r>
    </w:p>
    <w:p>
      <w:pPr>
        <w:spacing w:after="0" w:before="0" w:line="276" w:lineRule="auto"/>
        <w:ind w:firstLine="0" w:left="360"/>
        <w:shd w:val="clear" w:color="auto" w:fill="F4F4F4"/>
      </w:pPr>
      <w:r>
        <w:rPr>
          <w:rFonts w:ascii="Consolas" w:hAnsi="Consolas" w:cs="Consolas"/>
          <w:sz w:val="19"/>
        </w:rPr>
        <w:t xml:space="preserve">            dln_iip, D_petrol, D_diesel, D_covid,</w:t>
      </w:r>
    </w:p>
    <w:p>
      <w:pPr>
        <w:spacing w:after="0" w:before="0" w:line="276" w:lineRule="auto"/>
        <w:ind w:firstLine="0" w:left="360"/>
        <w:shd w:val="clear" w:color="auto" w:fill="F4F4F4"/>
      </w:pPr>
      <w:r>
        <w:rPr>
          <w:rFonts w:ascii="Consolas" w:hAnsi="Consolas" w:cs="Consolas"/>
          <w:sz w:val="19"/>
        </w:rPr>
        <w:t xml:space="preserve">            month_dummies)</w:t>
      </w:r>
    </w:p>
    <w:p>
      <w:pPr>
        <w:spacing w:after="0" w:before="0" w:line="276" w:lineRule="auto"/>
        <w:ind w:firstLine="0" w:left="360"/>
        <w:shd w:val="clear" w:color="auto" w:fill="F4F4F4"/>
      </w:pPr>
      <w:r>
        <w:rPr>
          <w:rFonts w:ascii="Consolas" w:hAnsi="Consolas" w:cs="Consolas"/>
          <w:sz w:val="19"/>
        </w:rPr>
        <w:t xml:space="preserve"> </w:t>
      </w:r>
    </w:p>
    <w:p>
      <w:pPr>
        <w:spacing w:after="0" w:before="0" w:line="276" w:lineRule="auto"/>
        <w:ind w:firstLine="0" w:left="360"/>
        <w:shd w:val="clear" w:color="auto" w:fill="F4F4F4"/>
      </w:pPr>
      <w:r>
        <w:rPr>
          <w:rFonts w:ascii="Consolas" w:hAnsi="Consolas" w:cs="Consolas"/>
          <w:sz w:val="19"/>
        </w:rPr>
        <w:t>beta_hat &lt;- solve(t(X) %*% X) %*% (t(X) %*% y)    # OLS closed-form</w:t>
      </w:r>
    </w:p>
    <w:p>
      <w:pPr>
        <w:spacing w:after="0" w:before="0" w:line="276" w:lineRule="auto"/>
        <w:ind w:firstLine="0" w:left="360"/>
        <w:shd w:val="clear" w:color="auto" w:fill="F4F4F4"/>
      </w:pPr>
      <w:r>
        <w:rPr>
          <w:rFonts w:ascii="Consolas" w:hAnsi="Consolas" w:cs="Consolas"/>
          <w:sz w:val="19"/>
        </w:rPr>
        <w:t>residuals &lt;- y - X %*% beta_hat</w:t>
      </w:r>
    </w:p>
    <w:p>
      <w:pPr>
        <w:spacing w:after="120"/>
      </w:pPr>
    </w:p>
    <w:p>
      <w:pPr>
        <w:pStyle w:val="Heading2"/>
        <w:ind w:firstLine="0"/>
        <w:jc w:val="left"/>
      </w:pPr>
      <w:r>
        <w:rPr>
          <w:rFonts w:ascii="Times New Roman" w:hAnsi="Times New Roman"/>
          <w:b/>
        </w:rPr>
        <w:t>6.6 How many lags to use: the (p, q) in ADL(p, q)</w:t>
      </w:r>
    </w:p>
    <w:p>
      <w:pPr>
        <w:jc w:val="both"/>
      </w:pPr>
      <w:r>
        <w:rPr>
          <w:rFonts w:ascii="Times New Roman" w:hAnsi="Times New Roman" w:cs="Times New Roman" w:eastAsia="Times New Roman"/>
          <w:b w:val="0"/>
          <w:i w:val="0"/>
          <w:sz w:val="23"/>
        </w:rPr>
        <w:t>ADL(p, q) is shorthand for ‘p lags of the dependent variable and q lags of the shock variable’. The choices we use come from the lag-selection tables inside the model pipelines, not from guesswork.</w:t>
      </w:r>
    </w:p>
    <w:p>
      <w:pPr>
        <w:pStyle w:val="ListBullet"/>
        <w:spacing w:after="40" w:line="300" w:lineRule="auto"/>
        <w:ind w:firstLine="0"/>
      </w:pPr>
      <w:r>
        <w:rPr>
          <w:rFonts w:ascii="Times New Roman" w:hAnsi="Times New Roman" w:cs="Times New Roman" w:eastAsia="Times New Roman"/>
          <w:b w:val="0"/>
          <w:i w:val="0"/>
          <w:sz w:val="23"/>
        </w:rPr>
        <w:t>For the headline WPI and WPI Fuel and Power equations we use ADL(12, 6). Twelve own-lags capture the annual cycle in wholesale inflation even after month dummies. Six shock-lags let the oil effect stretch half a year, which matches how wholesale passes from refineries through the supply chain.</w:t>
      </w:r>
    </w:p>
    <w:p>
      <w:pPr>
        <w:pStyle w:val="ListBullet"/>
        <w:spacing w:after="40" w:line="300" w:lineRule="auto"/>
        <w:ind w:firstLine="0"/>
      </w:pPr>
      <w:r>
        <w:rPr>
          <w:rFonts w:ascii="Times New Roman" w:hAnsi="Times New Roman" w:cs="Times New Roman" w:eastAsia="Times New Roman"/>
          <w:b w:val="0"/>
          <w:i w:val="0"/>
          <w:sz w:val="23"/>
        </w:rPr>
        <w:t>For the CPI Fuel and Light bridge and the headline CPI equations we use ADL(3, 3). Three own-lags because AIC over p in {1, 2, 3, 4} prefers three. Three shock-lags because the retail fuel and consumer-basket transmission is fast and deeper lags add noise.</w:t>
      </w:r>
    </w:p>
    <w:p>
      <w:pPr>
        <w:pStyle w:val="ListBullet"/>
        <w:spacing w:after="40" w:line="300" w:lineRule="auto"/>
        <w:ind w:firstLine="0"/>
      </w:pPr>
      <w:r>
        <w:rPr>
          <w:rFonts w:ascii="Times New Roman" w:hAnsi="Times New Roman" w:cs="Times New Roman" w:eastAsia="Times New Roman"/>
          <w:b w:val="0"/>
          <w:i w:val="0"/>
          <w:sz w:val="23"/>
        </w:rPr>
        <w:t>For the PPAC retail petrol equation we also use ADL(3, 3). Retail petrol adjusts quickly under post-2010 rules, so longer lags are not needed.</w:t>
      </w:r>
    </w:p>
    <w:p>
      <w:pPr>
        <w:jc w:val="both"/>
      </w:pPr>
      <w:r>
        <w:rPr>
          <w:rFonts w:ascii="Times New Roman" w:hAnsi="Times New Roman" w:cs="Times New Roman" w:eastAsia="Times New Roman"/>
          <w:b w:val="0"/>
          <w:i w:val="0"/>
          <w:sz w:val="23"/>
        </w:rPr>
        <w:t>AIC stands for Akaike Information Criterion. It rewards models that fit the data well and penalises models with too many parameters. Lower AIC is better. BIC (Bayesian Information Criterion) is the same idea with a stronger penalty for extra parameters. HQIC (Hannan-Quinn Information Criterion) is similar. We pick the lag order that minimises AIC among candidate orders, and confirm with BIC and HQIC when possible.</w:t>
      </w:r>
    </w:p>
    <w:p>
      <w:pPr>
        <w:pStyle w:val="Heading2"/>
        <w:ind w:firstLine="0"/>
        <w:jc w:val="left"/>
      </w:pPr>
      <w:r>
        <w:rPr>
          <w:rFonts w:ascii="Times New Roman" w:hAnsi="Times New Roman"/>
          <w:b/>
        </w:rPr>
        <w:t>6.7 Why we include month dummies</w:t>
      </w:r>
    </w:p>
    <w:p>
      <w:pPr>
        <w:jc w:val="both"/>
      </w:pPr>
      <w:r>
        <w:rPr>
          <w:rFonts w:ascii="Times New Roman" w:hAnsi="Times New Roman" w:cs="Times New Roman" w:eastAsia="Times New Roman"/>
          <w:b w:val="0"/>
          <w:i w:val="0"/>
          <w:sz w:val="23"/>
        </w:rPr>
        <w:t>Some months are systematically more inflationary than others, for reasons unrelated to oil: the monsoon hits food prices, festival seasons shift consumption patterns, tax-revision calendars align with fiscal years. Taking monthly log differences removes part of this seasonality but not all. Adding eleven monthly dummies for February through December (with January as the omitted reference month) absorbs the rest.</w:t>
      </w:r>
    </w:p>
    <w:p>
      <w:pPr>
        <w:pStyle w:val="Heading2"/>
        <w:ind w:firstLine="0"/>
        <w:jc w:val="left"/>
      </w:pPr>
      <w:r>
        <w:rPr>
          <w:rFonts w:ascii="Times New Roman" w:hAnsi="Times New Roman"/>
          <w:b/>
        </w:rPr>
        <w:t>6.8 Why we include policy dummies and a COVID dummy</w:t>
      </w:r>
    </w:p>
    <w:p>
      <w:pPr>
        <w:pStyle w:val="ListBullet"/>
        <w:spacing w:after="40" w:line="300" w:lineRule="auto"/>
        <w:ind w:firstLine="0"/>
      </w:pPr>
      <w:r>
        <w:rPr>
          <w:rFonts w:ascii="Times New Roman" w:hAnsi="Times New Roman" w:cs="Times New Roman" w:eastAsia="Times New Roman"/>
          <w:b w:val="0"/>
          <w:i w:val="0"/>
          <w:sz w:val="23"/>
        </w:rPr>
        <w:t>D_petrol captures the intercept shift after June 2010 petrol deregulation. Without it, the ADL equation would average pre- and post-2010 behaviour together and could bias the shock coefficients.</w:t>
      </w:r>
    </w:p>
    <w:p>
      <w:pPr>
        <w:pStyle w:val="ListBullet"/>
        <w:spacing w:after="40" w:line="300" w:lineRule="auto"/>
        <w:ind w:firstLine="0"/>
      </w:pPr>
      <w:r>
        <w:rPr>
          <w:rFonts w:ascii="Times New Roman" w:hAnsi="Times New Roman" w:cs="Times New Roman" w:eastAsia="Times New Roman"/>
          <w:b w:val="0"/>
          <w:i w:val="0"/>
          <w:sz w:val="23"/>
        </w:rPr>
        <w:t>D_diesel does the same for October 2014 diesel deregulation.</w:t>
      </w:r>
    </w:p>
    <w:p>
      <w:pPr>
        <w:pStyle w:val="ListBullet"/>
        <w:spacing w:after="40" w:line="300" w:lineRule="auto"/>
        <w:ind w:firstLine="0"/>
      </w:pPr>
      <w:r>
        <w:rPr>
          <w:rFonts w:ascii="Times New Roman" w:hAnsi="Times New Roman" w:cs="Times New Roman" w:eastAsia="Times New Roman"/>
          <w:b w:val="0"/>
          <w:i w:val="0"/>
          <w:sz w:val="23"/>
        </w:rPr>
        <w:t>D_covid flags the unusual April-September 2020 period. During COVID, oil prices collapsed and Indian retail prices did not move the way the usual pricing rules would suggest, because demand was extraordinary. Leaving those months in without a flag can distort the estimates.</w:t>
      </w:r>
    </w:p>
    <w:p>
      <w:pPr>
        <w:spacing w:before="120" w:after="120"/>
        <w:ind w:firstLine="0" w:left="144" w:right="144"/>
        <w:shd w:val="clear" w:color="auto" w:fill="EEF2FA"/>
      </w:pPr>
      <w:r>
        <w:rPr>
          <w:rFonts w:ascii="Times New Roman" w:hAnsi="Times New Roman" w:cs="Times New Roman" w:eastAsia="Times New Roman"/>
          <w:b/>
          <w:i w:val="0"/>
          <w:sz w:val="22"/>
        </w:rPr>
        <w:t xml:space="preserve">Two ways we handle COVID: </w:t>
      </w:r>
      <w:r>
        <w:rPr>
          <w:rFonts w:ascii="Times New Roman" w:hAnsi="Times New Roman" w:cs="Times New Roman" w:eastAsia="Times New Roman"/>
          <w:b w:val="0"/>
          <w:i/>
          <w:sz w:val="22"/>
        </w:rPr>
        <w:t>For most models we include a D_covid dummy. For the preferred WPI Fuel and Power model we go further and drop April-September 2020 entirely from the sample, because the functional-form diagnostic test otherwise fails due to these outliers.</w:t>
      </w:r>
    </w:p>
    <w:p>
      <w:pPr>
        <w:pStyle w:val="Heading2"/>
        <w:ind w:firstLine="0"/>
        <w:jc w:val="left"/>
      </w:pPr>
      <w:r>
        <w:rPr>
          <w:rFonts w:ascii="Times New Roman" w:hAnsi="Times New Roman"/>
          <w:b/>
        </w:rPr>
        <w:t>6.9 One equation, five estimations</w:t>
      </w:r>
    </w:p>
    <w:p>
      <w:pPr>
        <w:pStyle w:val="Caption"/>
        <w:ind w:firstLine="0"/>
        <w:jc w:val="left"/>
      </w:pPr>
      <w:r>
        <w:rPr>
          <w:rFonts w:ascii="Times New Roman" w:hAnsi="Times New Roman" w:cs="Times New Roman" w:eastAsia="Times New Roman"/>
          <w:b/>
          <w:i w:val="0"/>
          <w:sz w:val="21"/>
        </w:rPr>
        <w:t>Table 6.3. The five estimated equations, their shock and dependent variables, lag order, and controls.</w:t>
      </w:r>
    </w:p>
    <w:tbl>
      <w:tblPr>
        <w:tblStyle w:val="TableGrid"/>
        <w:tblW w:type="auto" w:w="0"/>
        <w:jc w:val="center"/>
        <w:tblLayout w:type="fixed"/>
        <w:tblLook w:firstColumn="1" w:firstRow="1" w:lastColumn="0" w:lastRow="0" w:noHBand="0" w:noVBand="1" w:val="04A0"/>
        <w:tblLayout w:type="fixed"/>
      </w:tblPr>
      <w:tblGrid>
        <w:gridCol w:w="2063"/>
        <w:gridCol w:w="1805"/>
        <w:gridCol w:w="1418"/>
        <w:gridCol w:w="1160"/>
        <w:gridCol w:w="2579"/>
      </w:tblGrid>
      <w:tr>
        <w:trPr>
          <w:cantSplit/>
          <w:tblHeader/>
        </w:trPr>
        <w:tc>
          <w:tcPr>
            <w:tcW w:type="dxa" w:w="206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Layer</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Δy (dependent)</w:t>
            </w:r>
          </w:p>
        </w:tc>
        <w:tc>
          <w:tcPr>
            <w:tcW w:type="dxa" w:w="14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Δx (shock)</w:t>
            </w:r>
          </w:p>
        </w:tc>
        <w:tc>
          <w:tcPr>
            <w:tcW w:type="dxa" w:w="116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ADL(p,q)</w:t>
            </w:r>
          </w:p>
        </w:tc>
        <w:tc>
          <w:tcPr>
            <w:tcW w:type="dxa" w:w="257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Main controls in Z</w:t>
            </w:r>
          </w:p>
        </w:tc>
      </w:tr>
      <w:tr>
        <w:trPr>
          <w:cantSplit/>
        </w:trPr>
        <w:tc>
          <w:tcPr>
            <w:tcW w:type="dxa" w:w="20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WPI</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WPI inflation</w:t>
            </w:r>
          </w:p>
        </w:tc>
        <w:tc>
          <w:tcPr>
            <w:tcW w:type="dxa" w:w="14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Rupee oil shock</w:t>
            </w:r>
          </w:p>
        </w:tc>
        <w:tc>
          <w:tcPr>
            <w:tcW w:type="dxa" w:w="116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ADL(12,6)</w:t>
            </w:r>
          </w:p>
        </w:tc>
        <w:tc>
          <w:tcPr>
            <w:tcW w:type="dxa" w:w="257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 fixed effects</w:t>
            </w:r>
          </w:p>
        </w:tc>
      </w:tr>
      <w:tr>
        <w:trPr>
          <w:cantSplit/>
        </w:trPr>
        <w:tc>
          <w:tcPr>
            <w:tcW w:type="dxa" w:w="20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WPI Fuel and Power (preferred)</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WPI Fuel and Power inflation</w:t>
            </w:r>
          </w:p>
        </w:tc>
        <w:tc>
          <w:tcPr>
            <w:tcW w:type="dxa" w:w="14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Rupee oil shock</w:t>
            </w:r>
          </w:p>
        </w:tc>
        <w:tc>
          <w:tcPr>
            <w:tcW w:type="dxa" w:w="116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ADL(12,6)</w:t>
            </w:r>
          </w:p>
        </w:tc>
        <w:tc>
          <w:tcPr>
            <w:tcW w:type="dxa" w:w="257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Exchange-rate controls, month dummies, post-2010 sample, excludes Apr-Sep 2020</w:t>
            </w:r>
          </w:p>
        </w:tc>
      </w:tr>
      <w:tr>
        <w:trPr>
          <w:cantSplit/>
        </w:trPr>
        <w:tc>
          <w:tcPr>
            <w:tcW w:type="dxa" w:w="20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PPAC retail petrol</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Delhi retail petrol inflation</w:t>
            </w:r>
          </w:p>
        </w:tc>
        <w:tc>
          <w:tcPr>
            <w:tcW w:type="dxa" w:w="14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Brent shock</w:t>
            </w:r>
          </w:p>
        </w:tc>
        <w:tc>
          <w:tcPr>
            <w:tcW w:type="dxa" w:w="116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ADL(3,3)</w:t>
            </w:r>
          </w:p>
        </w:tc>
        <w:tc>
          <w:tcPr>
            <w:tcW w:type="dxa" w:w="257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IIP growth, D_petrol, D_diesel, D_covid, month dummies</w:t>
            </w:r>
          </w:p>
        </w:tc>
      </w:tr>
      <w:tr>
        <w:trPr>
          <w:cantSplit/>
        </w:trPr>
        <w:tc>
          <w:tcPr>
            <w:tcW w:type="dxa" w:w="20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CPI Fuel and Light (bridge)</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CPI Fuel and Light inflation</w:t>
            </w:r>
          </w:p>
        </w:tc>
        <w:tc>
          <w:tcPr>
            <w:tcW w:type="dxa" w:w="14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PPAC petrol shock</w:t>
            </w:r>
          </w:p>
        </w:tc>
        <w:tc>
          <w:tcPr>
            <w:tcW w:type="dxa" w:w="116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ADL(3,3)</w:t>
            </w:r>
          </w:p>
        </w:tc>
        <w:tc>
          <w:tcPr>
            <w:tcW w:type="dxa" w:w="257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Month dummies</w:t>
            </w:r>
          </w:p>
        </w:tc>
      </w:tr>
      <w:tr>
        <w:trPr>
          <w:cantSplit/>
        </w:trPr>
        <w:tc>
          <w:tcPr>
            <w:tcW w:type="dxa" w:w="2063"/>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CPI (M1)</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Headline CPI inflation</w:t>
            </w:r>
          </w:p>
        </w:tc>
        <w:tc>
          <w:tcPr>
            <w:tcW w:type="dxa" w:w="14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Rupee oil shock</w:t>
            </w:r>
          </w:p>
        </w:tc>
        <w:tc>
          <w:tcPr>
            <w:tcW w:type="dxa" w:w="116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ADL(3,3)</w:t>
            </w:r>
          </w:p>
        </w:tc>
        <w:tc>
          <w:tcPr>
            <w:tcW w:type="dxa" w:w="257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IIP growth, D_petrol, D_diesel, D_covid, month dummies</w:t>
            </w:r>
          </w:p>
        </w:tc>
      </w:tr>
    </w:tbl>
    <w:p>
      <w:pPr>
        <w:spacing w:before="40" w:after="160" w:line="240" w:lineRule="auto"/>
        <w:ind w:firstLine="0"/>
      </w:pPr>
      <w:r>
        <w:rPr>
          <w:rFonts w:ascii="Times New Roman" w:hAnsi="Times New Roman" w:cs="Times New Roman" w:eastAsia="Times New Roman"/>
          <w:b w:val="0"/>
          <w:i/>
          <w:sz w:val="18"/>
        </w:rPr>
        <w:t>Note: Every row is a separate OLS regression. The paper does not combine them into one simultaneous system.</w:t>
      </w:r>
      <w:r>
        <w:br w:type="page"/>
      </w:r>
    </w:p>
    <w:p>
      <w:pPr>
        <w:pStyle w:val="Heading1"/>
        <w:ind w:firstLine="0"/>
        <w:jc w:val="left"/>
      </w:pPr>
      <w:r>
        <w:rPr>
          <w:rFonts w:ascii="Times New Roman" w:hAnsi="Times New Roman"/>
          <w:b/>
        </w:rPr>
        <w:t>Part 7. Inference: p-values, HAC, Wald, bootstrap, Granger</w:t>
      </w:r>
    </w:p>
    <w:p>
      <w:pPr>
        <w:pStyle w:val="Heading2"/>
        <w:ind w:firstLine="0"/>
        <w:jc w:val="left"/>
      </w:pPr>
      <w:r>
        <w:rPr>
          <w:rFonts w:ascii="Times New Roman" w:hAnsi="Times New Roman"/>
          <w:b/>
        </w:rPr>
        <w:t>7.1 What is a p-value in one line</w:t>
      </w:r>
    </w:p>
    <w:p>
      <w:pPr>
        <w:jc w:val="both"/>
      </w:pPr>
      <w:r>
        <w:rPr>
          <w:rFonts w:ascii="Times New Roman" w:hAnsi="Times New Roman" w:cs="Times New Roman" w:eastAsia="Times New Roman"/>
          <w:b w:val="0"/>
          <w:i w:val="0"/>
          <w:sz w:val="23"/>
        </w:rPr>
        <w:t>A p-value is the probability of seeing a coefficient at least as extreme as the one we estimated, if the true coefficient were zero. A small p (conventionally below 0.05) tells us the estimate is unlikely to be a random accident, so we say the coefficient is ‘statistically significant’ at that level.</w:t>
      </w:r>
    </w:p>
    <w:p>
      <w:pPr>
        <w:spacing w:before="120" w:after="120"/>
        <w:ind w:firstLine="0" w:left="144" w:right="144"/>
        <w:shd w:val="clear" w:color="auto" w:fill="EEF2FA"/>
      </w:pPr>
      <w:r>
        <w:rPr>
          <w:rFonts w:ascii="Times New Roman" w:hAnsi="Times New Roman" w:cs="Times New Roman" w:eastAsia="Times New Roman"/>
          <w:b/>
          <w:i w:val="0"/>
          <w:sz w:val="22"/>
        </w:rPr>
        <w:t xml:space="preserve">Simple translation: </w:t>
      </w:r>
      <w:r>
        <w:rPr>
          <w:rFonts w:ascii="Times New Roman" w:hAnsi="Times New Roman" w:cs="Times New Roman" w:eastAsia="Times New Roman"/>
          <w:b w:val="0"/>
          <w:i/>
          <w:sz w:val="22"/>
        </w:rPr>
        <w:t>Coefficient = 0.30 and p = 0.002 means: ‘The data say the effect is about 0.30, and there is only a 0.2 per cent chance we would see something this extreme if the real effect were zero. So we believe the effect is real.’</w:t>
      </w:r>
    </w:p>
    <w:p>
      <w:pPr>
        <w:pStyle w:val="Heading2"/>
        <w:ind w:firstLine="0"/>
        <w:jc w:val="left"/>
      </w:pPr>
      <w:r>
        <w:rPr>
          <w:rFonts w:ascii="Times New Roman" w:hAnsi="Times New Roman"/>
          <w:b/>
        </w:rPr>
        <w:t>7.2 The standard error and why monthly data need HAC</w:t>
      </w:r>
    </w:p>
    <w:p>
      <w:pPr>
        <w:jc w:val="both"/>
      </w:pPr>
      <w:r>
        <w:rPr>
          <w:rFonts w:ascii="Times New Roman" w:hAnsi="Times New Roman" w:cs="Times New Roman" w:eastAsia="Times New Roman"/>
          <w:b w:val="0"/>
          <w:i w:val="0"/>
          <w:sz w:val="23"/>
        </w:rPr>
        <w:t>Every coefficient has a standard error, which measures how noisy that coefficient estimate is. The p-value is the coefficient divided by its standard error, compared to a reference distribution. If the standard error is wrong, the p-value is wrong.</w:t>
      </w:r>
    </w:p>
    <w:p>
      <w:pPr>
        <w:jc w:val="both"/>
      </w:pPr>
      <w:r>
        <w:rPr>
          <w:rFonts w:ascii="Times New Roman" w:hAnsi="Times New Roman" w:cs="Times New Roman" w:eastAsia="Times New Roman"/>
          <w:b w:val="0"/>
          <w:i w:val="0"/>
          <w:sz w:val="23"/>
        </w:rPr>
        <w:t>Classical OLS standard errors assume residuals are independent and have the same variance (‘no heteroskedasticity, no autocorrelation’). Monthly inflation data break both assumptions. Errors are often correlated across months, and their variance changes with regimes like COVID. So we use Newey-West HAC standard errors instead.</w:t>
      </w:r>
    </w:p>
    <w:p>
      <w:pPr>
        <w:pStyle w:val="ListBullet"/>
        <w:spacing w:after="40" w:line="300" w:lineRule="auto"/>
        <w:ind w:firstLine="0"/>
      </w:pPr>
      <w:r>
        <w:rPr>
          <w:rFonts w:ascii="Times New Roman" w:hAnsi="Times New Roman" w:cs="Times New Roman" w:eastAsia="Times New Roman"/>
          <w:b w:val="0"/>
          <w:i w:val="0"/>
          <w:sz w:val="23"/>
        </w:rPr>
        <w:t>HAC = Heteroskedasticity and Autocorrelation Consistent.</w:t>
      </w:r>
    </w:p>
    <w:p>
      <w:pPr>
        <w:pStyle w:val="ListBullet"/>
        <w:spacing w:after="40" w:line="300" w:lineRule="auto"/>
        <w:ind w:firstLine="0"/>
      </w:pPr>
      <w:r>
        <w:rPr>
          <w:rFonts w:ascii="Times New Roman" w:hAnsi="Times New Roman" w:cs="Times New Roman" w:eastAsia="Times New Roman"/>
          <w:b w:val="0"/>
          <w:i w:val="0"/>
          <w:sz w:val="23"/>
        </w:rPr>
        <w:t>Named after Newey and West (1987), who derived them.</w:t>
      </w:r>
    </w:p>
    <w:p>
      <w:pPr>
        <w:pStyle w:val="ListBullet"/>
        <w:spacing w:after="40" w:line="300" w:lineRule="auto"/>
        <w:ind w:firstLine="0"/>
      </w:pPr>
      <w:r>
        <w:rPr>
          <w:rFonts w:ascii="Times New Roman" w:hAnsi="Times New Roman" w:cs="Times New Roman" w:eastAsia="Times New Roman"/>
          <w:b w:val="0"/>
          <w:i w:val="0"/>
          <w:sz w:val="23"/>
        </w:rPr>
        <w:t>They adjust the covariance matrix of the coefficients so the p-values remain valid even when residuals are heteroskedastic and autocorrelated.</w:t>
      </w:r>
    </w:p>
    <w:p>
      <w:pPr>
        <w:pStyle w:val="ListBullet"/>
        <w:spacing w:after="40" w:line="300" w:lineRule="auto"/>
        <w:ind w:firstLine="0"/>
      </w:pPr>
      <w:r>
        <w:rPr>
          <w:rFonts w:ascii="Times New Roman" w:hAnsi="Times New Roman" w:cs="Times New Roman" w:eastAsia="Times New Roman"/>
          <w:b w:val="0"/>
          <w:i w:val="0"/>
          <w:sz w:val="23"/>
        </w:rPr>
        <w:t>The adjustment uses a kernel (we use the Bartlett kernel) and a bandwidth; we use a data-dependent bandwidth with floor(0.75 × N</w:t>
      </w:r>
      <w:r>
        <w:rPr>
          <w:rFonts w:ascii="Times New Roman" w:hAnsi="Times New Roman" w:cs="Times New Roman" w:eastAsia="Times New Roman"/>
          <w:b w:val="0"/>
          <w:i w:val="0"/>
          <w:sz w:val="23"/>
          <w:vertAlign w:val="superscript"/>
        </w:rPr>
        <w:t>1/3</w:t>
      </w:r>
      <w:r>
        <w:rPr>
          <w:rFonts w:ascii="Times New Roman" w:hAnsi="Times New Roman" w:cs="Times New Roman" w:eastAsia="Times New Roman"/>
          <w:b w:val="0"/>
          <w:i w:val="0"/>
          <w:sz w:val="23"/>
        </w:rPr>
        <w:t>) as the rule for the main wholesale models.</w:t>
      </w:r>
    </w:p>
    <w:p>
      <w:pPr>
        <w:pStyle w:val="Heading2"/>
        <w:ind w:firstLine="0"/>
        <w:jc w:val="left"/>
      </w:pPr>
      <w:r>
        <w:rPr>
          <w:rFonts w:ascii="Times New Roman" w:hAnsi="Times New Roman"/>
          <w:b/>
        </w:rPr>
        <w:t>7.3 The three hypotheses we test on cumulative pass-through</w:t>
      </w:r>
    </w:p>
    <w:p>
      <w:pPr>
        <w:jc w:val="both"/>
      </w:pPr>
      <w:r>
        <w:rPr>
          <w:rFonts w:ascii="Times New Roman" w:hAnsi="Times New Roman" w:cs="Times New Roman" w:eastAsia="Times New Roman"/>
          <w:b w:val="0"/>
          <w:i w:val="0"/>
          <w:sz w:val="23"/>
        </w:rPr>
        <w:t>For every layer we report three tests. First,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 Does the positive-shock response sum to zero, or is there a real positive response? Second,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 Same question for negative shocks. Third,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This is the symmetry test. Can we treat positive and negative shocks as equivalent in size?</w:t>
      </w:r>
    </w:p>
    <w:p>
      <w:pPr>
        <w:jc w:val="both"/>
      </w:pPr>
      <w:r>
        <w:rPr>
          <w:rFonts w:ascii="Times New Roman" w:hAnsi="Times New Roman" w:cs="Times New Roman" w:eastAsia="Times New Roman"/>
          <w:b w:val="0"/>
          <w:i w:val="0"/>
          <w:sz w:val="23"/>
        </w:rPr>
        <w:t>All three tests are linear restrictions on combinations of the β coefficients. They are standard Wald tests. A Wald test checks whether the coefficients estimated from the data are far from the values in the null hypothesis, in a way that is weighted by the HAC covariance matrix.</w:t>
      </w:r>
    </w:p>
    <w:p>
      <w:pPr>
        <w:pStyle w:val="Heading2"/>
        <w:ind w:firstLine="0"/>
        <w:jc w:val="left"/>
      </w:pPr>
      <w:r>
        <w:rPr>
          <w:rFonts w:ascii="Times New Roman" w:hAnsi="Times New Roman"/>
          <w:b/>
        </w:rPr>
        <w:t>7.4 How a Wald test works, intuitively</w:t>
      </w:r>
    </w:p>
    <w:p>
      <w:pPr>
        <w:jc w:val="both"/>
      </w:pPr>
      <w:r>
        <w:rPr>
          <w:rFonts w:ascii="Times New Roman" w:hAnsi="Times New Roman" w:cs="Times New Roman" w:eastAsia="Times New Roman"/>
          <w:b w:val="0"/>
          <w:i w:val="0"/>
          <w:sz w:val="23"/>
        </w:rPr>
        <w:t>Imagine we estimated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0.35 with a standard error of 0.08. The null hypothesis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 says the true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is zero. Our estimate is 0.35 / 0.08 ≈ 4.4 standard errors away from zero. A test statistic that big gives a very small p-value, so we reject the null and conclude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is not zero.</w:t>
      </w:r>
    </w:p>
    <w:p>
      <w:pPr>
        <w:jc w:val="both"/>
      </w:pPr>
      <w:r>
        <w:rPr>
          <w:rFonts w:ascii="Times New Roman" w:hAnsi="Times New Roman" w:cs="Times New Roman" w:eastAsia="Times New Roman"/>
          <w:b w:val="0"/>
          <w:i w:val="0"/>
          <w:sz w:val="23"/>
        </w:rPr>
        <w:t>Similarly, the symmetry test looks at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and its standard error under the HAC covariance. If the difference is small relative to its standard error, we do not reject symmetry.</w:t>
      </w:r>
    </w:p>
    <w:p>
      <w:pPr>
        <w:pStyle w:val="Heading2"/>
        <w:ind w:firstLine="0"/>
        <w:jc w:val="left"/>
      </w:pPr>
      <w:r>
        <w:rPr>
          <w:rFonts w:ascii="Times New Roman" w:hAnsi="Times New Roman"/>
          <w:b/>
        </w:rPr>
        <w:t>7.5 The bootstrap symmetry check</w:t>
      </w:r>
    </w:p>
    <w:p>
      <w:pPr>
        <w:jc w:val="both"/>
      </w:pPr>
      <w:r>
        <w:rPr>
          <w:rFonts w:ascii="Times New Roman" w:hAnsi="Times New Roman" w:cs="Times New Roman" w:eastAsia="Times New Roman"/>
          <w:b w:val="0"/>
          <w:i w:val="0"/>
          <w:sz w:val="23"/>
        </w:rPr>
        <w:t>The Wald test relies on large-sample theory. In finite samples the p-value can be slightly off. A bootstrap re-computes the p-value without relying on asymptotic theory. We use a restricted-residual circular block bootstrap with 4,999 replications.</w:t>
      </w:r>
    </w:p>
    <w:p>
      <w:pPr>
        <w:pStyle w:val="ListBullet"/>
        <w:spacing w:after="40" w:line="300" w:lineRule="auto"/>
        <w:ind w:firstLine="0"/>
      </w:pPr>
      <w:r>
        <w:rPr>
          <w:rFonts w:ascii="Times New Roman" w:hAnsi="Times New Roman" w:cs="Times New Roman" w:eastAsia="Times New Roman"/>
          <w:b w:val="0"/>
          <w:i w:val="0"/>
          <w:sz w:val="23"/>
        </w:rPr>
        <w:t>‘Restricted-residual’ means we enforce the null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when we resample, so that the distribution we build is the one under the null.</w:t>
      </w:r>
    </w:p>
    <w:p>
      <w:pPr>
        <w:pStyle w:val="ListBullet"/>
        <w:spacing w:after="40" w:line="300" w:lineRule="auto"/>
        <w:ind w:firstLine="0"/>
      </w:pPr>
      <w:r>
        <w:rPr>
          <w:rFonts w:ascii="Times New Roman" w:hAnsi="Times New Roman" w:cs="Times New Roman" w:eastAsia="Times New Roman"/>
          <w:b w:val="0"/>
          <w:i w:val="0"/>
          <w:sz w:val="23"/>
        </w:rPr>
        <w:t>‘Circular block’ means we resample residuals in blocks to preserve the within-block autocorrelation that monthly data exhibit. The ‘circular’ part wraps around the end of the sample so every point has the same chance of being included.</w:t>
      </w:r>
    </w:p>
    <w:p>
      <w:pPr>
        <w:pStyle w:val="ListBullet"/>
        <w:spacing w:after="40" w:line="300" w:lineRule="auto"/>
        <w:ind w:firstLine="0"/>
      </w:pPr>
      <w:r>
        <w:rPr>
          <w:rFonts w:ascii="Times New Roman" w:hAnsi="Times New Roman" w:cs="Times New Roman" w:eastAsia="Times New Roman"/>
          <w:b w:val="0"/>
          <w:i w:val="0"/>
          <w:sz w:val="23"/>
        </w:rPr>
        <w:t>We do this 4,999 times, each time computing a fake test statistic. The bootstrap p-value is the fraction of fake statistics at least as extreme as the one we saw in the real data.</w:t>
      </w:r>
    </w:p>
    <w:p>
      <w:pPr>
        <w:spacing w:before="120" w:after="120"/>
        <w:ind w:firstLine="0" w:left="144" w:right="144"/>
        <w:shd w:val="clear" w:color="auto" w:fill="EEF2FA"/>
      </w:pPr>
      <w:r>
        <w:rPr>
          <w:rFonts w:ascii="Times New Roman" w:hAnsi="Times New Roman" w:cs="Times New Roman" w:eastAsia="Times New Roman"/>
          <w:b/>
          <w:i w:val="0"/>
          <w:sz w:val="22"/>
        </w:rPr>
        <w:t xml:space="preserve">Why 4,999: </w:t>
      </w:r>
      <w:r>
        <w:rPr>
          <w:rFonts w:ascii="Times New Roman" w:hAnsi="Times New Roman" w:cs="Times New Roman" w:eastAsia="Times New Roman"/>
          <w:b w:val="0"/>
          <w:i/>
          <w:sz w:val="22"/>
        </w:rPr>
        <w:t>Odd numbers avoid ambiguity when computing the fraction. 4,999 is a conventional, stable choice; the results change very little if you use 9,999 instead.</w:t>
      </w:r>
    </w:p>
    <w:p>
      <w:pPr>
        <w:pStyle w:val="Heading2"/>
        <w:ind w:firstLine="0"/>
        <w:jc w:val="left"/>
      </w:pPr>
      <w:r>
        <w:rPr>
          <w:rFonts w:ascii="Times New Roman" w:hAnsi="Times New Roman"/>
          <w:b/>
        </w:rPr>
        <w:t>7.6 Granger causality: predictive precedence, not real causality</w:t>
      </w:r>
    </w:p>
    <w:p>
      <w:pPr>
        <w:jc w:val="both"/>
      </w:pPr>
      <w:r>
        <w:rPr>
          <w:rFonts w:ascii="Times New Roman" w:hAnsi="Times New Roman" w:cs="Times New Roman" w:eastAsia="Times New Roman"/>
          <w:b w:val="0"/>
          <w:i w:val="0"/>
          <w:sz w:val="23"/>
        </w:rPr>
        <w:t>A Granger test asks: if we already know current and past values of x and y, does adding past values of oil improve our forecast of y? If yes, oil ‘Granger-causes’ y. That is a predictive statement, not a structural causal claim. Oil can Granger-cause CPI without being the sole cause of CPI movements.</w:t>
      </w:r>
    </w:p>
    <w:p>
      <w:pPr>
        <w:jc w:val="both"/>
      </w:pPr>
      <w:r>
        <w:rPr>
          <w:rFonts w:ascii="Times New Roman" w:hAnsi="Times New Roman" w:cs="Times New Roman" w:eastAsia="Times New Roman"/>
          <w:b w:val="0"/>
          <w:i w:val="0"/>
          <w:sz w:val="23"/>
        </w:rPr>
        <w:t>We report these tests alongside the ADL results to check whether the direction of predictive information is consistent with our layered reading. For example, rupee oil Granger-causes headline WPI and WPI Fuel and Power, while the reverse directions do not hold. This matches the idea that oil leads wholesale, not the other way around.</w:t>
      </w:r>
    </w:p>
    <w:p>
      <w:pPr>
        <w:spacing w:before="120" w:after="120"/>
        <w:ind w:firstLine="0" w:left="144" w:right="144"/>
        <w:shd w:val="clear" w:color="auto" w:fill="EEF2FA"/>
      </w:pPr>
      <w:r>
        <w:rPr>
          <w:rFonts w:ascii="Times New Roman" w:hAnsi="Times New Roman" w:cs="Times New Roman" w:eastAsia="Times New Roman"/>
          <w:b/>
          <w:i w:val="0"/>
          <w:sz w:val="22"/>
        </w:rPr>
        <w:t xml:space="preserve">What to say in the viva: </w:t>
      </w:r>
      <w:r>
        <w:rPr>
          <w:rFonts w:ascii="Times New Roman" w:hAnsi="Times New Roman" w:cs="Times New Roman" w:eastAsia="Times New Roman"/>
          <w:b w:val="0"/>
          <w:i/>
          <w:sz w:val="22"/>
        </w:rPr>
        <w:t>If asked ‘does oil cause inflation’, answer: ‘We test predictive precedence, not structural causality. Oil Granger-causes wholesale inflation in our sample, but we do not claim it is the only cause.’</w:t>
      </w:r>
    </w:p>
    <w:p>
      <w:pPr>
        <w:pStyle w:val="Heading2"/>
        <w:ind w:firstLine="0"/>
        <w:jc w:val="left"/>
      </w:pPr>
      <w:r>
        <w:rPr>
          <w:rFonts w:ascii="Times New Roman" w:hAnsi="Times New Roman"/>
          <w:b/>
        </w:rPr>
        <w:t>7.7 Reading the main numbers in our paper</w:t>
      </w:r>
    </w:p>
    <w:p>
      <w:pPr>
        <w:jc w:val="both"/>
      </w:pPr>
      <w:r>
        <w:rPr>
          <w:rFonts w:ascii="Times New Roman" w:hAnsi="Times New Roman" w:cs="Times New Roman" w:eastAsia="Times New Roman"/>
          <w:b w:val="0"/>
          <w:i w:val="0"/>
          <w:sz w:val="23"/>
        </w:rPr>
        <w:t>When we report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0.3459 (p &lt; 0.001) for retail petrol, we mean: our point estimate of the cumulative response to a positive one per cent Brent shock, summed over three shock lags, is about 0.35 per cent, and under the HAC standard errors the probability of seeing something that big under the null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 is below 0.001. That is very strong evidence that the positive cumulative pass-through is real.</w:t>
      </w:r>
    </w:p>
    <w:p>
      <w:pPr>
        <w:jc w:val="both"/>
      </w:pPr>
      <w:r>
        <w:rPr>
          <w:rFonts w:ascii="Times New Roman" w:hAnsi="Times New Roman" w:cs="Times New Roman" w:eastAsia="Times New Roman"/>
          <w:b w:val="0"/>
          <w:i w:val="0"/>
          <w:sz w:val="23"/>
        </w:rPr>
        <w:t>Asymmetry p = 0.0999 for retail petrol means: the HAC-based Wald test for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gives a p-value of about 0.10. This is borderline. We say it rejects symmetry only at the 10 per cent level and describe it as suggestive, not decisive.</w:t>
      </w:r>
      <w:r>
        <w:br w:type="page"/>
      </w:r>
    </w:p>
    <w:p>
      <w:pPr>
        <w:pStyle w:val="Heading1"/>
        <w:ind w:firstLine="0"/>
        <w:jc w:val="left"/>
      </w:pPr>
      <w:r>
        <w:rPr>
          <w:rFonts w:ascii="Times New Roman" w:hAnsi="Times New Roman"/>
          <w:b/>
        </w:rPr>
        <w:t>Part 8. Every test, in plain language</w:t>
      </w:r>
    </w:p>
    <w:p>
      <w:pPr>
        <w:jc w:val="both"/>
      </w:pPr>
      <w:r>
        <w:rPr>
          <w:rFonts w:ascii="Times New Roman" w:hAnsi="Times New Roman" w:cs="Times New Roman" w:eastAsia="Times New Roman"/>
          <w:b w:val="0"/>
          <w:i w:val="0"/>
          <w:sz w:val="23"/>
        </w:rPr>
        <w:t>This part covers every statistical test used anywhere in the paper. For each test you will see four things: what problem it checks, what its null hypothesis H0 says in plain words, a one-sentence rule for reading the p-value, and a quick memory hook. Read the memory hook aloud once and you will remember the test on the first try.</w:t>
      </w:r>
    </w:p>
    <w:p>
      <w:pPr>
        <w:pStyle w:val="Heading2"/>
        <w:ind w:firstLine="0"/>
        <w:jc w:val="left"/>
      </w:pPr>
      <w:r>
        <w:rPr>
          <w:rFonts w:ascii="Times New Roman" w:hAnsi="Times New Roman"/>
          <w:b/>
        </w:rPr>
        <w:t>8.1 The memory rule that works for every test</w:t>
      </w:r>
    </w:p>
    <w:p>
      <w:pPr>
        <w:jc w:val="both"/>
      </w:pPr>
      <w:r>
        <w:rPr>
          <w:rFonts w:ascii="Times New Roman" w:hAnsi="Times New Roman" w:cs="Times New Roman" w:eastAsia="Times New Roman"/>
          <w:b w:val="0"/>
          <w:i w:val="0"/>
          <w:sz w:val="23"/>
        </w:rPr>
        <w:t>Every test gives one number, the p-value. There is only one rule you need: if p &lt; 0.05, we reject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If p ≥ 0.05, we fail to reject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‘Reject’ means ‘the data disagree with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‘Fail to reject’ means ‘the data are fine with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Whether rejecting is good news or bad news depends on what the test is checking. That is where students go wrong, so each test below tells you which direction you want.</w:t>
      </w:r>
    </w:p>
    <w:p>
      <w:pPr>
        <w:spacing w:before="120" w:after="120"/>
        <w:ind w:firstLine="0" w:left="144" w:right="144"/>
        <w:shd w:val="clear" w:color="auto" w:fill="EEF2FA"/>
      </w:pPr>
      <w:r>
        <w:rPr>
          <w:rFonts w:ascii="Times New Roman" w:hAnsi="Times New Roman" w:cs="Times New Roman" w:eastAsia="Times New Roman"/>
          <w:b/>
          <w:i w:val="0"/>
          <w:sz w:val="22"/>
        </w:rPr>
        <w:t xml:space="preserve">Rule of thumb: </w:t>
      </w:r>
      <w:r>
        <w:rPr>
          <w:rFonts w:ascii="Times New Roman" w:hAnsi="Times New Roman" w:cs="Times New Roman" w:eastAsia="Times New Roman"/>
          <w:b w:val="0"/>
          <w:i/>
          <w:sz w:val="22"/>
        </w:rPr>
        <w:t>Small p (below 0.05) = reject H0. Large p (0.05 or more) = fail to reject H0. Whether that is good or bad depends on what H0 says.</w:t>
      </w:r>
    </w:p>
    <w:p>
      <w:pPr>
        <w:pStyle w:val="Heading2"/>
        <w:ind w:firstLine="0"/>
        <w:jc w:val="left"/>
      </w:pPr>
      <w:r>
        <w:rPr>
          <w:rFonts w:ascii="Times New Roman" w:hAnsi="Times New Roman"/>
          <w:b/>
        </w:rPr>
        <w:t>8.2 Unit root tests: is the series stationary?</w:t>
      </w:r>
    </w:p>
    <w:p>
      <w:pPr>
        <w:jc w:val="both"/>
      </w:pPr>
      <w:r>
        <w:rPr>
          <w:rFonts w:ascii="Times New Roman" w:hAnsi="Times New Roman" w:cs="Times New Roman" w:eastAsia="Times New Roman"/>
          <w:b w:val="0"/>
          <w:i w:val="0"/>
          <w:sz w:val="23"/>
        </w:rPr>
        <w:t>A ‘stationary’ series has a stable mean and variance over time. A ‘unit root’ series drifts indefinitely and needs to be differenced to calm it down. If we run a regression on two unit-root series in levels, we get a spurious ‘significant’ result just because both are trending. So we test for unit roots before fitting the model.</w:t>
      </w:r>
    </w:p>
    <w:p>
      <w:pPr>
        <w:pStyle w:val="Heading3"/>
        <w:ind w:firstLine="0"/>
        <w:jc w:val="left"/>
      </w:pPr>
      <w:r>
        <w:rPr>
          <w:rFonts w:ascii="Times New Roman" w:hAnsi="Times New Roman"/>
          <w:b/>
        </w:rPr>
        <w:t>ADF test (Augmented Dickey-Fuller)</w:t>
      </w:r>
    </w:p>
    <w:p>
      <w:pPr>
        <w:pStyle w:val="ListBullet"/>
        <w:spacing w:after="40" w:line="300" w:lineRule="auto"/>
        <w:ind w:firstLine="0"/>
      </w:pPr>
      <w:r>
        <w:rPr>
          <w:rFonts w:ascii="Times New Roman" w:hAnsi="Times New Roman" w:cs="Times New Roman" w:eastAsia="Times New Roman"/>
          <w:b w:val="0"/>
          <w:i w:val="0"/>
          <w:sz w:val="23"/>
        </w:rPr>
        <w:t>What it checks: does the series have a unit root?</w:t>
      </w:r>
    </w:p>
    <w:p>
      <w:pPr>
        <w:pStyle w:val="ListBullet"/>
        <w:spacing w:after="40" w:line="300" w:lineRule="auto"/>
        <w:ind w:firstLine="0"/>
      </w:pPr>
      <w:r>
        <w:rPr>
          <w:rFonts w:ascii="Times New Roman" w:hAnsi="Times New Roman" w:cs="Times New Roman" w:eastAsia="Times New Roman"/>
          <w:b w:val="0"/>
          <w:i w:val="0"/>
          <w:sz w:val="23"/>
        </w:rPr>
        <w:t>H0 (null): the series has a unit root (non-stationary).</w:t>
      </w:r>
    </w:p>
    <w:p>
      <w:pPr>
        <w:pStyle w:val="ListBullet"/>
        <w:spacing w:after="40" w:line="300" w:lineRule="auto"/>
        <w:ind w:firstLine="0"/>
      </w:pPr>
      <w:r>
        <w:rPr>
          <w:rFonts w:ascii="Times New Roman" w:hAnsi="Times New Roman" w:cs="Times New Roman" w:eastAsia="Times New Roman"/>
          <w:b w:val="0"/>
          <w:i w:val="0"/>
          <w:sz w:val="23"/>
        </w:rPr>
        <w:t>Rule: small p = reject H0 = series is stationary (good for us).</w:t>
      </w:r>
    </w:p>
    <w:p>
      <w:pPr>
        <w:pStyle w:val="ListBullet"/>
        <w:spacing w:after="40" w:line="300" w:lineRule="auto"/>
        <w:ind w:firstLine="0"/>
      </w:pPr>
      <w:r>
        <w:rPr>
          <w:rFonts w:ascii="Times New Roman" w:hAnsi="Times New Roman" w:cs="Times New Roman" w:eastAsia="Times New Roman"/>
          <w:b w:val="0"/>
          <w:i w:val="0"/>
          <w:sz w:val="23"/>
        </w:rPr>
        <w:t>Memory hook: ADF says ‘You are non-stationary until proven stationary.’ A low p breaks the default verdict.</w:t>
      </w:r>
    </w:p>
    <w:p>
      <w:pPr>
        <w:pStyle w:val="Heading3"/>
        <w:ind w:firstLine="0"/>
        <w:jc w:val="left"/>
      </w:pPr>
      <w:r>
        <w:rPr>
          <w:rFonts w:ascii="Times New Roman" w:hAnsi="Times New Roman"/>
          <w:b/>
        </w:rPr>
        <w:t>PP test (Phillips-Perron)</w:t>
      </w:r>
    </w:p>
    <w:p>
      <w:pPr>
        <w:pStyle w:val="ListBullet"/>
        <w:spacing w:after="40" w:line="300" w:lineRule="auto"/>
        <w:ind w:firstLine="0"/>
      </w:pPr>
      <w:r>
        <w:rPr>
          <w:rFonts w:ascii="Times New Roman" w:hAnsi="Times New Roman" w:cs="Times New Roman" w:eastAsia="Times New Roman"/>
          <w:b w:val="0"/>
          <w:i w:val="0"/>
          <w:sz w:val="23"/>
        </w:rPr>
        <w:t>What it checks: same question as ADF, but it handles autocorrelation in a non-parametric way.</w:t>
      </w:r>
    </w:p>
    <w:p>
      <w:pPr>
        <w:pStyle w:val="ListBullet"/>
        <w:spacing w:after="40" w:line="300" w:lineRule="auto"/>
        <w:ind w:firstLine="0"/>
      </w:pPr>
      <w:r>
        <w:rPr>
          <w:rFonts w:ascii="Times New Roman" w:hAnsi="Times New Roman" w:cs="Times New Roman" w:eastAsia="Times New Roman"/>
          <w:b w:val="0"/>
          <w:i w:val="0"/>
          <w:sz w:val="23"/>
        </w:rPr>
        <w:t>H0: the series has a unit root.</w:t>
      </w:r>
    </w:p>
    <w:p>
      <w:pPr>
        <w:pStyle w:val="ListBullet"/>
        <w:spacing w:after="40" w:line="300" w:lineRule="auto"/>
        <w:ind w:firstLine="0"/>
      </w:pPr>
      <w:r>
        <w:rPr>
          <w:rFonts w:ascii="Times New Roman" w:hAnsi="Times New Roman" w:cs="Times New Roman" w:eastAsia="Times New Roman"/>
          <w:b w:val="0"/>
          <w:i w:val="0"/>
          <w:sz w:val="23"/>
        </w:rPr>
        <w:t>Rule: small p = reject = stationary.</w:t>
      </w:r>
    </w:p>
    <w:p>
      <w:pPr>
        <w:pStyle w:val="ListBullet"/>
        <w:spacing w:after="40" w:line="300" w:lineRule="auto"/>
        <w:ind w:firstLine="0"/>
      </w:pPr>
      <w:r>
        <w:rPr>
          <w:rFonts w:ascii="Times New Roman" w:hAnsi="Times New Roman" w:cs="Times New Roman" w:eastAsia="Times New Roman"/>
          <w:b w:val="0"/>
          <w:i w:val="0"/>
          <w:sz w:val="23"/>
        </w:rPr>
        <w:t>Memory hook: PP is ADF's cousin with a different cleaning routine.</w:t>
      </w:r>
    </w:p>
    <w:p>
      <w:pPr>
        <w:pStyle w:val="Heading3"/>
        <w:ind w:firstLine="0"/>
        <w:jc w:val="left"/>
      </w:pPr>
      <w:r>
        <w:rPr>
          <w:rFonts w:ascii="Times New Roman" w:hAnsi="Times New Roman"/>
          <w:b/>
        </w:rPr>
        <w:t>KPSS test (Kwiatkowski-Phillips-Schmidt-Shin, 1992)</w:t>
      </w:r>
    </w:p>
    <w:p>
      <w:pPr>
        <w:pStyle w:val="ListBullet"/>
        <w:spacing w:after="40" w:line="300" w:lineRule="auto"/>
        <w:ind w:firstLine="0"/>
      </w:pPr>
      <w:r>
        <w:rPr>
          <w:rFonts w:ascii="Times New Roman" w:hAnsi="Times New Roman" w:cs="Times New Roman" w:eastAsia="Times New Roman"/>
          <w:b w:val="0"/>
          <w:i w:val="0"/>
          <w:sz w:val="23"/>
        </w:rPr>
        <w:t>What it checks: the OPPOSITE of ADF. Starts from stationarity.</w:t>
      </w:r>
    </w:p>
    <w:p>
      <w:pPr>
        <w:pStyle w:val="ListBullet"/>
        <w:spacing w:after="40" w:line="300" w:lineRule="auto"/>
        <w:ind w:firstLine="0"/>
      </w:pPr>
      <w:r>
        <w:rPr>
          <w:rFonts w:ascii="Times New Roman" w:hAnsi="Times New Roman" w:cs="Times New Roman" w:eastAsia="Times New Roman"/>
          <w:b w:val="0"/>
          <w:i w:val="0"/>
          <w:sz w:val="23"/>
        </w:rPr>
        <w:t>H0: the series is stationary.</w:t>
      </w:r>
    </w:p>
    <w:p>
      <w:pPr>
        <w:pStyle w:val="ListBullet"/>
        <w:spacing w:after="40" w:line="300" w:lineRule="auto"/>
        <w:ind w:firstLine="0"/>
      </w:pPr>
      <w:r>
        <w:rPr>
          <w:rFonts w:ascii="Times New Roman" w:hAnsi="Times New Roman" w:cs="Times New Roman" w:eastAsia="Times New Roman"/>
          <w:b w:val="0"/>
          <w:i w:val="0"/>
          <w:sz w:val="23"/>
        </w:rPr>
        <w:t>Rule: small p = reject = NOT stationary (has a unit root).</w:t>
      </w:r>
    </w:p>
    <w:p>
      <w:pPr>
        <w:pStyle w:val="ListBullet"/>
        <w:spacing w:after="40" w:line="300" w:lineRule="auto"/>
        <w:ind w:firstLine="0"/>
      </w:pPr>
      <w:r>
        <w:rPr>
          <w:rFonts w:ascii="Times New Roman" w:hAnsi="Times New Roman" w:cs="Times New Roman" w:eastAsia="Times New Roman"/>
          <w:b w:val="0"/>
          <w:i w:val="0"/>
          <w:sz w:val="23"/>
        </w:rPr>
        <w:t>Memory hook: KPSS is the ‘flip’. If KPSS says p &lt; 0.05, that is BAD news for stationarity. Read it backward compared with ADF.</w:t>
      </w:r>
    </w:p>
    <w:p>
      <w:pPr>
        <w:spacing w:before="120" w:after="120"/>
        <w:ind w:firstLine="0" w:left="144" w:right="144"/>
        <w:shd w:val="clear" w:color="auto" w:fill="EEF2FA"/>
      </w:pPr>
      <w:r>
        <w:rPr>
          <w:rFonts w:ascii="Times New Roman" w:hAnsi="Times New Roman" w:cs="Times New Roman" w:eastAsia="Times New Roman"/>
          <w:b/>
          <w:i w:val="0"/>
          <w:sz w:val="22"/>
        </w:rPr>
        <w:t xml:space="preserve">Why we use all three: </w:t>
      </w:r>
      <w:r>
        <w:rPr>
          <w:rFonts w:ascii="Times New Roman" w:hAnsi="Times New Roman" w:cs="Times New Roman" w:eastAsia="Times New Roman"/>
          <w:b w:val="0"/>
          <w:i/>
          <w:sz w:val="22"/>
        </w:rPr>
        <w:t>ADF/PP and KPSS have opposite nulls. If ADF rejects (p small) AND KPSS fails to reject (p large), both say the same thing: the series is stationary. If they disagree, we read it as ambiguous and look at more evidence.</w:t>
      </w:r>
    </w:p>
    <w:p>
      <w:pPr>
        <w:pStyle w:val="Heading3"/>
        <w:ind w:firstLine="0"/>
        <w:jc w:val="left"/>
      </w:pPr>
      <w:r>
        <w:rPr>
          <w:rFonts w:ascii="Times New Roman" w:hAnsi="Times New Roman"/>
          <w:b/>
        </w:rPr>
        <w:t>Zivot-Andrews test</w:t>
      </w:r>
    </w:p>
    <w:p>
      <w:pPr>
        <w:pStyle w:val="ListBullet"/>
        <w:spacing w:after="40" w:line="300" w:lineRule="auto"/>
        <w:ind w:firstLine="0"/>
      </w:pPr>
      <w:r>
        <w:rPr>
          <w:rFonts w:ascii="Times New Roman" w:hAnsi="Times New Roman" w:cs="Times New Roman" w:eastAsia="Times New Roman"/>
          <w:b w:val="0"/>
          <w:i w:val="0"/>
          <w:sz w:val="23"/>
        </w:rPr>
        <w:t>What it checks: is there a unit root when the data might have ONE structural break at an unknown date?</w:t>
      </w:r>
    </w:p>
    <w:p>
      <w:pPr>
        <w:pStyle w:val="ListBullet"/>
        <w:spacing w:after="40" w:line="300" w:lineRule="auto"/>
        <w:ind w:firstLine="0"/>
      </w:pPr>
      <w:r>
        <w:rPr>
          <w:rFonts w:ascii="Times New Roman" w:hAnsi="Times New Roman" w:cs="Times New Roman" w:eastAsia="Times New Roman"/>
          <w:b w:val="0"/>
          <w:i w:val="0"/>
          <w:sz w:val="23"/>
        </w:rPr>
        <w:t>H0: unit root, possibly with a break.</w:t>
      </w:r>
    </w:p>
    <w:p>
      <w:pPr>
        <w:pStyle w:val="ListBullet"/>
        <w:spacing w:after="40" w:line="300" w:lineRule="auto"/>
        <w:ind w:firstLine="0"/>
      </w:pPr>
      <w:r>
        <w:rPr>
          <w:rFonts w:ascii="Times New Roman" w:hAnsi="Times New Roman" w:cs="Times New Roman" w:eastAsia="Times New Roman"/>
          <w:b w:val="0"/>
          <w:i w:val="0"/>
          <w:sz w:val="23"/>
        </w:rPr>
        <w:t>Rule: small p = reject = stationary with a break.</w:t>
      </w:r>
    </w:p>
    <w:p>
      <w:pPr>
        <w:pStyle w:val="ListBullet"/>
        <w:spacing w:after="40" w:line="300" w:lineRule="auto"/>
        <w:ind w:firstLine="0"/>
      </w:pPr>
      <w:r>
        <w:rPr>
          <w:rFonts w:ascii="Times New Roman" w:hAnsi="Times New Roman" w:cs="Times New Roman" w:eastAsia="Times New Roman"/>
          <w:b w:val="0"/>
          <w:i w:val="0"/>
          <w:sz w:val="23"/>
        </w:rPr>
        <w:t>Memory hook: ZA is ADF ‘with a crack line’. It allows one sudden jump without being fooled by it.</w:t>
      </w:r>
    </w:p>
    <w:p>
      <w:pPr>
        <w:jc w:val="both"/>
      </w:pPr>
      <w:r>
        <w:rPr>
          <w:rFonts w:ascii="Times New Roman" w:hAnsi="Times New Roman" w:cs="Times New Roman" w:eastAsia="Times New Roman"/>
          <w:b w:val="0"/>
          <w:i w:val="0"/>
          <w:sz w:val="23"/>
        </w:rPr>
        <w:t>In our paper: all the price series in levels have unit roots. After taking log differences they become stationary by ADF, PP, and KPSS, with a small KPSS caveat for headline WPI inflation. That caveat is handled by the Bai-Perron break test, not by differencing again.</w:t>
      </w:r>
    </w:p>
    <w:p>
      <w:pPr>
        <w:pStyle w:val="Heading2"/>
        <w:ind w:firstLine="0"/>
        <w:jc w:val="left"/>
      </w:pPr>
      <w:r>
        <w:rPr>
          <w:rFonts w:ascii="Times New Roman" w:hAnsi="Times New Roman"/>
          <w:b/>
        </w:rPr>
        <w:t>8.3 Structural break tests: did the relationship shift in time?</w:t>
      </w:r>
    </w:p>
    <w:p>
      <w:pPr>
        <w:pStyle w:val="Heading3"/>
        <w:ind w:firstLine="0"/>
        <w:jc w:val="left"/>
      </w:pPr>
      <w:r>
        <w:rPr>
          <w:rFonts w:ascii="Times New Roman" w:hAnsi="Times New Roman"/>
          <w:b/>
        </w:rPr>
        <w:t>Bai-Perron (2003) test</w:t>
      </w:r>
    </w:p>
    <w:p>
      <w:pPr>
        <w:pStyle w:val="ListBullet"/>
        <w:spacing w:after="40" w:line="300" w:lineRule="auto"/>
        <w:ind w:firstLine="0"/>
      </w:pPr>
      <w:r>
        <w:rPr>
          <w:rFonts w:ascii="Times New Roman" w:hAnsi="Times New Roman" w:cs="Times New Roman" w:eastAsia="Times New Roman"/>
          <w:b w:val="0"/>
          <w:i w:val="0"/>
          <w:sz w:val="23"/>
        </w:rPr>
        <w:t>What it checks: are there one or more unknown break points where the relationship shifts?</w:t>
      </w:r>
    </w:p>
    <w:p>
      <w:pPr>
        <w:pStyle w:val="ListBullet"/>
        <w:spacing w:after="40" w:line="300" w:lineRule="auto"/>
        <w:ind w:firstLine="0"/>
      </w:pPr>
      <w:r>
        <w:rPr>
          <w:rFonts w:ascii="Times New Roman" w:hAnsi="Times New Roman" w:cs="Times New Roman" w:eastAsia="Times New Roman"/>
          <w:b w:val="0"/>
          <w:i w:val="0"/>
          <w:sz w:val="23"/>
        </w:rPr>
        <w:t>H0: no break, parameters are constant.</w:t>
      </w:r>
    </w:p>
    <w:p>
      <w:pPr>
        <w:pStyle w:val="ListBullet"/>
        <w:spacing w:after="40" w:line="300" w:lineRule="auto"/>
        <w:ind w:firstLine="0"/>
      </w:pPr>
      <w:r>
        <w:rPr>
          <w:rFonts w:ascii="Times New Roman" w:hAnsi="Times New Roman" w:cs="Times New Roman" w:eastAsia="Times New Roman"/>
          <w:b w:val="0"/>
          <w:i w:val="0"/>
          <w:sz w:val="23"/>
        </w:rPr>
        <w:t>Rule: small p = reject = at least one break exists.</w:t>
      </w:r>
    </w:p>
    <w:p>
      <w:pPr>
        <w:pStyle w:val="ListBullet"/>
        <w:spacing w:after="40" w:line="300" w:lineRule="auto"/>
        <w:ind w:firstLine="0"/>
      </w:pPr>
      <w:r>
        <w:rPr>
          <w:rFonts w:ascii="Times New Roman" w:hAnsi="Times New Roman" w:cs="Times New Roman" w:eastAsia="Times New Roman"/>
          <w:b w:val="0"/>
          <w:i w:val="0"/>
          <w:sz w:val="23"/>
        </w:rPr>
        <w:t>Memory hook: Bai-Perron is a ‘break detective’. It scans the whole sample and says ‘a shift happened around month X’.</w:t>
      </w:r>
    </w:p>
    <w:p>
      <w:pPr>
        <w:jc w:val="both"/>
      </w:pPr>
      <w:r>
        <w:rPr>
          <w:rFonts w:ascii="Times New Roman" w:hAnsi="Times New Roman" w:cs="Times New Roman" w:eastAsia="Times New Roman"/>
          <w:b w:val="0"/>
          <w:i w:val="0"/>
          <w:sz w:val="23"/>
        </w:rPr>
        <w:t>In our paper: where Bai-Perron detects breaks in headline WPI inflation, we handle them with the institutional pre/post-2010 split rather than adding dummies for every mathematical break. This keeps the analysis anchored to fuel-pricing policy.</w:t>
      </w:r>
    </w:p>
    <w:p>
      <w:pPr>
        <w:pStyle w:val="Heading2"/>
        <w:ind w:firstLine="0"/>
        <w:jc w:val="left"/>
      </w:pPr>
      <w:r>
        <w:rPr>
          <w:rFonts w:ascii="Times New Roman" w:hAnsi="Times New Roman"/>
          <w:b/>
        </w:rPr>
        <w:t>8.4 Residual diagnostics: is the fitted model well-behaved?</w:t>
      </w:r>
    </w:p>
    <w:p>
      <w:pPr>
        <w:jc w:val="both"/>
      </w:pPr>
      <w:r>
        <w:rPr>
          <w:rFonts w:ascii="Times New Roman" w:hAnsi="Times New Roman" w:cs="Times New Roman" w:eastAsia="Times New Roman"/>
          <w:b w:val="0"/>
          <w:i w:val="0"/>
          <w:sz w:val="23"/>
        </w:rPr>
        <w:t>After fitting the ADL, the residuals ε̂</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should look like clean noise. These tests check whether they do. Anything unusual in the residuals means the model is missing something.</w:t>
      </w:r>
    </w:p>
    <w:p>
      <w:pPr>
        <w:pStyle w:val="Heading3"/>
        <w:ind w:firstLine="0"/>
        <w:jc w:val="left"/>
      </w:pPr>
      <w:r>
        <w:rPr>
          <w:rFonts w:ascii="Times New Roman" w:hAnsi="Times New Roman"/>
          <w:b/>
        </w:rPr>
        <w:t>Breusch-Godfrey test (BG), the leftover-pattern test</w:t>
      </w:r>
    </w:p>
    <w:p>
      <w:pPr>
        <w:pStyle w:val="ListBullet"/>
        <w:spacing w:after="40" w:line="300" w:lineRule="auto"/>
        <w:ind w:firstLine="0"/>
      </w:pPr>
      <w:r>
        <w:rPr>
          <w:rFonts w:ascii="Times New Roman" w:hAnsi="Times New Roman" w:cs="Times New Roman" w:eastAsia="Times New Roman"/>
          <w:b w:val="0"/>
          <w:i w:val="0"/>
          <w:sz w:val="23"/>
        </w:rPr>
        <w:t>What it checks: do the residuals still have autocorrelation? In other words, is last month's error predicting this month's error?</w:t>
      </w:r>
    </w:p>
    <w:p>
      <w:pPr>
        <w:pStyle w:val="ListBullet"/>
        <w:spacing w:after="40" w:line="300" w:lineRule="auto"/>
        <w:ind w:firstLine="0"/>
      </w:pPr>
      <w:r>
        <w:rPr>
          <w:rFonts w:ascii="Times New Roman" w:hAnsi="Times New Roman" w:cs="Times New Roman" w:eastAsia="Times New Roman"/>
          <w:b w:val="0"/>
          <w:i w:val="0"/>
          <w:sz w:val="23"/>
        </w:rPr>
        <w:t>H0: no serial correlation in residuals.</w:t>
      </w:r>
    </w:p>
    <w:p>
      <w:pPr>
        <w:pStyle w:val="ListBullet"/>
        <w:spacing w:after="40" w:line="300" w:lineRule="auto"/>
        <w:ind w:firstLine="0"/>
      </w:pPr>
      <w:r>
        <w:rPr>
          <w:rFonts w:ascii="Times New Roman" w:hAnsi="Times New Roman" w:cs="Times New Roman" w:eastAsia="Times New Roman"/>
          <w:b w:val="0"/>
          <w:i w:val="0"/>
          <w:sz w:val="23"/>
        </w:rPr>
        <w:t>Rule: LARGE p is what we want. Large p = fail to reject = residuals are clean. Small p = bad, residuals still have pattern.</w:t>
      </w:r>
    </w:p>
    <w:p>
      <w:pPr>
        <w:pStyle w:val="ListBullet"/>
        <w:spacing w:after="40" w:line="300" w:lineRule="auto"/>
        <w:ind w:firstLine="0"/>
      </w:pPr>
      <w:r>
        <w:rPr>
          <w:rFonts w:ascii="Times New Roman" w:hAnsi="Times New Roman" w:cs="Times New Roman" w:eastAsia="Times New Roman"/>
          <w:b w:val="0"/>
          <w:i w:val="0"/>
          <w:sz w:val="23"/>
        </w:rPr>
        <w:t>Memory hook: BG scans the residuals for leftover patterns. Pass it like a quality-control inspection at the end of a factory line.</w:t>
      </w:r>
    </w:p>
    <w:p>
      <w:pPr>
        <w:jc w:val="both"/>
      </w:pPr>
      <w:r>
        <w:rPr>
          <w:rFonts w:ascii="Times New Roman" w:hAnsi="Times New Roman" w:cs="Times New Roman" w:eastAsia="Times New Roman"/>
          <w:b w:val="0"/>
          <w:i w:val="0"/>
          <w:sz w:val="23"/>
        </w:rPr>
        <w:t>We run BG at 12 lags because the data are monthly and annual seasonality could sneak in. Our claim-bearing models all pass BG (p &gt; 0.05).</w:t>
      </w:r>
    </w:p>
    <w:p>
      <w:pPr>
        <w:pStyle w:val="Heading3"/>
        <w:ind w:firstLine="0"/>
        <w:jc w:val="left"/>
      </w:pPr>
      <w:r>
        <w:rPr>
          <w:rFonts w:ascii="Times New Roman" w:hAnsi="Times New Roman"/>
          <w:b/>
        </w:rPr>
        <w:t>Breusch-Pagan test (BP), the variance-stability test</w:t>
      </w:r>
    </w:p>
    <w:p>
      <w:pPr>
        <w:pStyle w:val="ListBullet"/>
        <w:spacing w:after="40" w:line="300" w:lineRule="auto"/>
        <w:ind w:firstLine="0"/>
      </w:pPr>
      <w:r>
        <w:rPr>
          <w:rFonts w:ascii="Times New Roman" w:hAnsi="Times New Roman" w:cs="Times New Roman" w:eastAsia="Times New Roman"/>
          <w:b w:val="0"/>
          <w:i w:val="0"/>
          <w:sz w:val="23"/>
        </w:rPr>
        <w:t>What it checks: is the residual variance constant, or does it grow and shrink with the size of the right-hand-side variables?</w:t>
      </w:r>
    </w:p>
    <w:p>
      <w:pPr>
        <w:pStyle w:val="ListBullet"/>
        <w:spacing w:after="40" w:line="300" w:lineRule="auto"/>
        <w:ind w:firstLine="0"/>
      </w:pPr>
      <w:r>
        <w:rPr>
          <w:rFonts w:ascii="Times New Roman" w:hAnsi="Times New Roman" w:cs="Times New Roman" w:eastAsia="Times New Roman"/>
          <w:b w:val="0"/>
          <w:i w:val="0"/>
          <w:sz w:val="23"/>
        </w:rPr>
        <w:t>H0: constant variance (homoskedasticity).</w:t>
      </w:r>
    </w:p>
    <w:p>
      <w:pPr>
        <w:pStyle w:val="ListBullet"/>
        <w:spacing w:after="40" w:line="300" w:lineRule="auto"/>
        <w:ind w:firstLine="0"/>
      </w:pPr>
      <w:r>
        <w:rPr>
          <w:rFonts w:ascii="Times New Roman" w:hAnsi="Times New Roman" w:cs="Times New Roman" w:eastAsia="Times New Roman"/>
          <w:b w:val="0"/>
          <w:i w:val="0"/>
          <w:sz w:val="23"/>
        </w:rPr>
        <w:t>Rule: large p = residuals have stable variance = happy.</w:t>
      </w:r>
    </w:p>
    <w:p>
      <w:pPr>
        <w:pStyle w:val="ListBullet"/>
        <w:spacing w:after="40" w:line="300" w:lineRule="auto"/>
        <w:ind w:firstLine="0"/>
      </w:pPr>
      <w:r>
        <w:rPr>
          <w:rFonts w:ascii="Times New Roman" w:hAnsi="Times New Roman" w:cs="Times New Roman" w:eastAsia="Times New Roman"/>
          <w:b w:val="0"/>
          <w:i w:val="0"/>
          <w:sz w:val="23"/>
        </w:rPr>
        <w:t>Memory hook: BP listens to whether the noise is ‘loud sometimes, quiet sometimes’. If yes, the standard errors need fixing. We use HAC errors either way, so BP is a health check, not a gate.</w:t>
      </w:r>
    </w:p>
    <w:p>
      <w:pPr>
        <w:pStyle w:val="Heading3"/>
        <w:ind w:firstLine="0"/>
        <w:jc w:val="left"/>
      </w:pPr>
      <w:r>
        <w:rPr>
          <w:rFonts w:ascii="Times New Roman" w:hAnsi="Times New Roman"/>
          <w:b/>
        </w:rPr>
        <w:t>Jarque-Bera test (JB), the normality test</w:t>
      </w:r>
    </w:p>
    <w:p>
      <w:pPr>
        <w:pStyle w:val="ListBullet"/>
        <w:spacing w:after="40" w:line="300" w:lineRule="auto"/>
        <w:ind w:firstLine="0"/>
      </w:pPr>
      <w:r>
        <w:rPr>
          <w:rFonts w:ascii="Times New Roman" w:hAnsi="Times New Roman" w:cs="Times New Roman" w:eastAsia="Times New Roman"/>
          <w:b w:val="0"/>
          <w:i w:val="0"/>
          <w:sz w:val="23"/>
        </w:rPr>
        <w:t>What it checks: do the residuals follow a bell-shaped (normal) distribution?</w:t>
      </w:r>
    </w:p>
    <w:p>
      <w:pPr>
        <w:pStyle w:val="ListBullet"/>
        <w:spacing w:after="40" w:line="300" w:lineRule="auto"/>
        <w:ind w:firstLine="0"/>
      </w:pPr>
      <w:r>
        <w:rPr>
          <w:rFonts w:ascii="Times New Roman" w:hAnsi="Times New Roman" w:cs="Times New Roman" w:eastAsia="Times New Roman"/>
          <w:b w:val="0"/>
          <w:i w:val="0"/>
          <w:sz w:val="23"/>
        </w:rPr>
        <w:t>H0: residuals are normally distributed.</w:t>
      </w:r>
    </w:p>
    <w:p>
      <w:pPr>
        <w:pStyle w:val="ListBullet"/>
        <w:spacing w:after="40" w:line="300" w:lineRule="auto"/>
        <w:ind w:firstLine="0"/>
      </w:pPr>
      <w:r>
        <w:rPr>
          <w:rFonts w:ascii="Times New Roman" w:hAnsi="Times New Roman" w:cs="Times New Roman" w:eastAsia="Times New Roman"/>
          <w:b w:val="0"/>
          <w:i w:val="0"/>
          <w:sz w:val="23"/>
        </w:rPr>
        <w:t>Rule: large p = residuals look normal.</w:t>
      </w:r>
    </w:p>
    <w:p>
      <w:pPr>
        <w:pStyle w:val="ListBullet"/>
        <w:spacing w:after="40" w:line="300" w:lineRule="auto"/>
        <w:ind w:firstLine="0"/>
      </w:pPr>
      <w:r>
        <w:rPr>
          <w:rFonts w:ascii="Times New Roman" w:hAnsi="Times New Roman" w:cs="Times New Roman" w:eastAsia="Times New Roman"/>
          <w:b w:val="0"/>
          <w:i w:val="0"/>
          <w:sz w:val="23"/>
        </w:rPr>
        <w:t>Memory hook: JB is a ‘bell-shape score’. Failing it does not kill OLS (we still get consistent estimates), but very large fails flag outliers worth investigating.</w:t>
      </w:r>
    </w:p>
    <w:p>
      <w:pPr>
        <w:pStyle w:val="Heading3"/>
        <w:ind w:firstLine="0"/>
        <w:jc w:val="left"/>
      </w:pPr>
      <w:r>
        <w:rPr>
          <w:rFonts w:ascii="Times New Roman" w:hAnsi="Times New Roman"/>
          <w:b/>
        </w:rPr>
        <w:t>Ramsey RESET test (HAC-RESET), the missing-shape test</w:t>
      </w:r>
    </w:p>
    <w:p>
      <w:pPr>
        <w:pStyle w:val="ListBullet"/>
        <w:spacing w:after="40" w:line="300" w:lineRule="auto"/>
        <w:ind w:firstLine="0"/>
      </w:pPr>
      <w:r>
        <w:rPr>
          <w:rFonts w:ascii="Times New Roman" w:hAnsi="Times New Roman" w:cs="Times New Roman" w:eastAsia="Times New Roman"/>
          <w:b w:val="0"/>
          <w:i w:val="0"/>
          <w:sz w:val="23"/>
        </w:rPr>
        <w:t>What it checks: did we use the wrong functional form? For example, is there a nonlinear effect the linear ADL missed?</w:t>
      </w:r>
    </w:p>
    <w:p>
      <w:pPr>
        <w:pStyle w:val="ListBullet"/>
        <w:spacing w:after="40" w:line="300" w:lineRule="auto"/>
        <w:ind w:firstLine="0"/>
      </w:pPr>
      <w:r>
        <w:rPr>
          <w:rFonts w:ascii="Times New Roman" w:hAnsi="Times New Roman" w:cs="Times New Roman" w:eastAsia="Times New Roman"/>
          <w:b w:val="0"/>
          <w:i w:val="0"/>
          <w:sz w:val="23"/>
        </w:rPr>
        <w:t>How it works, intuitively: RESET takes our fitted ŷ, squares and cubes it, and sticks ŷ</w:t>
      </w:r>
      <w:r>
        <w:rPr>
          <w:rFonts w:ascii="Times New Roman" w:hAnsi="Times New Roman" w:cs="Times New Roman" w:eastAsia="Times New Roman"/>
          <w:b w:val="0"/>
          <w:i w:val="0"/>
          <w:sz w:val="23"/>
          <w:vertAlign w:val="superscript"/>
        </w:rPr>
        <w:t>2</w:t>
      </w:r>
      <w:r>
        <w:rPr>
          <w:rFonts w:ascii="Times New Roman" w:hAnsi="Times New Roman" w:cs="Times New Roman" w:eastAsia="Times New Roman"/>
          <w:b w:val="0"/>
          <w:i w:val="0"/>
          <w:sz w:val="23"/>
        </w:rPr>
        <w:t xml:space="preserve"> and ŷ</w:t>
      </w:r>
      <w:r>
        <w:rPr>
          <w:rFonts w:ascii="Times New Roman" w:hAnsi="Times New Roman" w:cs="Times New Roman" w:eastAsia="Times New Roman"/>
          <w:b w:val="0"/>
          <w:i w:val="0"/>
          <w:sz w:val="23"/>
          <w:vertAlign w:val="superscript"/>
        </w:rPr>
        <w:t>3</w:t>
      </w:r>
      <w:r>
        <w:rPr>
          <w:rFonts w:ascii="Times New Roman" w:hAnsi="Times New Roman" w:cs="Times New Roman" w:eastAsia="Times New Roman"/>
          <w:b w:val="0"/>
          <w:i w:val="0"/>
          <w:sz w:val="23"/>
        </w:rPr>
        <w:t xml:space="preserve"> into the regression as extra variables. If those extra terms are jointly significant, then our original straight-line model was missing curvature.</w:t>
      </w:r>
    </w:p>
    <w:p>
      <w:pPr>
        <w:pStyle w:val="ListBullet"/>
        <w:spacing w:after="40" w:line="300" w:lineRule="auto"/>
        <w:ind w:firstLine="0"/>
      </w:pPr>
      <w:r>
        <w:rPr>
          <w:rFonts w:ascii="Times New Roman" w:hAnsi="Times New Roman" w:cs="Times New Roman" w:eastAsia="Times New Roman"/>
          <w:b w:val="0"/>
          <w:i w:val="0"/>
          <w:sz w:val="23"/>
        </w:rPr>
        <w:t>H0: the functional form is correct.</w:t>
      </w:r>
    </w:p>
    <w:p>
      <w:pPr>
        <w:pStyle w:val="ListBullet"/>
        <w:spacing w:after="40" w:line="300" w:lineRule="auto"/>
        <w:ind w:firstLine="0"/>
      </w:pPr>
      <w:r>
        <w:rPr>
          <w:rFonts w:ascii="Times New Roman" w:hAnsi="Times New Roman" w:cs="Times New Roman" w:eastAsia="Times New Roman"/>
          <w:b w:val="0"/>
          <w:i w:val="0"/>
          <w:sz w:val="23"/>
        </w:rPr>
        <w:t>Rule: large p = ‘straight line is fine, no missing curvature’. Small p = ‘the model is missing nonlinearity’ = bad.</w:t>
      </w:r>
    </w:p>
    <w:p>
      <w:pPr>
        <w:pStyle w:val="ListBullet"/>
        <w:spacing w:after="40" w:line="300" w:lineRule="auto"/>
        <w:ind w:firstLine="0"/>
      </w:pPr>
      <w:r>
        <w:rPr>
          <w:rFonts w:ascii="Times New Roman" w:hAnsi="Times New Roman" w:cs="Times New Roman" w:eastAsia="Times New Roman"/>
          <w:b w:val="0"/>
          <w:i w:val="0"/>
          <w:sz w:val="23"/>
        </w:rPr>
        <w:t>Memory hook: RESET adds two ‘bendy’ regressors to the equation. If they matter, the original shape was wrong.</w:t>
      </w:r>
    </w:p>
    <w:p>
      <w:pPr>
        <w:jc w:val="both"/>
      </w:pPr>
      <w:r>
        <w:rPr>
          <w:rFonts w:ascii="Times New Roman" w:hAnsi="Times New Roman" w:cs="Times New Roman" w:eastAsia="Times New Roman"/>
          <w:b w:val="0"/>
          <w:i w:val="0"/>
          <w:sz w:val="23"/>
        </w:rPr>
        <w:t>We run RESET under the HAC covariance so it stays valid with autocorrelated, heteroskedastic residuals. That is what ‘HAC-RESET’ means.</w:t>
      </w:r>
    </w:p>
    <w:p>
      <w:pPr>
        <w:pStyle w:val="Heading3"/>
        <w:ind w:firstLine="0"/>
        <w:jc w:val="left"/>
      </w:pPr>
      <w:r>
        <w:rPr>
          <w:rFonts w:ascii="Times New Roman" w:hAnsi="Times New Roman"/>
          <w:b/>
        </w:rPr>
        <w:t>Recursive CUSUM test, the stability test</w:t>
      </w:r>
    </w:p>
    <w:p>
      <w:pPr>
        <w:pStyle w:val="ListBullet"/>
        <w:spacing w:after="40" w:line="300" w:lineRule="auto"/>
        <w:ind w:firstLine="0"/>
      </w:pPr>
      <w:r>
        <w:rPr>
          <w:rFonts w:ascii="Times New Roman" w:hAnsi="Times New Roman" w:cs="Times New Roman" w:eastAsia="Times New Roman"/>
          <w:b w:val="0"/>
          <w:i w:val="0"/>
          <w:sz w:val="23"/>
        </w:rPr>
        <w:t>What it checks: do the coefficients stay roughly constant as we add data one month at a time, or do they drift?</w:t>
      </w:r>
    </w:p>
    <w:p>
      <w:pPr>
        <w:pStyle w:val="ListBullet"/>
        <w:spacing w:after="40" w:line="300" w:lineRule="auto"/>
        <w:ind w:firstLine="0"/>
      </w:pPr>
      <w:r>
        <w:rPr>
          <w:rFonts w:ascii="Times New Roman" w:hAnsi="Times New Roman" w:cs="Times New Roman" w:eastAsia="Times New Roman"/>
          <w:b w:val="0"/>
          <w:i w:val="0"/>
          <w:sz w:val="23"/>
        </w:rPr>
        <w:t>How it works, intuitively: fit the model on the first few months. Predict the next month. Record the forecast error. Do it again with one more month of data. Plot the cumulative sum of these errors.</w:t>
      </w:r>
    </w:p>
    <w:p>
      <w:pPr>
        <w:pStyle w:val="ListBullet"/>
        <w:spacing w:after="40" w:line="300" w:lineRule="auto"/>
        <w:ind w:firstLine="0"/>
      </w:pPr>
      <w:r>
        <w:rPr>
          <w:rFonts w:ascii="Times New Roman" w:hAnsi="Times New Roman" w:cs="Times New Roman" w:eastAsia="Times New Roman"/>
          <w:b w:val="0"/>
          <w:i w:val="0"/>
          <w:sz w:val="23"/>
        </w:rPr>
        <w:t>H0: coefficients are stable over time.</w:t>
      </w:r>
    </w:p>
    <w:p>
      <w:pPr>
        <w:pStyle w:val="ListBullet"/>
        <w:spacing w:after="40" w:line="300" w:lineRule="auto"/>
        <w:ind w:firstLine="0"/>
      </w:pPr>
      <w:r>
        <w:rPr>
          <w:rFonts w:ascii="Times New Roman" w:hAnsi="Times New Roman" w:cs="Times New Roman" w:eastAsia="Times New Roman"/>
          <w:b w:val="0"/>
          <w:i w:val="0"/>
          <w:sz w:val="23"/>
        </w:rPr>
        <w:t>Rule: a large p (and a CUSUM line that stays inside its 5 per cent confidence band) = stable coefficients. A small p = instability somewhere.</w:t>
      </w:r>
    </w:p>
    <w:p>
      <w:pPr>
        <w:pStyle w:val="ListBullet"/>
        <w:spacing w:after="40" w:line="300" w:lineRule="auto"/>
        <w:ind w:firstLine="0"/>
      </w:pPr>
      <w:r>
        <w:rPr>
          <w:rFonts w:ascii="Times New Roman" w:hAnsi="Times New Roman" w:cs="Times New Roman" w:eastAsia="Times New Roman"/>
          <w:b w:val="0"/>
          <w:i w:val="0"/>
          <w:sz w:val="23"/>
        </w:rPr>
        <w:t>Memory hook: CUSUM is a ‘running tab’ of forecast errors. If the tab ever runs too far from zero, the model's coefficients are shifting under our feet.</w:t>
      </w:r>
    </w:p>
    <w:p>
      <w:pPr>
        <w:pStyle w:val="Heading3"/>
        <w:ind w:firstLine="0"/>
        <w:jc w:val="left"/>
      </w:pPr>
      <w:r>
        <w:rPr>
          <w:rFonts w:ascii="Times New Roman" w:hAnsi="Times New Roman"/>
          <w:b/>
        </w:rPr>
        <w:t>OLS CUSUM test</w:t>
      </w:r>
    </w:p>
    <w:p>
      <w:pPr>
        <w:pStyle w:val="ListBullet"/>
        <w:spacing w:after="40" w:line="300" w:lineRule="auto"/>
        <w:ind w:firstLine="0"/>
      </w:pPr>
      <w:r>
        <w:rPr>
          <w:rFonts w:ascii="Times New Roman" w:hAnsi="Times New Roman" w:cs="Times New Roman" w:eastAsia="Times New Roman"/>
          <w:b w:val="0"/>
          <w:i w:val="0"/>
          <w:sz w:val="23"/>
        </w:rPr>
        <w:t>Same idea as recursive CUSUM but built from the residuals of a single full-sample OLS fit rather than a growing-window fit.</w:t>
      </w:r>
    </w:p>
    <w:p>
      <w:pPr>
        <w:pStyle w:val="ListBullet"/>
        <w:spacing w:after="40" w:line="300" w:lineRule="auto"/>
        <w:ind w:firstLine="0"/>
      </w:pPr>
      <w:r>
        <w:rPr>
          <w:rFonts w:ascii="Times New Roman" w:hAnsi="Times New Roman" w:cs="Times New Roman" w:eastAsia="Times New Roman"/>
          <w:b w:val="0"/>
          <w:i w:val="0"/>
          <w:sz w:val="23"/>
        </w:rPr>
        <w:t>Useful as a cross-check. We report recursive CUSUM as the main gate test because it is more sensitive to drift.</w:t>
      </w:r>
    </w:p>
    <w:p>
      <w:pPr>
        <w:pStyle w:val="Heading2"/>
        <w:ind w:firstLine="0"/>
        <w:jc w:val="left"/>
      </w:pPr>
      <w:r>
        <w:rPr>
          <w:rFonts w:ascii="Times New Roman" w:hAnsi="Times New Roman"/>
          <w:b/>
        </w:rPr>
        <w:t>8.5 The mandatory model gate, in one mental picture</w:t>
      </w:r>
    </w:p>
    <w:p>
      <w:pPr>
        <w:jc w:val="both"/>
      </w:pPr>
      <w:r>
        <w:rPr>
          <w:rFonts w:ascii="Times New Roman" w:hAnsi="Times New Roman" w:cs="Times New Roman" w:eastAsia="Times New Roman"/>
          <w:b w:val="0"/>
          <w:i w:val="0"/>
          <w:sz w:val="23"/>
        </w:rPr>
        <w:t>Before a model can carry a main claim in our paper it must pass three doors in a row. Think of it as passport control.</w:t>
      </w:r>
    </w:p>
    <w:p>
      <w:pPr>
        <w:pStyle w:val="ListBullet"/>
        <w:spacing w:after="40" w:line="300" w:lineRule="auto"/>
        <w:ind w:firstLine="0"/>
      </w:pPr>
      <w:r>
        <w:rPr>
          <w:rFonts w:ascii="Times New Roman" w:hAnsi="Times New Roman" w:cs="Times New Roman" w:eastAsia="Times New Roman"/>
          <w:b w:val="0"/>
          <w:i w:val="0"/>
          <w:sz w:val="23"/>
        </w:rPr>
        <w:t>Door 1: BG12 (Breusch-Godfrey at 12 lags). ‘Are the residuals free of leftover patterns?’</w:t>
      </w:r>
    </w:p>
    <w:p>
      <w:pPr>
        <w:pStyle w:val="ListBullet"/>
        <w:spacing w:after="40" w:line="300" w:lineRule="auto"/>
        <w:ind w:firstLine="0"/>
      </w:pPr>
      <w:r>
        <w:rPr>
          <w:rFonts w:ascii="Times New Roman" w:hAnsi="Times New Roman" w:cs="Times New Roman" w:eastAsia="Times New Roman"/>
          <w:b w:val="0"/>
          <w:i w:val="0"/>
          <w:sz w:val="23"/>
        </w:rPr>
        <w:t>Door 2: HAC-RESET. ‘Is the functional form right?’</w:t>
      </w:r>
    </w:p>
    <w:p>
      <w:pPr>
        <w:pStyle w:val="ListBullet"/>
        <w:spacing w:after="40" w:line="300" w:lineRule="auto"/>
        <w:ind w:firstLine="0"/>
      </w:pPr>
      <w:r>
        <w:rPr>
          <w:rFonts w:ascii="Times New Roman" w:hAnsi="Times New Roman" w:cs="Times New Roman" w:eastAsia="Times New Roman"/>
          <w:b w:val="0"/>
          <w:i w:val="0"/>
          <w:sz w:val="23"/>
        </w:rPr>
        <w:t>Door 3: Recursive CUSUM. ‘Are the coefficients stable over time?’</w:t>
      </w:r>
    </w:p>
    <w:p>
      <w:pPr>
        <w:jc w:val="both"/>
      </w:pPr>
      <w:r>
        <w:rPr>
          <w:rFonts w:ascii="Times New Roman" w:hAnsi="Times New Roman" w:cs="Times New Roman" w:eastAsia="Times New Roman"/>
          <w:b w:val="0"/>
          <w:i w:val="0"/>
          <w:sz w:val="23"/>
        </w:rPr>
        <w:t>Any model that fails even one door is downgraded to ‘context’ or dropped from the main text. No exceptions. This rule is set BEFORE looking at the coefficients, so we cannot cherry-pick.</w:t>
      </w:r>
    </w:p>
    <w:p>
      <w:pPr>
        <w:pStyle w:val="Caption"/>
        <w:ind w:firstLine="0"/>
        <w:jc w:val="left"/>
      </w:pPr>
      <w:r>
        <w:rPr>
          <w:rFonts w:ascii="Times New Roman" w:hAnsi="Times New Roman" w:cs="Times New Roman" w:eastAsia="Times New Roman"/>
          <w:b/>
          <w:i w:val="0"/>
          <w:sz w:val="21"/>
        </w:rPr>
        <w:t>Table 8.1. Gate result for every specification in the paper.</w:t>
      </w:r>
    </w:p>
    <w:tbl>
      <w:tblPr>
        <w:tblStyle w:val="TableGrid"/>
        <w:tblW w:type="auto" w:w="0"/>
        <w:jc w:val="center"/>
        <w:tblLayout w:type="fixed"/>
        <w:tblLook w:firstColumn="1" w:firstRow="1" w:lastColumn="0" w:lastRow="0" w:noHBand="0" w:noVBand="1" w:val="04A0"/>
        <w:tblLayout w:type="fixed"/>
      </w:tblPr>
      <w:tblGrid>
        <w:gridCol w:w="3610"/>
        <w:gridCol w:w="833"/>
        <w:gridCol w:w="1250"/>
        <w:gridCol w:w="1250"/>
        <w:gridCol w:w="2083"/>
      </w:tblGrid>
      <w:tr>
        <w:trPr>
          <w:cantSplit/>
          <w:tblHeader/>
        </w:trPr>
        <w:tc>
          <w:tcPr>
            <w:tcW w:type="dxa" w:w="3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Specification</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BG12</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HAC-RESET</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Rec-CUSUM</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Result</w:t>
            </w:r>
          </w:p>
        </w:tc>
      </w:tr>
      <w:tr>
        <w:trPr>
          <w:cantSplit/>
        </w:trPr>
        <w:tc>
          <w:tcPr>
            <w:tcW w:type="dxa" w:w="361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WPI (1983-2026)</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Main WPI claim</w:t>
            </w:r>
          </w:p>
        </w:tc>
      </w:tr>
      <w:tr>
        <w:trPr>
          <w:cantSplit/>
        </w:trPr>
        <w:tc>
          <w:tcPr>
            <w:tcW w:type="dxa" w:w="361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WPI Fuel and Power, pooled full sample</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FAIL</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Context only</w:t>
            </w:r>
          </w:p>
        </w:tc>
      </w:tr>
      <w:tr>
        <w:trPr>
          <w:cantSplit/>
        </w:trPr>
        <w:tc>
          <w:tcPr>
            <w:tcW w:type="dxa" w:w="361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WPI Fuel and Power, post-2010, excluding Apr-Sep 2020</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Preferred wholesale fuel claim</w:t>
            </w:r>
          </w:p>
        </w:tc>
      </w:tr>
      <w:tr>
        <w:trPr>
          <w:cantSplit/>
        </w:trPr>
        <w:tc>
          <w:tcPr>
            <w:tcW w:type="dxa" w:w="361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CPI M1 (2004-2024)</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Main CPI endpoint</w:t>
            </w:r>
          </w:p>
        </w:tc>
      </w:tr>
      <w:tr>
        <w:trPr>
          <w:cantSplit/>
        </w:trPr>
        <w:tc>
          <w:tcPr>
            <w:tcW w:type="dxa" w:w="361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PPAC retail petrol (2004-2024)</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Mechanism accepted</w:t>
            </w:r>
          </w:p>
        </w:tc>
      </w:tr>
      <w:tr>
        <w:trPr>
          <w:cantSplit/>
        </w:trPr>
        <w:tc>
          <w:tcPr>
            <w:tcW w:type="dxa" w:w="361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CPI M2, M3 alternatives</w:t>
            </w:r>
          </w:p>
        </w:tc>
        <w:tc>
          <w:tcPr>
            <w:tcW w:type="dxa" w:w="83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Varies</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FAIL</w:t>
            </w:r>
          </w:p>
        </w:tc>
        <w:tc>
          <w:tcPr>
            <w:tcW w:type="dxa" w:w="125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Varies</w:t>
            </w:r>
          </w:p>
        </w:tc>
        <w:tc>
          <w:tcPr>
            <w:tcW w:type="dxa" w:w="208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Not claim-bearing</w:t>
            </w:r>
          </w:p>
        </w:tc>
      </w:tr>
    </w:tbl>
    <w:p>
      <w:pPr>
        <w:pStyle w:val="Heading2"/>
        <w:ind w:firstLine="0"/>
        <w:jc w:val="left"/>
      </w:pPr>
      <w:r>
        <w:rPr>
          <w:rFonts w:ascii="Times New Roman" w:hAnsi="Times New Roman"/>
          <w:b/>
        </w:rPr>
        <w:t>8.6 How we made WPI Fuel and Power pass HAC-RESET</w:t>
      </w:r>
    </w:p>
    <w:p>
      <w:pPr>
        <w:jc w:val="both"/>
      </w:pPr>
      <w:r>
        <w:rPr>
          <w:rFonts w:ascii="Times New Roman" w:hAnsi="Times New Roman" w:cs="Times New Roman" w:eastAsia="Times New Roman"/>
          <w:b w:val="0"/>
          <w:i w:val="0"/>
          <w:sz w:val="23"/>
        </w:rPr>
        <w:t>This is the most-asked methodology question the teacher can drop on you. Read it slowly once and you will answer it in one breath.</w:t>
      </w:r>
    </w:p>
    <w:p>
      <w:pPr>
        <w:pStyle w:val="Heading3"/>
        <w:ind w:firstLine="0"/>
        <w:jc w:val="left"/>
      </w:pPr>
      <w:r>
        <w:rPr>
          <w:rFonts w:ascii="Times New Roman" w:hAnsi="Times New Roman"/>
          <w:b/>
        </w:rPr>
        <w:t>What failed, and why</w:t>
      </w:r>
    </w:p>
    <w:p>
      <w:pPr>
        <w:jc w:val="both"/>
      </w:pPr>
      <w:r>
        <w:rPr>
          <w:rFonts w:ascii="Times New Roman" w:hAnsi="Times New Roman" w:cs="Times New Roman" w:eastAsia="Times New Roman"/>
          <w:b w:val="0"/>
          <w:i w:val="0"/>
          <w:sz w:val="23"/>
        </w:rPr>
        <w:t>The first version of the WPI Fuel and Power model used the full sample from May 1995 to March 2026. On that sample, the model failed the HAC-RESET test. ‘Fail HAC-RESET’ means: adding ŷ-squared and ŷ-cubed into the equation made a jointly significant improvement, so the straight-line ADL was missing something nonlinear.</w:t>
      </w:r>
    </w:p>
    <w:p>
      <w:pPr>
        <w:jc w:val="both"/>
      </w:pPr>
      <w:r>
        <w:rPr>
          <w:rFonts w:ascii="Times New Roman" w:hAnsi="Times New Roman" w:cs="Times New Roman" w:eastAsia="Times New Roman"/>
          <w:b w:val="0"/>
          <w:i w:val="0"/>
          <w:sz w:val="23"/>
        </w:rPr>
        <w:t>Two economic reasons were likely causes:</w:t>
      </w:r>
    </w:p>
    <w:p>
      <w:pPr>
        <w:pStyle w:val="ListBullet"/>
        <w:spacing w:after="40" w:line="300" w:lineRule="auto"/>
        <w:ind w:firstLine="0"/>
      </w:pPr>
      <w:r>
        <w:rPr>
          <w:rFonts w:ascii="Times New Roman" w:hAnsi="Times New Roman" w:cs="Times New Roman" w:eastAsia="Times New Roman"/>
          <w:b w:val="0"/>
          <w:i w:val="0"/>
          <w:sz w:val="23"/>
        </w:rPr>
        <w:t>Regime mixing. The full sample lumps the pre-2010 administered pricing period together with the post-2010 market-linked period. Before 2010 the government set retail prices for long stretches, so oil shocks sometimes did not transmit at all. After 2010 oil marketing companies revised prices frequently, so transmission is much faster. Forcing one set of ADL coefficients to fit both behaviours creates a kink RESET can detect.</w:t>
      </w:r>
    </w:p>
    <w:p>
      <w:pPr>
        <w:pStyle w:val="ListBullet"/>
        <w:spacing w:after="40" w:line="300" w:lineRule="auto"/>
        <w:ind w:firstLine="0"/>
      </w:pPr>
      <w:r>
        <w:rPr>
          <w:rFonts w:ascii="Times New Roman" w:hAnsi="Times New Roman" w:cs="Times New Roman" w:eastAsia="Times New Roman"/>
          <w:b w:val="0"/>
          <w:i w:val="0"/>
          <w:sz w:val="23"/>
        </w:rPr>
        <w:t>COVID outliers. April through September 2020 saw unprecedented moves. Brent went negative in May 2020 on the WTI benchmark and very low on Brent; Indian demand collapsed; pricing rules were effectively suspended. Leaving those months in the sample forces the model to accommodate extreme points that the rest of the sample does not look like, which again shows up as functional-form misspecification.</w:t>
      </w:r>
    </w:p>
    <w:p>
      <w:pPr>
        <w:pStyle w:val="Heading3"/>
        <w:ind w:firstLine="0"/>
        <w:jc w:val="left"/>
      </w:pPr>
      <w:r>
        <w:rPr>
          <w:rFonts w:ascii="Times New Roman" w:hAnsi="Times New Roman"/>
          <w:b/>
        </w:rPr>
        <w:t>What we changed</w:t>
      </w:r>
    </w:p>
    <w:p>
      <w:pPr>
        <w:pStyle w:val="ListBullet"/>
        <w:spacing w:after="40" w:line="300" w:lineRule="auto"/>
        <w:ind w:firstLine="0"/>
      </w:pPr>
      <w:r>
        <w:rPr>
          <w:rFonts w:ascii="Times New Roman" w:hAnsi="Times New Roman" w:cs="Times New Roman" w:eastAsia="Times New Roman"/>
          <w:b w:val="0"/>
          <w:i w:val="0"/>
          <w:sz w:val="23"/>
        </w:rPr>
        <w:t>Change 1: shorten the sample to April 2010 onward so the pre-2010 administered regime no longer contaminates the estimates.</w:t>
      </w:r>
    </w:p>
    <w:p>
      <w:pPr>
        <w:pStyle w:val="ListBullet"/>
        <w:spacing w:after="40" w:line="300" w:lineRule="auto"/>
        <w:ind w:firstLine="0"/>
      </w:pPr>
      <w:r>
        <w:rPr>
          <w:rFonts w:ascii="Times New Roman" w:hAnsi="Times New Roman" w:cs="Times New Roman" w:eastAsia="Times New Roman"/>
          <w:b w:val="0"/>
          <w:i w:val="0"/>
          <w:sz w:val="23"/>
        </w:rPr>
        <w:t>Change 2: drop the six months from April 2020 to September 2020, which removes the most extreme COVID outliers while keeping the rest of the post-2010 sample intact.</w:t>
      </w:r>
    </w:p>
    <w:p>
      <w:pPr>
        <w:pStyle w:val="ListBullet"/>
        <w:spacing w:after="40" w:line="300" w:lineRule="auto"/>
        <w:ind w:firstLine="0"/>
      </w:pPr>
      <w:r>
        <w:rPr>
          <w:rFonts w:ascii="Times New Roman" w:hAnsi="Times New Roman" w:cs="Times New Roman" w:eastAsia="Times New Roman"/>
          <w:b w:val="0"/>
          <w:i w:val="0"/>
          <w:sz w:val="23"/>
        </w:rPr>
        <w:t>Change 3: keep the exchange-rate controls and the month fixed effects unchanged. Lag orders stay ADL(12, 6), so we are not tinkering with the lag structure to force a pass.</w:t>
      </w:r>
    </w:p>
    <w:p>
      <w:pPr>
        <w:spacing w:after="0" w:before="0" w:line="276" w:lineRule="auto"/>
        <w:ind w:firstLine="0" w:left="360"/>
        <w:shd w:val="clear" w:color="auto" w:fill="F4F4F4"/>
      </w:pPr>
      <w:r>
        <w:rPr>
          <w:rFonts w:ascii="Consolas" w:hAnsi="Consolas" w:cs="Consolas"/>
          <w:sz w:val="19"/>
        </w:rPr>
        <w:t># Pseudocode for the specification change</w:t>
      </w:r>
    </w:p>
    <w:p>
      <w:pPr>
        <w:spacing w:after="0" w:before="0" w:line="276" w:lineRule="auto"/>
        <w:ind w:firstLine="0" w:left="360"/>
        <w:shd w:val="clear" w:color="auto" w:fill="F4F4F4"/>
      </w:pPr>
      <w:r>
        <w:rPr>
          <w:rFonts w:ascii="Consolas" w:hAnsi="Consolas" w:cs="Consolas"/>
          <w:sz w:val="19"/>
        </w:rPr>
        <w:t>sample_full    &lt;- dates from 1995-05 to 2026-03        # failed RESET</w:t>
      </w:r>
    </w:p>
    <w:p>
      <w:pPr>
        <w:spacing w:after="0" w:before="0" w:line="276" w:lineRule="auto"/>
        <w:ind w:firstLine="0" w:left="360"/>
        <w:shd w:val="clear" w:color="auto" w:fill="F4F4F4"/>
      </w:pPr>
      <w:r>
        <w:rPr>
          <w:rFonts w:ascii="Consolas" w:hAnsi="Consolas" w:cs="Consolas"/>
          <w:sz w:val="19"/>
        </w:rPr>
        <w:t>sample_preferred &lt;- dates from 2010-04 to 2026-03</w:t>
      </w:r>
    </w:p>
    <w:p>
      <w:pPr>
        <w:spacing w:after="0" w:before="0" w:line="276" w:lineRule="auto"/>
        <w:ind w:firstLine="0" w:left="360"/>
        <w:shd w:val="clear" w:color="auto" w:fill="F4F4F4"/>
      </w:pPr>
      <w:r>
        <w:rPr>
          <w:rFonts w:ascii="Consolas" w:hAnsi="Consolas" w:cs="Consolas"/>
          <w:sz w:val="19"/>
        </w:rPr>
        <w:t xml:space="preserve">               minus months in { 2020-04 .. 2020-09 }  # COVID dropped</w:t>
      </w:r>
    </w:p>
    <w:p>
      <w:pPr>
        <w:spacing w:after="0" w:before="0" w:line="276" w:lineRule="auto"/>
        <w:ind w:firstLine="0" w:left="360"/>
        <w:shd w:val="clear" w:color="auto" w:fill="F4F4F4"/>
      </w:pPr>
      <w:r>
        <w:rPr>
          <w:rFonts w:ascii="Consolas" w:hAnsi="Consolas" w:cs="Consolas"/>
          <w:sz w:val="19"/>
        </w:rPr>
        <w:t xml:space="preserve"> </w:t>
      </w:r>
    </w:p>
    <w:p>
      <w:pPr>
        <w:spacing w:after="0" w:before="0" w:line="276" w:lineRule="auto"/>
        <w:ind w:firstLine="0" w:left="360"/>
        <w:shd w:val="clear" w:color="auto" w:fill="F4F4F4"/>
      </w:pPr>
      <w:r>
        <w:rPr>
          <w:rFonts w:ascii="Consolas" w:hAnsi="Consolas" w:cs="Consolas"/>
          <w:sz w:val="19"/>
        </w:rPr>
        <w:t>fit the same ADL(12, 6) on sample_preferred:</w:t>
      </w:r>
    </w:p>
    <w:p>
      <w:pPr>
        <w:spacing w:after="0" w:before="0" w:line="276" w:lineRule="auto"/>
        <w:ind w:firstLine="0" w:left="360"/>
        <w:shd w:val="clear" w:color="auto" w:fill="F4F4F4"/>
      </w:pPr>
      <w:r>
        <w:rPr>
          <w:rFonts w:ascii="Consolas" w:hAnsi="Consolas" w:cs="Consolas"/>
          <w:sz w:val="19"/>
        </w:rPr>
        <w:t xml:space="preserve">    dln_wpi_fp_t = α + Σ φ_i dln_wpi_fp_{t-i}</w:t>
      </w:r>
    </w:p>
    <w:p>
      <w:pPr>
        <w:spacing w:after="0" w:before="0" w:line="276" w:lineRule="auto"/>
        <w:ind w:firstLine="0" w:left="360"/>
        <w:shd w:val="clear" w:color="auto" w:fill="F4F4F4"/>
      </w:pPr>
      <w:r>
        <w:rPr>
          <w:rFonts w:ascii="Consolas" w:hAnsi="Consolas" w:cs="Consolas"/>
          <w:sz w:val="19"/>
        </w:rPr>
        <w:t xml:space="preserve">                      + Σ β+_j dln_oil_inr_pos_{t-j}</w:t>
      </w:r>
    </w:p>
    <w:p>
      <w:pPr>
        <w:spacing w:after="0" w:before="0" w:line="276" w:lineRule="auto"/>
        <w:ind w:firstLine="0" w:left="360"/>
        <w:shd w:val="clear" w:color="auto" w:fill="F4F4F4"/>
      </w:pPr>
      <w:r>
        <w:rPr>
          <w:rFonts w:ascii="Consolas" w:hAnsi="Consolas" w:cs="Consolas"/>
          <w:sz w:val="19"/>
        </w:rPr>
        <w:t xml:space="preserve">                      + Σ β-_j dln_oil_inr_neg_{t-j}</w:t>
      </w:r>
    </w:p>
    <w:p>
      <w:pPr>
        <w:spacing w:after="0" w:before="0" w:line="276" w:lineRule="auto"/>
        <w:ind w:firstLine="0" w:left="360"/>
        <w:shd w:val="clear" w:color="auto" w:fill="F4F4F4"/>
      </w:pPr>
      <w:r>
        <w:rPr>
          <w:rFonts w:ascii="Consolas" w:hAnsi="Consolas" w:cs="Consolas"/>
          <w:sz w:val="19"/>
        </w:rPr>
        <w:t xml:space="preserve">                      + exchange-rate controls</w:t>
      </w:r>
    </w:p>
    <w:p>
      <w:pPr>
        <w:spacing w:after="0" w:before="0" w:line="276" w:lineRule="auto"/>
        <w:ind w:firstLine="0" w:left="360"/>
        <w:shd w:val="clear" w:color="auto" w:fill="F4F4F4"/>
      </w:pPr>
      <w:r>
        <w:rPr>
          <w:rFonts w:ascii="Consolas" w:hAnsi="Consolas" w:cs="Consolas"/>
          <w:sz w:val="19"/>
        </w:rPr>
        <w:t xml:space="preserve">                      + month fixed effects</w:t>
      </w:r>
    </w:p>
    <w:p>
      <w:pPr>
        <w:spacing w:after="0" w:before="0" w:line="276" w:lineRule="auto"/>
        <w:ind w:firstLine="0" w:left="360"/>
        <w:shd w:val="clear" w:color="auto" w:fill="F4F4F4"/>
      </w:pPr>
      <w:r>
        <w:rPr>
          <w:rFonts w:ascii="Consolas" w:hAnsi="Consolas" w:cs="Consolas"/>
          <w:sz w:val="19"/>
        </w:rPr>
        <w:t xml:space="preserve">                      + ε_t</w:t>
      </w:r>
    </w:p>
    <w:p>
      <w:pPr>
        <w:spacing w:after="120"/>
      </w:pPr>
    </w:p>
    <w:p>
      <w:pPr>
        <w:pStyle w:val="Heading3"/>
        <w:ind w:firstLine="0"/>
        <w:jc w:val="left"/>
      </w:pPr>
      <w:r>
        <w:rPr>
          <w:rFonts w:ascii="Times New Roman" w:hAnsi="Times New Roman"/>
          <w:b/>
        </w:rPr>
        <w:t>What happened after the change</w:t>
      </w:r>
    </w:p>
    <w:p>
      <w:pPr>
        <w:pStyle w:val="Caption"/>
        <w:ind w:firstLine="0"/>
        <w:jc w:val="left"/>
      </w:pPr>
      <w:r>
        <w:rPr>
          <w:rFonts w:ascii="Times New Roman" w:hAnsi="Times New Roman" w:cs="Times New Roman" w:eastAsia="Times New Roman"/>
          <w:b/>
          <w:i w:val="0"/>
          <w:sz w:val="21"/>
        </w:rPr>
        <w:t>Table 8.2. Before and after the WPI Fuel and Power fix.</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cantSplit/>
          <w:tblHeader/>
        </w:trPr>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Check</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Full sample (failed)</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Preferred sample (passes)</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Observations N</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371</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186</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CPT+ estimate</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0.2866 (p&lt;0.001)</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0.5205 (p&lt;0.001)</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CPT− estimate</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0.2677 (p&lt;0.001)</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0.4195 (p&lt;0.001)</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Asymmetry p-value</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0.7832</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0.1642</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BG12 (serial correlation)</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Pass</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Pass (p = 0.0746)</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HAC-RESET (functional form)</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FAIL</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Pass (p = 0.5443)</w:t>
            </w:r>
          </w:p>
        </w:tc>
      </w:tr>
      <w:tr>
        <w:trPr>
          <w:cantSplit/>
        </w:trPr>
        <w:tc>
          <w:tcPr>
            <w:tcW w:type="dxa" w:w="300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Recursive CUSUM (stability)</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Pass</w:t>
            </w:r>
          </w:p>
        </w:tc>
        <w:tc>
          <w:tcPr>
            <w:tcW w:type="dxa" w:w="300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Pass (p = 0.6999)</w:t>
            </w:r>
          </w:p>
        </w:tc>
      </w:tr>
    </w:tbl>
    <w:p>
      <w:pPr>
        <w:spacing w:before="40" w:after="160" w:line="240" w:lineRule="auto"/>
        <w:ind w:firstLine="0"/>
      </w:pPr>
      <w:r>
        <w:rPr>
          <w:rFonts w:ascii="Times New Roman" w:hAnsi="Times New Roman" w:cs="Times New Roman" w:eastAsia="Times New Roman"/>
          <w:b w:val="0"/>
          <w:i/>
          <w:sz w:val="18"/>
        </w:rPr>
        <w:t>Note: The preferred model has a smaller N but cleaner diagnostics. The pooled full-sample model is kept in the paper only as context so the reader can see why the change was needed.</w:t>
      </w:r>
    </w:p>
    <w:p>
      <w:pPr>
        <w:spacing w:before="120" w:after="120"/>
        <w:ind w:firstLine="0" w:left="144" w:right="144"/>
        <w:shd w:val="clear" w:color="auto" w:fill="EEF2FA"/>
      </w:pPr>
      <w:r>
        <w:rPr>
          <w:rFonts w:ascii="Times New Roman" w:hAnsi="Times New Roman" w:cs="Times New Roman" w:eastAsia="Times New Roman"/>
          <w:b/>
          <w:i w:val="0"/>
          <w:sz w:val="22"/>
        </w:rPr>
        <w:t xml:space="preserve">One-sentence answer to the teacher: </w:t>
      </w:r>
      <w:r>
        <w:rPr>
          <w:rFonts w:ascii="Times New Roman" w:hAnsi="Times New Roman" w:cs="Times New Roman" w:eastAsia="Times New Roman"/>
          <w:b w:val="0"/>
          <w:i/>
          <w:sz w:val="22"/>
        </w:rPr>
        <w:t>‘We restricted the WPI Fuel and Power sample to April 2010 onward and dropped April to September 2020 because regime mixing and COVID outliers were creating a functional-form misspecification. After the restriction, HAC-RESET has p = 0.5443, BG has p = 0.0746, and recursive CUSUM has p = 0.6999, so the model now passes the mandatory gate cleanly.’</w:t>
      </w:r>
    </w:p>
    <w:p>
      <w:pPr>
        <w:pStyle w:val="Heading2"/>
        <w:ind w:firstLine="0"/>
        <w:jc w:val="left"/>
      </w:pPr>
      <w:r>
        <w:rPr>
          <w:rFonts w:ascii="Times New Roman" w:hAnsi="Times New Roman"/>
          <w:b/>
        </w:rPr>
        <w:t>8.7 Coefficient-level tests: are the numbers we care about real?</w:t>
      </w:r>
    </w:p>
    <w:p>
      <w:pPr>
        <w:pStyle w:val="Heading3"/>
        <w:ind w:firstLine="0"/>
        <w:jc w:val="left"/>
      </w:pPr>
      <w:r>
        <w:rPr>
          <w:rFonts w:ascii="Times New Roman" w:hAnsi="Times New Roman"/>
          <w:b/>
        </w:rPr>
        <w:t>Wald test on CPT+ and CPT−</w:t>
      </w:r>
    </w:p>
    <w:p>
      <w:pPr>
        <w:pStyle w:val="ListBullet"/>
        <w:spacing w:after="40" w:line="300" w:lineRule="auto"/>
        <w:ind w:firstLine="0"/>
      </w:pPr>
      <w:r>
        <w:rPr>
          <w:rFonts w:ascii="Times New Roman" w:hAnsi="Times New Roman" w:cs="Times New Roman" w:eastAsia="Times New Roman"/>
          <w:b w:val="0"/>
          <w:i w:val="0"/>
          <w:sz w:val="23"/>
        </w:rPr>
        <w:t>What it checks: is the cumulative pass-through statistically different from zero? And is CPT+ equal to CPT−?</w:t>
      </w:r>
    </w:p>
    <w:p>
      <w:pPr>
        <w:pStyle w:val="ListBullet"/>
        <w:spacing w:after="40" w:line="300" w:lineRule="auto"/>
        <w:ind w:firstLine="0"/>
      </w:pPr>
      <w:r>
        <w:rPr>
          <w:rFonts w:ascii="Times New Roman" w:hAnsi="Times New Roman" w:cs="Times New Roman" w:eastAsia="Times New Roman"/>
          <w:b w:val="0"/>
          <w:i w:val="0"/>
          <w:sz w:val="23"/>
        </w:rPr>
        <w:t>H0 for significance: CPT+ = 0 (or CPT− = 0).</w:t>
      </w:r>
    </w:p>
    <w:p>
      <w:pPr>
        <w:pStyle w:val="ListBullet"/>
        <w:spacing w:after="40" w:line="300" w:lineRule="auto"/>
        <w:ind w:firstLine="0"/>
      </w:pPr>
      <w:r>
        <w:rPr>
          <w:rFonts w:ascii="Times New Roman" w:hAnsi="Times New Roman" w:cs="Times New Roman" w:eastAsia="Times New Roman"/>
          <w:b w:val="0"/>
          <w:i w:val="0"/>
          <w:sz w:val="23"/>
        </w:rPr>
        <w:t>H0 for symmetry: CPT+ = CPT−.</w:t>
      </w:r>
    </w:p>
    <w:p>
      <w:pPr>
        <w:pStyle w:val="ListBullet"/>
        <w:spacing w:after="40" w:line="300" w:lineRule="auto"/>
        <w:ind w:firstLine="0"/>
      </w:pPr>
      <w:r>
        <w:rPr>
          <w:rFonts w:ascii="Times New Roman" w:hAnsi="Times New Roman" w:cs="Times New Roman" w:eastAsia="Times New Roman"/>
          <w:b w:val="0"/>
          <w:i w:val="0"/>
          <w:sz w:val="23"/>
        </w:rPr>
        <w:t>Rule: small p for significance = real effect. Small p for symmetry = positive and negative shocks pass through differently.</w:t>
      </w:r>
    </w:p>
    <w:p>
      <w:pPr>
        <w:pStyle w:val="ListBullet"/>
        <w:spacing w:after="40" w:line="300" w:lineRule="auto"/>
        <w:ind w:firstLine="0"/>
      </w:pPr>
      <w:r>
        <w:rPr>
          <w:rFonts w:ascii="Times New Roman" w:hAnsi="Times New Roman" w:cs="Times New Roman" w:eastAsia="Times New Roman"/>
          <w:b w:val="0"/>
          <w:i w:val="0"/>
          <w:sz w:val="23"/>
        </w:rPr>
        <w:t>Memory hook: a Wald test is like a ruler that measures how many standard errors away from the null our estimate is. Far away = small p.</w:t>
      </w:r>
    </w:p>
    <w:p>
      <w:pPr>
        <w:pStyle w:val="Heading3"/>
        <w:ind w:firstLine="0"/>
        <w:jc w:val="left"/>
      </w:pPr>
      <w:r>
        <w:rPr>
          <w:rFonts w:ascii="Times New Roman" w:hAnsi="Times New Roman"/>
          <w:b/>
        </w:rPr>
        <w:t>Attenuation Wald test (the headline test of the paper)</w:t>
      </w:r>
    </w:p>
    <w:p>
      <w:pPr>
        <w:pStyle w:val="ListBullet"/>
        <w:spacing w:after="40" w:line="300" w:lineRule="auto"/>
        <w:ind w:firstLine="0"/>
      </w:pPr>
      <w:r>
        <w:rPr>
          <w:rFonts w:ascii="Times New Roman" w:hAnsi="Times New Roman" w:cs="Times New Roman" w:eastAsia="Times New Roman"/>
          <w:b w:val="0"/>
          <w:i w:val="0"/>
          <w:sz w:val="23"/>
        </w:rPr>
        <w:t>What it checks: is Stage 1 pass-through (Brent to retail petrol) equal to Stage 3 pass-through (rupee oil to headline CPI)?</w:t>
      </w:r>
    </w:p>
    <w:p>
      <w:pPr>
        <w:pStyle w:val="ListBullet"/>
        <w:spacing w:after="40" w:line="300" w:lineRule="auto"/>
        <w:ind w:firstLine="0"/>
      </w:pPr>
      <w:r>
        <w:rPr>
          <w:rFonts w:ascii="Times New Roman" w:hAnsi="Times New Roman" w:cs="Times New Roman" w:eastAsia="Times New Roman"/>
          <w:b w:val="0"/>
          <w:i w:val="0"/>
          <w:sz w:val="23"/>
        </w:rPr>
        <w:t>H0: Stage 1 CPT+ = Stage 3 CPT+.</w:t>
      </w:r>
    </w:p>
    <w:p>
      <w:pPr>
        <w:pStyle w:val="ListBullet"/>
        <w:spacing w:after="40" w:line="300" w:lineRule="auto"/>
        <w:ind w:firstLine="0"/>
      </w:pPr>
      <w:r>
        <w:rPr>
          <w:rFonts w:ascii="Times New Roman" w:hAnsi="Times New Roman" w:cs="Times New Roman" w:eastAsia="Times New Roman"/>
          <w:b w:val="0"/>
          <w:i w:val="0"/>
          <w:sz w:val="23"/>
        </w:rPr>
        <w:t>Result: F = 14.3499, p = 0.0002. Reject.</w:t>
      </w:r>
    </w:p>
    <w:p>
      <w:pPr>
        <w:pStyle w:val="ListBullet"/>
        <w:spacing w:after="40" w:line="300" w:lineRule="auto"/>
        <w:ind w:firstLine="0"/>
      </w:pPr>
      <w:r>
        <w:rPr>
          <w:rFonts w:ascii="Times New Roman" w:hAnsi="Times New Roman" w:cs="Times New Roman" w:eastAsia="Times New Roman"/>
          <w:b w:val="0"/>
          <w:i w:val="0"/>
          <w:sz w:val="23"/>
        </w:rPr>
        <w:t>Meaning: the fall in pass-through from retail petrol to headline CPI is too big to be random. Attenuation is statistically real.</w:t>
      </w:r>
    </w:p>
    <w:p>
      <w:pPr>
        <w:pStyle w:val="Heading2"/>
        <w:ind w:firstLine="0"/>
        <w:jc w:val="left"/>
      </w:pPr>
      <w:r>
        <w:rPr>
          <w:rFonts w:ascii="Times New Roman" w:hAnsi="Times New Roman"/>
          <w:b/>
        </w:rPr>
        <w:t>8.8 Bootstrap symmetry test, in plain language</w:t>
      </w:r>
    </w:p>
    <w:p>
      <w:pPr>
        <w:pStyle w:val="ListBullet"/>
        <w:spacing w:after="40" w:line="300" w:lineRule="auto"/>
        <w:ind w:firstLine="0"/>
      </w:pPr>
      <w:r>
        <w:rPr>
          <w:rFonts w:ascii="Times New Roman" w:hAnsi="Times New Roman" w:cs="Times New Roman" w:eastAsia="Times New Roman"/>
          <w:b w:val="0"/>
          <w:i w:val="0"/>
          <w:sz w:val="23"/>
        </w:rPr>
        <w:t>What it checks: the same H0 as the Wald symmetry test (CPT+ = CPT−), but without relying on large-sample theory for the p-value.</w:t>
      </w:r>
    </w:p>
    <w:p>
      <w:pPr>
        <w:pStyle w:val="ListBullet"/>
        <w:spacing w:after="40" w:line="300" w:lineRule="auto"/>
        <w:ind w:firstLine="0"/>
      </w:pPr>
      <w:r>
        <w:rPr>
          <w:rFonts w:ascii="Times New Roman" w:hAnsi="Times New Roman" w:cs="Times New Roman" w:eastAsia="Times New Roman"/>
          <w:b w:val="0"/>
          <w:i w:val="0"/>
          <w:sz w:val="23"/>
        </w:rPr>
        <w:t>How it works: resample the residuals (in blocks, circularly) 4,999 times under the imposed null, re-compute the statistic each time, and count how often a fake statistic is as extreme as the real one. That fraction IS the bootstrap p-value.</w:t>
      </w:r>
    </w:p>
    <w:p>
      <w:pPr>
        <w:pStyle w:val="ListBullet"/>
        <w:spacing w:after="40" w:line="300" w:lineRule="auto"/>
        <w:ind w:firstLine="0"/>
      </w:pPr>
      <w:r>
        <w:rPr>
          <w:rFonts w:ascii="Times New Roman" w:hAnsi="Times New Roman" w:cs="Times New Roman" w:eastAsia="Times New Roman"/>
          <w:b w:val="0"/>
          <w:i w:val="0"/>
          <w:sz w:val="23"/>
        </w:rPr>
        <w:t>Why we do it: monthly samples are not infinite, so asymptotic p-values can be a little off. The bootstrap gives a second opinion that does not depend on the asymptotic distribution.</w:t>
      </w:r>
    </w:p>
    <w:p>
      <w:pPr>
        <w:pStyle w:val="ListBullet"/>
        <w:spacing w:after="40" w:line="300" w:lineRule="auto"/>
        <w:ind w:firstLine="0"/>
      </w:pPr>
      <w:r>
        <w:rPr>
          <w:rFonts w:ascii="Times New Roman" w:hAnsi="Times New Roman" w:cs="Times New Roman" w:eastAsia="Times New Roman"/>
          <w:b w:val="0"/>
          <w:i w:val="0"/>
          <w:sz w:val="23"/>
        </w:rPr>
        <w:t>Memory hook: bootstrap = ‘shuffle the data under the null, see how lucky we would need to be to get our real estimate’.</w:t>
      </w:r>
    </w:p>
    <w:p>
      <w:pPr>
        <w:pStyle w:val="Heading2"/>
        <w:ind w:firstLine="0"/>
        <w:jc w:val="left"/>
      </w:pPr>
      <w:r>
        <w:rPr>
          <w:rFonts w:ascii="Times New Roman" w:hAnsi="Times New Roman"/>
          <w:b/>
        </w:rPr>
        <w:t>8.9 Granger causality test, in plain language</w:t>
      </w:r>
    </w:p>
    <w:p>
      <w:pPr>
        <w:pStyle w:val="ListBullet"/>
        <w:spacing w:after="40" w:line="300" w:lineRule="auto"/>
        <w:ind w:firstLine="0"/>
      </w:pPr>
      <w:r>
        <w:rPr>
          <w:rFonts w:ascii="Times New Roman" w:hAnsi="Times New Roman" w:cs="Times New Roman" w:eastAsia="Times New Roman"/>
          <w:b w:val="0"/>
          <w:i w:val="0"/>
          <w:sz w:val="23"/>
        </w:rPr>
        <w:t>What it checks: if we already know past values of Y, does adding past values of X help us forecast Y better?</w:t>
      </w:r>
    </w:p>
    <w:p>
      <w:pPr>
        <w:pStyle w:val="ListBullet"/>
        <w:spacing w:after="40" w:line="300" w:lineRule="auto"/>
        <w:ind w:firstLine="0"/>
      </w:pPr>
      <w:r>
        <w:rPr>
          <w:rFonts w:ascii="Times New Roman" w:hAnsi="Times New Roman" w:cs="Times New Roman" w:eastAsia="Times New Roman"/>
          <w:b w:val="0"/>
          <w:i w:val="0"/>
          <w:sz w:val="23"/>
        </w:rPr>
        <w:t>H0: past values of X do not help forecast Y (X does not Granger-cause Y).</w:t>
      </w:r>
    </w:p>
    <w:p>
      <w:pPr>
        <w:pStyle w:val="ListBullet"/>
        <w:spacing w:after="40" w:line="300" w:lineRule="auto"/>
        <w:ind w:firstLine="0"/>
      </w:pPr>
      <w:r>
        <w:rPr>
          <w:rFonts w:ascii="Times New Roman" w:hAnsi="Times New Roman" w:cs="Times New Roman" w:eastAsia="Times New Roman"/>
          <w:b w:val="0"/>
          <w:i w:val="0"/>
          <w:sz w:val="23"/>
        </w:rPr>
        <w:t>Rule: small p = X does help = X Granger-causes Y.</w:t>
      </w:r>
    </w:p>
    <w:p>
      <w:pPr>
        <w:pStyle w:val="ListBullet"/>
        <w:spacing w:after="40" w:line="300" w:lineRule="auto"/>
        <w:ind w:firstLine="0"/>
      </w:pPr>
      <w:r>
        <w:rPr>
          <w:rFonts w:ascii="Times New Roman" w:hAnsi="Times New Roman" w:cs="Times New Roman" w:eastAsia="Times New Roman"/>
          <w:b w:val="0"/>
          <w:i w:val="0"/>
          <w:sz w:val="23"/>
        </w:rPr>
        <w:t>Careful: Granger causality is about prediction, NOT real causation. Two variables can Granger-cause each other and still be driven by a third cause.</w:t>
      </w:r>
    </w:p>
    <w:p>
      <w:pPr>
        <w:pStyle w:val="ListBullet"/>
        <w:spacing w:after="40" w:line="300" w:lineRule="auto"/>
        <w:ind w:firstLine="0"/>
      </w:pPr>
      <w:r>
        <w:rPr>
          <w:rFonts w:ascii="Times New Roman" w:hAnsi="Times New Roman" w:cs="Times New Roman" w:eastAsia="Times New Roman"/>
          <w:b w:val="0"/>
          <w:i w:val="0"/>
          <w:sz w:val="23"/>
        </w:rPr>
        <w:t>Memory hook: Granger tests ‘does knowing X's past make forecasts of Y sharper?’.</w:t>
      </w:r>
    </w:p>
    <w:p>
      <w:pPr>
        <w:pStyle w:val="Heading2"/>
        <w:ind w:firstLine="0"/>
        <w:jc w:val="left"/>
      </w:pPr>
      <w:r>
        <w:rPr>
          <w:rFonts w:ascii="Times New Roman" w:hAnsi="Times New Roman"/>
          <w:b/>
        </w:rPr>
        <w:t>8.10 Other robustness tests you should know by name</w:t>
      </w:r>
    </w:p>
    <w:p>
      <w:pPr>
        <w:pStyle w:val="Heading3"/>
        <w:ind w:firstLine="0"/>
        <w:jc w:val="left"/>
      </w:pPr>
      <w:r>
        <w:rPr>
          <w:rFonts w:ascii="Times New Roman" w:hAnsi="Times New Roman"/>
          <w:b/>
        </w:rPr>
        <w:t>Lag-sensitivity check</w:t>
      </w:r>
    </w:p>
    <w:p>
      <w:pPr>
        <w:pStyle w:val="ListBullet"/>
        <w:spacing w:after="40" w:line="300" w:lineRule="auto"/>
        <w:ind w:firstLine="0"/>
      </w:pPr>
      <w:r>
        <w:rPr>
          <w:rFonts w:ascii="Times New Roman" w:hAnsi="Times New Roman" w:cs="Times New Roman" w:eastAsia="Times New Roman"/>
          <w:b w:val="0"/>
          <w:i w:val="0"/>
          <w:sz w:val="23"/>
        </w:rPr>
        <w:t>What we do: re-estimate the model with shock lag q set to 4, 5, 6, 7, 8 one by one.</w:t>
      </w:r>
    </w:p>
    <w:p>
      <w:pPr>
        <w:pStyle w:val="ListBullet"/>
        <w:spacing w:after="40" w:line="300" w:lineRule="auto"/>
        <w:ind w:firstLine="0"/>
      </w:pPr>
      <w:r>
        <w:rPr>
          <w:rFonts w:ascii="Times New Roman" w:hAnsi="Times New Roman" w:cs="Times New Roman" w:eastAsia="Times New Roman"/>
          <w:b w:val="0"/>
          <w:i w:val="0"/>
          <w:sz w:val="23"/>
        </w:rPr>
        <w:t>Why: to make sure the main results are not a single accident of choosing q = 6.</w:t>
      </w:r>
    </w:p>
    <w:p>
      <w:pPr>
        <w:pStyle w:val="ListBullet"/>
        <w:spacing w:after="40" w:line="300" w:lineRule="auto"/>
        <w:ind w:firstLine="0"/>
      </w:pPr>
      <w:r>
        <w:rPr>
          <w:rFonts w:ascii="Times New Roman" w:hAnsi="Times New Roman" w:cs="Times New Roman" w:eastAsia="Times New Roman"/>
          <w:b w:val="0"/>
          <w:i w:val="0"/>
          <w:sz w:val="23"/>
        </w:rPr>
        <w:t>In our paper: the ranking in the main table does not change when q varies in that range.</w:t>
      </w:r>
    </w:p>
    <w:p>
      <w:pPr>
        <w:pStyle w:val="Heading3"/>
        <w:ind w:firstLine="0"/>
        <w:jc w:val="left"/>
      </w:pPr>
      <w:r>
        <w:rPr>
          <w:rFonts w:ascii="Times New Roman" w:hAnsi="Times New Roman"/>
          <w:b/>
        </w:rPr>
        <w:t>Winsorising at 1 and 99 per cent</w:t>
      </w:r>
    </w:p>
    <w:p>
      <w:pPr>
        <w:pStyle w:val="ListBullet"/>
        <w:spacing w:after="40" w:line="300" w:lineRule="auto"/>
        <w:ind w:firstLine="0"/>
      </w:pPr>
      <w:r>
        <w:rPr>
          <w:rFonts w:ascii="Times New Roman" w:hAnsi="Times New Roman" w:cs="Times New Roman" w:eastAsia="Times New Roman"/>
          <w:b w:val="0"/>
          <w:i w:val="0"/>
          <w:sz w:val="23"/>
        </w:rPr>
        <w:t>What we do: cap extreme values in the dependent variable at the first and ninety-ninth percentiles. A point above the 99th percentile is pulled down to the 99th percentile value; below the 1st is pulled up.</w:t>
      </w:r>
    </w:p>
    <w:p>
      <w:pPr>
        <w:pStyle w:val="ListBullet"/>
        <w:spacing w:after="40" w:line="300" w:lineRule="auto"/>
        <w:ind w:firstLine="0"/>
      </w:pPr>
      <w:r>
        <w:rPr>
          <w:rFonts w:ascii="Times New Roman" w:hAnsi="Times New Roman" w:cs="Times New Roman" w:eastAsia="Times New Roman"/>
          <w:b w:val="0"/>
          <w:i w:val="0"/>
          <w:sz w:val="23"/>
        </w:rPr>
        <w:t>Why: extreme shocks like COVID can distort one or two coefficients out of proportion. Capping reduces their leverage without dropping observations.</w:t>
      </w:r>
    </w:p>
    <w:p>
      <w:pPr>
        <w:pStyle w:val="ListBullet"/>
        <w:spacing w:after="40" w:line="300" w:lineRule="auto"/>
        <w:ind w:firstLine="0"/>
      </w:pPr>
      <w:r>
        <w:rPr>
          <w:rFonts w:ascii="Times New Roman" w:hAnsi="Times New Roman" w:cs="Times New Roman" w:eastAsia="Times New Roman"/>
          <w:b w:val="0"/>
          <w:i w:val="0"/>
          <w:sz w:val="23"/>
        </w:rPr>
        <w:t>In our paper: winsorised estimates give the same qualitative headline CPI conclusion.</w:t>
      </w:r>
    </w:p>
    <w:p>
      <w:pPr>
        <w:pStyle w:val="Heading3"/>
        <w:ind w:firstLine="0"/>
        <w:jc w:val="left"/>
      </w:pPr>
      <w:r>
        <w:rPr>
          <w:rFonts w:ascii="Times New Roman" w:hAnsi="Times New Roman"/>
          <w:b/>
        </w:rPr>
        <w:t>COVID-exclusion check</w:t>
      </w:r>
    </w:p>
    <w:p>
      <w:pPr>
        <w:pStyle w:val="ListBullet"/>
        <w:spacing w:after="40" w:line="300" w:lineRule="auto"/>
        <w:ind w:firstLine="0"/>
      </w:pPr>
      <w:r>
        <w:rPr>
          <w:rFonts w:ascii="Times New Roman" w:hAnsi="Times New Roman" w:cs="Times New Roman" w:eastAsia="Times New Roman"/>
          <w:b w:val="0"/>
          <w:i w:val="0"/>
          <w:sz w:val="23"/>
        </w:rPr>
        <w:t>What we do: re-estimate with the COVID months removed from the sample.</w:t>
      </w:r>
    </w:p>
    <w:p>
      <w:pPr>
        <w:pStyle w:val="ListBullet"/>
        <w:spacing w:after="40" w:line="300" w:lineRule="auto"/>
        <w:ind w:firstLine="0"/>
      </w:pPr>
      <w:r>
        <w:rPr>
          <w:rFonts w:ascii="Times New Roman" w:hAnsi="Times New Roman" w:cs="Times New Roman" w:eastAsia="Times New Roman"/>
          <w:b w:val="0"/>
          <w:i w:val="0"/>
          <w:sz w:val="23"/>
        </w:rPr>
        <w:t>Why: separate test of whether COVID is driving the main estimates.</w:t>
      </w:r>
    </w:p>
    <w:p>
      <w:pPr>
        <w:pStyle w:val="ListBullet"/>
        <w:spacing w:after="40" w:line="300" w:lineRule="auto"/>
        <w:ind w:firstLine="0"/>
      </w:pPr>
      <w:r>
        <w:rPr>
          <w:rFonts w:ascii="Times New Roman" w:hAnsi="Times New Roman" w:cs="Times New Roman" w:eastAsia="Times New Roman"/>
          <w:b w:val="0"/>
          <w:i w:val="0"/>
          <w:sz w:val="23"/>
        </w:rPr>
        <w:t>In our paper: excluding COVID does not overturn the weak headline CPI result.</w:t>
      </w:r>
    </w:p>
    <w:p>
      <w:pPr>
        <w:pStyle w:val="Heading3"/>
        <w:ind w:firstLine="0"/>
        <w:jc w:val="left"/>
      </w:pPr>
      <w:r>
        <w:rPr>
          <w:rFonts w:ascii="Times New Roman" w:hAnsi="Times New Roman"/>
          <w:b/>
        </w:rPr>
        <w:t>Rolling-window estimation</w:t>
      </w:r>
    </w:p>
    <w:p>
      <w:pPr>
        <w:pStyle w:val="ListBullet"/>
        <w:spacing w:after="40" w:line="300" w:lineRule="auto"/>
        <w:ind w:firstLine="0"/>
      </w:pPr>
      <w:r>
        <w:rPr>
          <w:rFonts w:ascii="Times New Roman" w:hAnsi="Times New Roman" w:cs="Times New Roman" w:eastAsia="Times New Roman"/>
          <w:b w:val="0"/>
          <w:i w:val="0"/>
          <w:sz w:val="23"/>
        </w:rPr>
        <w:t>What we do: fit the model on a moving window (for example, 120 months at a time) and slide the window forward month by month.</w:t>
      </w:r>
    </w:p>
    <w:p>
      <w:pPr>
        <w:pStyle w:val="ListBullet"/>
        <w:spacing w:after="40" w:line="300" w:lineRule="auto"/>
        <w:ind w:firstLine="0"/>
      </w:pPr>
      <w:r>
        <w:rPr>
          <w:rFonts w:ascii="Times New Roman" w:hAnsi="Times New Roman" w:cs="Times New Roman" w:eastAsia="Times New Roman"/>
          <w:b w:val="0"/>
          <w:i w:val="0"/>
          <w:sz w:val="23"/>
        </w:rPr>
        <w:t>Why: to see whether the coefficient moves smoothly or breaks sharply over time.</w:t>
      </w:r>
    </w:p>
    <w:p>
      <w:pPr>
        <w:pStyle w:val="ListBullet"/>
        <w:spacing w:after="40" w:line="300" w:lineRule="auto"/>
        <w:ind w:firstLine="0"/>
      </w:pPr>
      <w:r>
        <w:rPr>
          <w:rFonts w:ascii="Times New Roman" w:hAnsi="Times New Roman" w:cs="Times New Roman" w:eastAsia="Times New Roman"/>
          <w:b w:val="0"/>
          <w:i w:val="0"/>
          <w:sz w:val="23"/>
        </w:rPr>
        <w:t>In our paper: the headline CPI cumulative pass-through hovers near the central estimate without crossing into significance at conventional levels.</w:t>
      </w:r>
    </w:p>
    <w:p>
      <w:pPr>
        <w:pStyle w:val="Heading3"/>
        <w:ind w:firstLine="0"/>
        <w:jc w:val="left"/>
      </w:pPr>
      <w:r>
        <w:rPr>
          <w:rFonts w:ascii="Times New Roman" w:hAnsi="Times New Roman"/>
          <w:b/>
        </w:rPr>
        <w:t>Brent plus exchange-rate decomposition</w:t>
      </w:r>
    </w:p>
    <w:p>
      <w:pPr>
        <w:pStyle w:val="ListBullet"/>
        <w:spacing w:after="40" w:line="300" w:lineRule="auto"/>
        <w:ind w:firstLine="0"/>
      </w:pPr>
      <w:r>
        <w:rPr>
          <w:rFonts w:ascii="Times New Roman" w:hAnsi="Times New Roman" w:cs="Times New Roman" w:eastAsia="Times New Roman"/>
          <w:b w:val="0"/>
          <w:i w:val="0"/>
          <w:sz w:val="23"/>
        </w:rPr>
        <w:t>What we do: instead of using the rupee oil shock as one variable, use Brent and the exchange-rate change as two separate right-hand-side variables.</w:t>
      </w:r>
    </w:p>
    <w:p>
      <w:pPr>
        <w:pStyle w:val="ListBullet"/>
        <w:spacing w:after="40" w:line="300" w:lineRule="auto"/>
        <w:ind w:firstLine="0"/>
      </w:pPr>
      <w:r>
        <w:rPr>
          <w:rFonts w:ascii="Times New Roman" w:hAnsi="Times New Roman" w:cs="Times New Roman" w:eastAsia="Times New Roman"/>
          <w:b w:val="0"/>
          <w:i w:val="0"/>
          <w:sz w:val="23"/>
        </w:rPr>
        <w:t>Why: to check that the main conclusion does not hinge on how the shock is bundled.</w:t>
      </w:r>
    </w:p>
    <w:p>
      <w:pPr>
        <w:pStyle w:val="ListBullet"/>
        <w:spacing w:after="40" w:line="300" w:lineRule="auto"/>
        <w:ind w:firstLine="0"/>
      </w:pPr>
      <w:r>
        <w:rPr>
          <w:rFonts w:ascii="Times New Roman" w:hAnsi="Times New Roman" w:cs="Times New Roman" w:eastAsia="Times New Roman"/>
          <w:b w:val="0"/>
          <w:i w:val="0"/>
          <w:sz w:val="23"/>
        </w:rPr>
        <w:t>In our paper: decomposed estimates for headline WPI are very close to the rupee-shock estimates. Conclusion does not depend on bundling.</w:t>
      </w:r>
    </w:p>
    <w:p>
      <w:pPr>
        <w:pStyle w:val="Heading2"/>
        <w:ind w:firstLine="0"/>
        <w:jc w:val="left"/>
      </w:pPr>
      <w:r>
        <w:rPr>
          <w:rFonts w:ascii="Times New Roman" w:hAnsi="Times New Roman"/>
          <w:b/>
        </w:rPr>
        <w:t>8.11 One-page memory card: every test in one table</w:t>
      </w:r>
    </w:p>
    <w:p>
      <w:pPr>
        <w:pStyle w:val="Caption"/>
        <w:ind w:firstLine="0"/>
        <w:jc w:val="left"/>
      </w:pPr>
      <w:r>
        <w:rPr>
          <w:rFonts w:ascii="Times New Roman" w:hAnsi="Times New Roman" w:cs="Times New Roman" w:eastAsia="Times New Roman"/>
          <w:b/>
          <w:i w:val="0"/>
          <w:sz w:val="21"/>
        </w:rPr>
        <w:t>Table 8.3. Every test in the paper, its null, and how to read a small p-value.</w:t>
      </w:r>
    </w:p>
    <w:tbl>
      <w:tblPr>
        <w:tblStyle w:val="TableGrid"/>
        <w:tblW w:type="auto" w:w="0"/>
        <w:jc w:val="center"/>
        <w:tblLayout w:type="fixed"/>
        <w:tblLook w:firstColumn="1" w:firstRow="1" w:lastColumn="0" w:lastRow="0" w:noHBand="0" w:noVBand="1" w:val="04A0"/>
        <w:tblLayout w:type="fixed"/>
      </w:tblPr>
      <w:tblGrid>
        <w:gridCol w:w="2655"/>
        <w:gridCol w:w="3053"/>
        <w:gridCol w:w="3318"/>
      </w:tblGrid>
      <w:tr>
        <w:trPr>
          <w:cantSplit/>
          <w:tblHeader/>
        </w:trPr>
        <w:tc>
          <w:tcPr>
            <w:tcW w:type="dxa" w:w="265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Test</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H0 (null)</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Small p means</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ADF</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Unit root</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Stationary (good)</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PP</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Unit root</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Stationary (good)</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KPSS</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Stationary</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Unit root (bad for levels)</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Zivot-Andrews</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Unit root (with break allowed)</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Stationary with a break</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Bai-Perron</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No structural break</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Break detected</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Breusch-Godfrey (BG)</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No residual autocorrelation</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Leftover pattern in residuals (bad)</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Breusch-Pagan (BP)</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Homoskedastic residuals</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Residual variance unstable</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Jarque-Bera (JB)</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Residuals are normal</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Non-normal residuals</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HAC-RESET</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Functional form is correct</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Missing nonlinearity (bad)</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Recursive CUSUM</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Coefficients are stable</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Parameter drift (bad)</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Wald (significance)</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Coefficient = 0</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Coefficient is real</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Wald (symmetry)</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CPT+ = CPT−</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Asymmetric pass-through</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Wald (attenuation)</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Stage 1 CPT+ = Stage 3 CPT+</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Attenuation is real</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Granger</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X does not help forecast Y</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X Granger-causes Y</w:t>
            </w:r>
          </w:p>
        </w:tc>
      </w:tr>
      <w:tr>
        <w:trPr>
          <w:cantSplit/>
        </w:trPr>
        <w:tc>
          <w:tcPr>
            <w:tcW w:type="dxa" w:w="2655"/>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Bootstrap symmetry</w:t>
            </w:r>
          </w:p>
        </w:tc>
        <w:tc>
          <w:tcPr>
            <w:tcW w:type="dxa" w:w="3053"/>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CPT+ = CPT−</w:t>
            </w:r>
          </w:p>
        </w:tc>
        <w:tc>
          <w:tcPr>
            <w:tcW w:type="dxa" w:w="3318"/>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Asymmetric pass-through (robust check)</w:t>
            </w:r>
          </w:p>
        </w:tc>
      </w:tr>
    </w:tbl>
    <w:p>
      <w:pPr>
        <w:spacing w:before="120" w:after="120"/>
        <w:ind w:firstLine="0" w:left="144" w:right="144"/>
        <w:shd w:val="clear" w:color="auto" w:fill="EEF2FA"/>
      </w:pPr>
      <w:r>
        <w:rPr>
          <w:rFonts w:ascii="Times New Roman" w:hAnsi="Times New Roman" w:cs="Times New Roman" w:eastAsia="Times New Roman"/>
          <w:b/>
          <w:i w:val="0"/>
          <w:sz w:val="22"/>
        </w:rPr>
        <w:t xml:space="preserve">Five-second revision before the viva: </w:t>
      </w:r>
      <w:r>
        <w:rPr>
          <w:rFonts w:ascii="Times New Roman" w:hAnsi="Times New Roman" w:cs="Times New Roman" w:eastAsia="Times New Roman"/>
          <w:b w:val="0"/>
          <w:i/>
          <w:sz w:val="22"/>
        </w:rPr>
        <w:t>ADF/PP reject = stationary, KPSS reject = bad. BG/RESET/CUSUM reject = bad. Wald reject = real effect. Granger reject = predictive link. For WPI Fuel and Power we shortened to post-2010 and dropped Apr-Sep 2020 so HAC-RESET passes.</w:t>
      </w:r>
      <w:r>
        <w:br w:type="page"/>
      </w:r>
    </w:p>
    <w:p>
      <w:pPr>
        <w:pStyle w:val="Heading1"/>
        <w:ind w:firstLine="0"/>
        <w:jc w:val="left"/>
      </w:pPr>
      <w:r>
        <w:rPr>
          <w:rFonts w:ascii="Times New Roman" w:hAnsi="Times New Roman"/>
          <w:b/>
        </w:rPr>
        <w:t>Part 9. Results: what the numbers say, layer by layer</w:t>
      </w:r>
    </w:p>
    <w:p>
      <w:pPr>
        <w:pStyle w:val="Heading2"/>
        <w:ind w:firstLine="0"/>
        <w:jc w:val="left"/>
      </w:pPr>
      <w:r>
        <w:rPr>
          <w:rFonts w:ascii="Times New Roman" w:hAnsi="Times New Roman"/>
          <w:b/>
        </w:rPr>
        <w:t>9.1 One table with every main number</w:t>
      </w:r>
    </w:p>
    <w:p>
      <w:pPr>
        <w:pStyle w:val="Caption"/>
        <w:ind w:firstLine="0"/>
        <w:jc w:val="left"/>
      </w:pPr>
      <w:r>
        <w:rPr>
          <w:rFonts w:ascii="Times New Roman" w:hAnsi="Times New Roman" w:cs="Times New Roman" w:eastAsia="Times New Roman"/>
          <w:b/>
          <w:i w:val="0"/>
          <w:sz w:val="21"/>
        </w:rPr>
        <w:t>Table 9.1. Cumulative pass-through across all five layers.</w:t>
      </w:r>
    </w:p>
    <w:tbl>
      <w:tblPr>
        <w:tblStyle w:val="TableGrid"/>
        <w:tblW w:type="auto" w:w="0"/>
        <w:jc w:val="center"/>
        <w:tblLayout w:type="fixed"/>
        <w:tblLook w:firstColumn="1" w:firstRow="1" w:lastColumn="0" w:lastRow="0" w:noHBand="0" w:noVBand="1" w:val="04A0"/>
        <w:tblLayout w:type="fixed"/>
      </w:tblPr>
      <w:tblGrid>
        <w:gridCol w:w="2074"/>
        <w:gridCol w:w="1464"/>
        <w:gridCol w:w="427"/>
        <w:gridCol w:w="610"/>
        <w:gridCol w:w="610"/>
        <w:gridCol w:w="610"/>
        <w:gridCol w:w="610"/>
        <w:gridCol w:w="671"/>
        <w:gridCol w:w="1952"/>
      </w:tblGrid>
      <w:tr>
        <w:trPr>
          <w:cantSplit/>
          <w:tblHeader/>
        </w:trPr>
        <w:tc>
          <w:tcPr>
            <w:tcW w:type="dxa" w:w="207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Layer</w:t>
            </w:r>
          </w:p>
        </w:tc>
        <w:tc>
          <w:tcPr>
            <w:tcW w:type="dxa" w:w="146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Sample</w:t>
            </w:r>
          </w:p>
        </w:tc>
        <w:tc>
          <w:tcPr>
            <w:tcW w:type="dxa" w:w="42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N</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CPT+</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p</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CPT−</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p</w:t>
            </w:r>
          </w:p>
        </w:tc>
        <w:tc>
          <w:tcPr>
            <w:tcW w:type="dxa" w:w="671"/>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Asym. p</w:t>
            </w:r>
          </w:p>
        </w:tc>
        <w:tc>
          <w:tcPr>
            <w:tcW w:type="dxa" w:w="19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7"/>
              </w:rPr>
              <w:t>Verdict</w:t>
            </w:r>
          </w:p>
        </w:tc>
      </w:tr>
      <w:tr>
        <w:trPr>
          <w:cantSplit/>
        </w:trPr>
        <w:tc>
          <w:tcPr>
            <w:tcW w:type="dxa" w:w="2074"/>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7"/>
              </w:rPr>
              <w:t>PPAC retail petrol</w:t>
            </w:r>
          </w:p>
        </w:tc>
        <w:tc>
          <w:tcPr>
            <w:tcW w:type="dxa" w:w="146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2004-08 to 2024-12</w:t>
            </w:r>
          </w:p>
        </w:tc>
        <w:tc>
          <w:tcPr>
            <w:tcW w:type="dxa" w:w="42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245</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0.3459</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&lt;0.001</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0.1912</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0.0002</w:t>
            </w:r>
          </w:p>
        </w:tc>
        <w:tc>
          <w:tcPr>
            <w:tcW w:type="dxa" w:w="671"/>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0.0999</w:t>
            </w:r>
          </w:p>
        </w:tc>
        <w:tc>
          <w:tcPr>
            <w:tcW w:type="dxa" w:w="19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Strong direct fuel; marginal asymmetry</w:t>
            </w:r>
          </w:p>
        </w:tc>
      </w:tr>
      <w:tr>
        <w:trPr>
          <w:cantSplit/>
        </w:trPr>
        <w:tc>
          <w:tcPr>
            <w:tcW w:type="dxa" w:w="2074"/>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7"/>
              </w:rPr>
              <w:t>WPI Fuel and Power (preferred)</w:t>
            </w:r>
          </w:p>
        </w:tc>
        <w:tc>
          <w:tcPr>
            <w:tcW w:type="dxa" w:w="146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2010-04 to 2026-03</w:t>
            </w:r>
          </w:p>
        </w:tc>
        <w:tc>
          <w:tcPr>
            <w:tcW w:type="dxa" w:w="42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186</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0.5205</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&lt;0.001</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0.4195</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&lt;0.001</w:t>
            </w:r>
          </w:p>
        </w:tc>
        <w:tc>
          <w:tcPr>
            <w:tcW w:type="dxa" w:w="671"/>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0.1642</w:t>
            </w:r>
          </w:p>
        </w:tc>
        <w:tc>
          <w:tcPr>
            <w:tcW w:type="dxa" w:w="19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Preferred wholesale fuel; diagnostics pass</w:t>
            </w:r>
          </w:p>
        </w:tc>
      </w:tr>
      <w:tr>
        <w:trPr>
          <w:cantSplit/>
        </w:trPr>
        <w:tc>
          <w:tcPr>
            <w:tcW w:type="dxa" w:w="2074"/>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7"/>
              </w:rPr>
              <w:t>CPI Fuel and Light (bridge)</w:t>
            </w:r>
          </w:p>
        </w:tc>
        <w:tc>
          <w:tcPr>
            <w:tcW w:type="dxa" w:w="146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2011-05 to 2024-12</w:t>
            </w:r>
          </w:p>
        </w:tc>
        <w:tc>
          <w:tcPr>
            <w:tcW w:type="dxa" w:w="42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164</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0.1777</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0.0021</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0.1058</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0.1741</w:t>
            </w:r>
          </w:p>
        </w:tc>
        <w:tc>
          <w:tcPr>
            <w:tcW w:type="dxa" w:w="671"/>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0.4554</w:t>
            </w:r>
          </w:p>
        </w:tc>
        <w:tc>
          <w:tcPr>
            <w:tcW w:type="dxa" w:w="19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Bridge evidence; shorter sample</w:t>
            </w:r>
          </w:p>
        </w:tc>
      </w:tr>
      <w:tr>
        <w:trPr>
          <w:cantSplit/>
        </w:trPr>
        <w:tc>
          <w:tcPr>
            <w:tcW w:type="dxa" w:w="2074"/>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7"/>
              </w:rPr>
              <w:t>Headline WPI</w:t>
            </w:r>
          </w:p>
        </w:tc>
        <w:tc>
          <w:tcPr>
            <w:tcW w:type="dxa" w:w="146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1983-05 to 2026-03</w:t>
            </w:r>
          </w:p>
        </w:tc>
        <w:tc>
          <w:tcPr>
            <w:tcW w:type="dxa" w:w="42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515</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0.0301</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0.0240</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0.0374</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0.0012</w:t>
            </w:r>
          </w:p>
        </w:tc>
        <w:tc>
          <w:tcPr>
            <w:tcW w:type="dxa" w:w="671"/>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0.6727</w:t>
            </w:r>
          </w:p>
        </w:tc>
        <w:tc>
          <w:tcPr>
            <w:tcW w:type="dxa" w:w="19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Modest but significant</w:t>
            </w:r>
          </w:p>
        </w:tc>
      </w:tr>
      <w:tr>
        <w:trPr>
          <w:cantSplit/>
        </w:trPr>
        <w:tc>
          <w:tcPr>
            <w:tcW w:type="dxa" w:w="2074"/>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7"/>
              </w:rPr>
              <w:t>Headline CPI (M1)</w:t>
            </w:r>
          </w:p>
        </w:tc>
        <w:tc>
          <w:tcPr>
            <w:tcW w:type="dxa" w:w="1464"/>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2004-08 to 2024-12</w:t>
            </w:r>
          </w:p>
        </w:tc>
        <w:tc>
          <w:tcPr>
            <w:tcW w:type="dxa" w:w="42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245</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0.0213</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0.1220</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0.0006</w:t>
            </w:r>
          </w:p>
        </w:tc>
        <w:tc>
          <w:tcPr>
            <w:tcW w:type="dxa" w:w="61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0.9375</w:t>
            </w:r>
          </w:p>
        </w:tc>
        <w:tc>
          <w:tcPr>
            <w:tcW w:type="dxa" w:w="671"/>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0.2408</w:t>
            </w:r>
          </w:p>
        </w:tc>
        <w:tc>
          <w:tcPr>
            <w:tcW w:type="dxa" w:w="19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7"/>
              </w:rPr>
              <w:t>Weak, not significant</w:t>
            </w:r>
          </w:p>
        </w:tc>
      </w:tr>
    </w:tbl>
    <w:p>
      <w:pPr>
        <w:spacing w:before="40" w:after="160" w:line="240" w:lineRule="auto"/>
        <w:ind w:firstLine="0"/>
      </w:pPr>
      <w:r>
        <w:rPr>
          <w:rFonts w:ascii="Times New Roman" w:hAnsi="Times New Roman" w:cs="Times New Roman" w:eastAsia="Times New Roman"/>
          <w:b w:val="0"/>
          <w:i/>
          <w:sz w:val="18"/>
        </w:rPr>
        <w:t>Note: CPT+ sums the β</w:t>
      </w:r>
      <w:r>
        <w:rPr>
          <w:rFonts w:ascii="Times New Roman" w:hAnsi="Times New Roman" w:cs="Times New Roman" w:eastAsia="Times New Roman"/>
          <w:b w:val="0"/>
          <w:i/>
          <w:sz w:val="18"/>
          <w:vertAlign w:val="superscript"/>
        </w:rPr>
        <w:t>+</w:t>
      </w:r>
      <w:r>
        <w:rPr>
          <w:rFonts w:ascii="Times New Roman" w:hAnsi="Times New Roman" w:cs="Times New Roman" w:eastAsia="Times New Roman"/>
          <w:b w:val="0"/>
          <w:i/>
          <w:sz w:val="18"/>
        </w:rPr>
        <w:t xml:space="preserve"> coefficients across the ADL shock lags. CPT− sums the β^− coefficients. p-values use Newey-West HAC inference. WPI models use rupee oil shocks, retail petrol uses Brent, and CPI Fuel and Light uses PPAC petrol as the shock.</w:t>
      </w:r>
    </w:p>
    <w:p>
      <w:pPr>
        <w:pStyle w:val="Heading2"/>
        <w:ind w:firstLine="0"/>
        <w:jc w:val="left"/>
      </w:pPr>
      <w:r>
        <w:rPr>
          <w:rFonts w:ascii="Times New Roman" w:hAnsi="Times New Roman"/>
          <w:b/>
        </w:rPr>
        <w:t>9.2 Headline WPI</w:t>
      </w:r>
    </w:p>
    <w:p>
      <w:pPr>
        <w:jc w:val="both"/>
      </w:pPr>
      <w:r>
        <w:rPr>
          <w:rFonts w:ascii="Times New Roman" w:hAnsi="Times New Roman" w:cs="Times New Roman" w:eastAsia="Times New Roman"/>
          <w:b w:val="0"/>
          <w:i w:val="0"/>
          <w:sz w:val="23"/>
        </w:rPr>
        <w:t>The headline WPI model runs from May 1983 to March 2026, with N = 515 monthly observations. The adjusted R² is 0.421, which means the model explains about 42 per cent of the monthly variation in headline WPI inflation.</w:t>
      </w:r>
    </w:p>
    <w:p>
      <w:pPr>
        <w:jc w:val="both"/>
      </w:pPr>
      <w:r>
        <w:rPr>
          <w:rFonts w:ascii="Times New Roman" w:hAnsi="Times New Roman" w:cs="Times New Roman" w:eastAsia="Times New Roman"/>
          <w:b w:val="0"/>
          <w:i w:val="0"/>
          <w:sz w:val="23"/>
        </w:rPr>
        <w:t>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0.0301 with p = 0.0240 says a one per cent positive rupee oil shock is associated with a cumulative 0.03 per cent response in headline WPI. That is small in magnitude but statistically distinguishable from zero at the 5 per cent level.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0.0374 with p = 0.0012 is the negative-shock sum, also statistically significant. The asymmetry test gives p = 0.6727 (HAC) and p = 0.7461 (bootstrap). We cannot reject that positive and negative responses are equal, so the WPI layer does not support asymmetric pass-through.</w:t>
      </w:r>
    </w:p>
    <w:p>
      <w:pPr>
        <w:spacing w:before="120" w:after="120"/>
        <w:ind w:firstLine="0" w:left="144" w:right="144"/>
        <w:shd w:val="clear" w:color="auto" w:fill="EEF2FA"/>
      </w:pPr>
      <w:r>
        <w:rPr>
          <w:rFonts w:ascii="Times New Roman" w:hAnsi="Times New Roman" w:cs="Times New Roman" w:eastAsia="Times New Roman"/>
          <w:b/>
          <w:i w:val="0"/>
          <w:sz w:val="22"/>
        </w:rPr>
        <w:t xml:space="preserve">In words: </w:t>
      </w:r>
      <w:r>
        <w:rPr>
          <w:rFonts w:ascii="Times New Roman" w:hAnsi="Times New Roman" w:cs="Times New Roman" w:eastAsia="Times New Roman"/>
          <w:b w:val="0"/>
          <w:i/>
          <w:sz w:val="22"/>
        </w:rPr>
        <w:t>A big rise in the rupee oil price does move headline WPI, but not by much. Headline WPI is too broad for oil to dominate it.</w:t>
      </w:r>
    </w:p>
    <w:p>
      <w:pPr>
        <w:pStyle w:val="Heading2"/>
        <w:ind w:firstLine="0"/>
        <w:jc w:val="left"/>
      </w:pPr>
      <w:r>
        <w:rPr>
          <w:rFonts w:ascii="Times New Roman" w:hAnsi="Times New Roman"/>
          <w:b/>
        </w:rPr>
        <w:t>9.3 WPI Fuel and Power (preferred specification)</w:t>
      </w:r>
    </w:p>
    <w:p>
      <w:pPr>
        <w:jc w:val="both"/>
      </w:pPr>
      <w:r>
        <w:rPr>
          <w:rFonts w:ascii="Times New Roman" w:hAnsi="Times New Roman" w:cs="Times New Roman" w:eastAsia="Times New Roman"/>
          <w:b w:val="0"/>
          <w:i w:val="0"/>
          <w:sz w:val="23"/>
        </w:rPr>
        <w:t>This is our preferred wholesale fuel result. The sample is April 2010 to March 2026, excluding April-September 2020 (COVID). N = 186. Adjusted R² is about 0.68. The diagnostics pass the gate: BG p = 0.0746, HAC-RESET p = 0.5443, recursive CUSUM p = 0.6999.</w:t>
      </w:r>
    </w:p>
    <w:p>
      <w:pPr>
        <w:jc w:val="both"/>
      </w:pPr>
      <w:r>
        <w:rPr>
          <w:rFonts w:ascii="Times New Roman" w:hAnsi="Times New Roman" w:cs="Times New Roman" w:eastAsia="Times New Roman"/>
          <w:b w:val="0"/>
          <w:i w:val="0"/>
          <w:sz w:val="23"/>
        </w:rPr>
        <w:t>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0.5205 with p &lt; 0.001. A one per cent positive rupee oil shock is associated with roughly a 0.52 per cent cumulative response in WPI Fuel and Power inflation.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0.4195 with p &lt; 0.001. Asymmetry p = 0.1642, so we do not reject symmetry.</w:t>
      </w:r>
    </w:p>
    <w:p>
      <w:pPr>
        <w:jc w:val="both"/>
      </w:pPr>
      <w:r>
        <w:rPr>
          <w:rFonts w:ascii="Times New Roman" w:hAnsi="Times New Roman" w:cs="Times New Roman" w:eastAsia="Times New Roman"/>
          <w:b w:val="0"/>
          <w:i w:val="0"/>
          <w:sz w:val="23"/>
        </w:rPr>
        <w:t>Why is this layer so much bigger than headline WPI? Because this index is close to the fuel channel. It contains petrol, diesel, LPG, electricity, and coal-adjacent items, all of which track oil costs closely. The headline WPI basket mixes this with manufactured goods and food, diluting the fuel signal.</w:t>
      </w:r>
    </w:p>
    <w:p>
      <w:pPr>
        <w:pStyle w:val="Heading2"/>
        <w:ind w:firstLine="0"/>
        <w:jc w:val="left"/>
      </w:pPr>
      <w:r>
        <w:rPr>
          <w:rFonts w:ascii="Times New Roman" w:hAnsi="Times New Roman"/>
          <w:b/>
        </w:rPr>
        <w:t>9.4 Why we reject the older full-sample pooled Fuel and Power model</w:t>
      </w:r>
    </w:p>
    <w:p>
      <w:pPr>
        <w:jc w:val="both"/>
      </w:pPr>
      <w:r>
        <w:rPr>
          <w:rFonts w:ascii="Times New Roman" w:hAnsi="Times New Roman" w:cs="Times New Roman" w:eastAsia="Times New Roman"/>
          <w:b w:val="0"/>
          <w:i w:val="0"/>
          <w:sz w:val="23"/>
        </w:rPr>
        <w:t>We also fit a full-sample pooled WPI Fuel and Power model over 1995-05 to 2026-03 with N = 371. It gives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0.2866 and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0.2677. Both are statistically significant. But HAC-RESET fails, so the functional form is misspecified. We report that estimate as ‘context only’ because the full sample mixes the administered-pricing regime, the market-linked regime, and COVID outliers. The preferred post-2010 excluding-COVID specification clears the diagnostic gate cleanly and is what we use for the wholesale fuel claim.</w:t>
      </w:r>
    </w:p>
    <w:p>
      <w:pPr>
        <w:pStyle w:val="Heading2"/>
        <w:ind w:firstLine="0"/>
        <w:jc w:val="left"/>
      </w:pPr>
      <w:r>
        <w:rPr>
          <w:rFonts w:ascii="Times New Roman" w:hAnsi="Times New Roman"/>
          <w:b/>
        </w:rPr>
        <w:t>9.5 PPAC retail petrol</w:t>
      </w:r>
    </w:p>
    <w:p>
      <w:pPr>
        <w:jc w:val="both"/>
      </w:pPr>
      <w:r>
        <w:rPr>
          <w:rFonts w:ascii="Times New Roman" w:hAnsi="Times New Roman" w:cs="Times New Roman" w:eastAsia="Times New Roman"/>
          <w:b w:val="0"/>
          <w:i w:val="0"/>
          <w:sz w:val="23"/>
        </w:rPr>
        <w:t>The retail petrol model runs from August 2004 to December 2024, with N = 245. The adjusted R² is 0.236. The shock is Brent directly, because retail petrol pricing under the post-2010 rules is anchored to international product prices.</w:t>
      </w:r>
    </w:p>
    <w:p>
      <w:pPr>
        <w:jc w:val="both"/>
      </w:pPr>
      <w:r>
        <w:rPr>
          <w:rFonts w:ascii="Times New Roman" w:hAnsi="Times New Roman" w:cs="Times New Roman" w:eastAsia="Times New Roman"/>
          <w:b w:val="0"/>
          <w:i w:val="0"/>
          <w:sz w:val="23"/>
        </w:rPr>
        <w:t>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0.3459 with p &lt; 0.001. A one per cent positive Brent shock is associated with a cumulative 0.35 per cent response in Delhi retail petrol over the three-month shock window.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0.1912 with p = 0.0002. Asymmetry p = 0.0999.</w:t>
      </w:r>
    </w:p>
    <w:p>
      <w:pPr>
        <w:spacing w:before="120" w:after="120"/>
        <w:ind w:firstLine="0" w:left="144" w:right="144"/>
        <w:shd w:val="clear" w:color="auto" w:fill="EEF2FA"/>
      </w:pPr>
      <w:r>
        <w:rPr>
          <w:rFonts w:ascii="Times New Roman" w:hAnsi="Times New Roman" w:cs="Times New Roman" w:eastAsia="Times New Roman"/>
          <w:b/>
          <w:i w:val="0"/>
          <w:sz w:val="22"/>
        </w:rPr>
        <w:t xml:space="preserve">Asymmetry reading: </w:t>
      </w:r>
      <w:r>
        <w:rPr>
          <w:rFonts w:ascii="Times New Roman" w:hAnsi="Times New Roman" w:cs="Times New Roman" w:eastAsia="Times New Roman"/>
          <w:b w:val="0"/>
          <w:i/>
          <w:sz w:val="22"/>
        </w:rPr>
        <w:t>The asymmetry p-value just below 0.10 is the one place in the paper where asymmetry is suggestive. It is the well-known ‘rockets and feathers’ pattern: retail petrol rises faster than it falls. But we are careful to say ‘marginal at the 10 per cent level’, not ‘significant asymmetry’.</w:t>
      </w:r>
    </w:p>
    <w:p>
      <w:pPr>
        <w:pStyle w:val="Heading2"/>
        <w:ind w:firstLine="0"/>
        <w:jc w:val="left"/>
      </w:pPr>
      <w:r>
        <w:rPr>
          <w:rFonts w:ascii="Times New Roman" w:hAnsi="Times New Roman"/>
          <w:b/>
        </w:rPr>
        <w:t>9.6 CPI Fuel and Light bridge</w:t>
      </w:r>
    </w:p>
    <w:p>
      <w:pPr>
        <w:jc w:val="both"/>
      </w:pPr>
      <w:r>
        <w:rPr>
          <w:rFonts w:ascii="Times New Roman" w:hAnsi="Times New Roman" w:cs="Times New Roman" w:eastAsia="Times New Roman"/>
          <w:b w:val="0"/>
          <w:i w:val="0"/>
          <w:sz w:val="23"/>
        </w:rPr>
        <w:t>This equation uses PPAC petrol as the shock and CPI Fuel and Light as the dependent. The sample is May 2011 to December 2024, N = 164. The shorter sample is why we call it bridge evidence.</w:t>
      </w:r>
    </w:p>
    <w:p>
      <w:pPr>
        <w:jc w:val="both"/>
      </w:pPr>
      <w:r>
        <w:rPr>
          <w:rFonts w:ascii="Times New Roman" w:hAnsi="Times New Roman" w:cs="Times New Roman" w:eastAsia="Times New Roman"/>
          <w:b w:val="0"/>
          <w:i w:val="0"/>
          <w:sz w:val="23"/>
        </w:rPr>
        <w:t>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0.1777 with p = 0.0021. A one per cent positive retail petrol shock is associated with a cumulative 0.18 per cent response in CPI Fuel and Light.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0.1058 with p = 0.1741 is not significant. Asymmetry p = 0.4554.</w:t>
      </w:r>
    </w:p>
    <w:p>
      <w:pPr>
        <w:jc w:val="both"/>
      </w:pPr>
      <w:r>
        <w:rPr>
          <w:rFonts w:ascii="Times New Roman" w:hAnsi="Times New Roman" w:cs="Times New Roman" w:eastAsia="Times New Roman"/>
          <w:b w:val="0"/>
          <w:i w:val="0"/>
          <w:sz w:val="23"/>
        </w:rPr>
        <w:t>The bridge shows that retail fuel movements do enter the fuel-sensitive part of the consumer basket, at a size smaller than retail petrol but larger than headline CPI. That is exactly the shape attenuation would produce.</w:t>
      </w:r>
    </w:p>
    <w:p>
      <w:pPr>
        <w:pStyle w:val="Heading2"/>
        <w:ind w:firstLine="0"/>
        <w:jc w:val="left"/>
      </w:pPr>
      <w:r>
        <w:rPr>
          <w:rFonts w:ascii="Times New Roman" w:hAnsi="Times New Roman"/>
          <w:b/>
        </w:rPr>
        <w:t>9.7 Headline CPI endpoint</w:t>
      </w:r>
    </w:p>
    <w:p>
      <w:pPr>
        <w:jc w:val="both"/>
      </w:pPr>
      <w:r>
        <w:rPr>
          <w:rFonts w:ascii="Times New Roman" w:hAnsi="Times New Roman" w:cs="Times New Roman" w:eastAsia="Times New Roman"/>
          <w:b w:val="0"/>
          <w:i w:val="0"/>
          <w:sz w:val="23"/>
        </w:rPr>
        <w:t>The headline CPI model uses rupee oil as the shock. Sample 2004-08 to 2024-12, N = 245, adjusted R² = 0.4492. Diagnostics pass the mandatory gate.</w:t>
      </w:r>
    </w:p>
    <w:p>
      <w:pPr>
        <w:jc w:val="both"/>
      </w:pPr>
      <w:r>
        <w:rPr>
          <w:rFonts w:ascii="Times New Roman" w:hAnsi="Times New Roman" w:cs="Times New Roman" w:eastAsia="Times New Roman"/>
          <w:b w:val="0"/>
          <w:i w:val="0"/>
          <w:sz w:val="23"/>
        </w:rPr>
        <w:t>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0.0213 with p = 0.1220. The positive-shock cumulative response has the expected sign but is NOT statistically significant at conventional levels.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0.0006, p = 0.9375, is essentially zero. Asymmetry p = 0.2408 does not reject symmetry. Bootstrap symmetry p = 0.4997.</w:t>
      </w:r>
    </w:p>
    <w:p>
      <w:pPr>
        <w:spacing w:before="120" w:after="120"/>
        <w:ind w:firstLine="0" w:left="144" w:right="144"/>
        <w:shd w:val="clear" w:color="auto" w:fill="EEF2FA"/>
      </w:pPr>
      <w:r>
        <w:rPr>
          <w:rFonts w:ascii="Times New Roman" w:hAnsi="Times New Roman" w:cs="Times New Roman" w:eastAsia="Times New Roman"/>
          <w:b/>
          <w:i w:val="0"/>
          <w:sz w:val="22"/>
        </w:rPr>
        <w:t xml:space="preserve">Key takeaway: </w:t>
      </w:r>
      <w:r>
        <w:rPr>
          <w:rFonts w:ascii="Times New Roman" w:hAnsi="Times New Roman" w:cs="Times New Roman" w:eastAsia="Times New Roman"/>
          <w:b w:val="0"/>
          <w:i/>
          <w:sz w:val="22"/>
        </w:rPr>
        <w:t>This is the crucial number. Headline CPI is where oil becomes statistically quiet. We describe it as weak and not significant, NEVER as ‘zero’ or ‘no effect’.</w:t>
      </w:r>
    </w:p>
    <w:p>
      <w:pPr>
        <w:pStyle w:val="Heading2"/>
        <w:ind w:firstLine="0"/>
        <w:jc w:val="left"/>
      </w:pPr>
      <w:r>
        <w:rPr>
          <w:rFonts w:ascii="Times New Roman" w:hAnsi="Times New Roman"/>
          <w:b/>
        </w:rPr>
        <w:t>9.8 The integrated attenuation Wald test</w:t>
      </w:r>
    </w:p>
    <w:p>
      <w:pPr>
        <w:jc w:val="both"/>
      </w:pPr>
      <w:r>
        <w:rPr>
          <w:rFonts w:ascii="Times New Roman" w:hAnsi="Times New Roman" w:cs="Times New Roman" w:eastAsia="Times New Roman"/>
          <w:b w:val="0"/>
          <w:i w:val="0"/>
          <w:sz w:val="23"/>
        </w:rPr>
        <w:t>To make the attenuation story formal we estimate the consumer-side chain on a common sample window and then test whether the first-stage pass-through equals the third-stage pass-through.</w:t>
      </w:r>
    </w:p>
    <w:p>
      <w:pPr>
        <w:pStyle w:val="Caption"/>
        <w:ind w:firstLine="0"/>
        <w:jc w:val="left"/>
      </w:pPr>
      <w:r>
        <w:rPr>
          <w:rFonts w:ascii="Times New Roman" w:hAnsi="Times New Roman" w:cs="Times New Roman" w:eastAsia="Times New Roman"/>
          <w:b/>
          <w:i w:val="0"/>
          <w:sz w:val="21"/>
        </w:rPr>
        <w:t>Table 9.2. Consumer-side chain, common-sample estimates.</w:t>
      </w:r>
    </w:p>
    <w:tbl>
      <w:tblPr>
        <w:tblStyle w:val="TableGrid"/>
        <w:tblW w:type="auto" w:w="0"/>
        <w:jc w:val="center"/>
        <w:tblLayout w:type="fixed"/>
        <w:tblLook w:firstColumn="1" w:firstRow="1" w:lastColumn="0" w:lastRow="0" w:noHBand="0" w:noVBand="1" w:val="04A0"/>
        <w:tblLayout w:type="fixed"/>
      </w:tblPr>
      <w:tblGrid>
        <w:gridCol w:w="1152"/>
        <w:gridCol w:w="4176"/>
        <w:gridCol w:w="1440"/>
        <w:gridCol w:w="1152"/>
      </w:tblGrid>
      <w:tr>
        <w:trPr>
          <w:cantSplit/>
          <w:tblHeader/>
        </w:trPr>
        <w:tc>
          <w:tcPr>
            <w:tcW w:type="dxa" w:w="11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Stage</w:t>
            </w:r>
          </w:p>
        </w:tc>
        <w:tc>
          <w:tcPr>
            <w:tcW w:type="dxa" w:w="41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What it measures</w:t>
            </w:r>
          </w:p>
        </w:tc>
        <w:tc>
          <w:tcPr>
            <w:tcW w:type="dxa" w:w="144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CPT+</w:t>
            </w:r>
          </w:p>
        </w:tc>
        <w:tc>
          <w:tcPr>
            <w:tcW w:type="dxa" w:w="11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9"/>
              </w:rPr>
              <w:t>p</w:t>
            </w:r>
          </w:p>
        </w:tc>
      </w:tr>
      <w:tr>
        <w:trPr>
          <w:cantSplit/>
        </w:trPr>
        <w:tc>
          <w:tcPr>
            <w:tcW w:type="dxa" w:w="115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Stage 1</w:t>
            </w:r>
          </w:p>
        </w:tc>
        <w:tc>
          <w:tcPr>
            <w:tcW w:type="dxa" w:w="41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Brent → PPAC retail petrol</w:t>
            </w:r>
          </w:p>
        </w:tc>
        <w:tc>
          <w:tcPr>
            <w:tcW w:type="dxa" w:w="144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0.4007</w:t>
            </w:r>
          </w:p>
        </w:tc>
        <w:tc>
          <w:tcPr>
            <w:tcW w:type="dxa" w:w="11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0.0001</w:t>
            </w:r>
          </w:p>
        </w:tc>
      </w:tr>
      <w:tr>
        <w:trPr>
          <w:cantSplit/>
        </w:trPr>
        <w:tc>
          <w:tcPr>
            <w:tcW w:type="dxa" w:w="115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Stage 2</w:t>
            </w:r>
          </w:p>
        </w:tc>
        <w:tc>
          <w:tcPr>
            <w:tcW w:type="dxa" w:w="41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PPAC petrol → CPI Fuel and Light</w:t>
            </w:r>
          </w:p>
        </w:tc>
        <w:tc>
          <w:tcPr>
            <w:tcW w:type="dxa" w:w="144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0.1777</w:t>
            </w:r>
          </w:p>
        </w:tc>
        <w:tc>
          <w:tcPr>
            <w:tcW w:type="dxa" w:w="11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0.0021</w:t>
            </w:r>
          </w:p>
        </w:tc>
      </w:tr>
      <w:tr>
        <w:trPr>
          <w:cantSplit/>
        </w:trPr>
        <w:tc>
          <w:tcPr>
            <w:tcW w:type="dxa" w:w="115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9"/>
              </w:rPr>
              <w:t>Stage 3</w:t>
            </w:r>
          </w:p>
        </w:tc>
        <w:tc>
          <w:tcPr>
            <w:tcW w:type="dxa" w:w="4176"/>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Rupee oil → Headline CPI</w:t>
            </w:r>
          </w:p>
        </w:tc>
        <w:tc>
          <w:tcPr>
            <w:tcW w:type="dxa" w:w="144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0.0064</w:t>
            </w:r>
          </w:p>
        </w:tc>
        <w:tc>
          <w:tcPr>
            <w:tcW w:type="dxa" w:w="115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9"/>
              </w:rPr>
              <w:t>0.6355</w:t>
            </w:r>
          </w:p>
        </w:tc>
      </w:tr>
    </w:tbl>
    <w:p>
      <w:pPr>
        <w:jc w:val="both"/>
      </w:pPr>
      <w:r>
        <w:rPr>
          <w:rFonts w:ascii="Times New Roman" w:hAnsi="Times New Roman" w:cs="Times New Roman" w:eastAsia="Times New Roman"/>
          <w:b w:val="0"/>
          <w:i w:val="0"/>
          <w:sz w:val="23"/>
        </w:rPr>
        <w:t>Formal Wald test: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Stage 1</w:t>
      </w:r>
      <w:r>
        <w:rPr>
          <w:rFonts w:ascii="Times New Roman" w:hAnsi="Times New Roman" w:cs="Times New Roman" w:eastAsia="Times New Roman"/>
          <w:b w:val="0"/>
          <w:i w:val="0"/>
          <w:sz w:val="23"/>
        </w:rPr>
        <w:t xml:space="preserve"> =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Stage 3</w:t>
      </w:r>
      <w:r>
        <w:rPr>
          <w:rFonts w:ascii="Times New Roman" w:hAnsi="Times New Roman" w:cs="Times New Roman" w:eastAsia="Times New Roman"/>
          <w:b w:val="0"/>
          <w:i w:val="0"/>
          <w:sz w:val="23"/>
        </w:rPr>
        <w:t>. F = 14.3499, p = 0.0002. We reject equality. Attenuation across the consumer-price chain is statistically supported.</w:t>
      </w:r>
    </w:p>
    <w:p>
      <w:pPr>
        <w:spacing w:after="40"/>
        <w:ind w:firstLine="0"/>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fig_13_dilution_chain.png"/>
                    <pic:cNvPicPr/>
                  </pic:nvPicPr>
                  <pic:blipFill>
                    <a:blip r:embed="rId10"/>
                    <a:stretch>
                      <a:fillRect/>
                    </a:stretch>
                  </pic:blipFill>
                  <pic:spPr>
                    <a:xfrm>
                      <a:off x="0" y="0"/>
                      <a:ext cx="5120640" cy="3072384"/>
                    </a:xfrm>
                    <a:prstGeom prst="rect"/>
                  </pic:spPr>
                </pic:pic>
              </a:graphicData>
            </a:graphic>
          </wp:inline>
        </w:drawing>
      </w:r>
    </w:p>
    <w:p>
      <w:pPr>
        <w:pStyle w:val="Caption"/>
        <w:ind w:firstLine="0"/>
        <w:jc w:val="center"/>
      </w:pPr>
      <w:r>
        <w:rPr>
          <w:rFonts w:ascii="Times New Roman" w:hAnsi="Times New Roman" w:cs="Times New Roman" w:eastAsia="Times New Roman"/>
          <w:b w:val="0"/>
          <w:i/>
          <w:sz w:val="20"/>
        </w:rPr>
        <w:t>Figure 9.1. Cumulative positive pass-through across the consumer-price chain, showing attenuation from retail petrol to headline CPI.</w:t>
      </w:r>
    </w:p>
    <w:p>
      <w:pPr>
        <w:pStyle w:val="Heading2"/>
        <w:ind w:firstLine="0"/>
        <w:jc w:val="left"/>
      </w:pPr>
      <w:r>
        <w:rPr>
          <w:rFonts w:ascii="Times New Roman" w:hAnsi="Times New Roman"/>
          <w:b/>
        </w:rPr>
        <w:t>9.9 Pre/post-2010 wholesale split (institutional context)</w:t>
      </w:r>
    </w:p>
    <w:p>
      <w:pPr>
        <w:pStyle w:val="Caption"/>
        <w:ind w:firstLine="0"/>
        <w:jc w:val="left"/>
      </w:pPr>
      <w:r>
        <w:rPr>
          <w:rFonts w:ascii="Times New Roman" w:hAnsi="Times New Roman" w:cs="Times New Roman" w:eastAsia="Times New Roman"/>
          <w:b/>
          <w:i w:val="0"/>
          <w:sz w:val="21"/>
        </w:rPr>
        <w:t>Table 9.3. Pre/post-2010 wholesale pass-through split.</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rPr>
          <w:cantSplit/>
          <w:tblHeader/>
        </w:trPr>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Model</w:t>
            </w:r>
          </w:p>
        </w:tc>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Pre-2010 CPT+ (p)</w:t>
            </w:r>
          </w:p>
        </w:tc>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Post-2010 CPT+ (p)</w:t>
            </w:r>
          </w:p>
        </w:tc>
      </w:tr>
      <w:tr>
        <w:trPr>
          <w:cantSplit/>
        </w:trPr>
        <w:tc>
          <w:tcPr>
            <w:tcW w:type="dxa" w:w="288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Headline WPI</w:t>
            </w:r>
          </w:p>
        </w:tc>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0.0117 (p = 0.3812)</w:t>
            </w:r>
          </w:p>
        </w:tc>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0.0741 (p = 0.0043)</w:t>
            </w:r>
          </w:p>
        </w:tc>
      </w:tr>
      <w:tr>
        <w:trPr>
          <w:cantSplit/>
        </w:trPr>
        <w:tc>
          <w:tcPr>
            <w:tcW w:type="dxa" w:w="2880"/>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WPI Fuel and Power</w:t>
            </w:r>
          </w:p>
        </w:tc>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0.0922 (p = 0.1679)</w:t>
            </w:r>
          </w:p>
        </w:tc>
        <w:tc>
          <w:tcPr>
            <w:tcW w:type="dxa" w:w="2880"/>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0.5241 (p &lt; 0.001)</w:t>
            </w:r>
          </w:p>
        </w:tc>
      </w:tr>
    </w:tbl>
    <w:p>
      <w:pPr>
        <w:spacing w:before="40" w:after="160" w:line="240" w:lineRule="auto"/>
        <w:ind w:firstLine="0"/>
      </w:pPr>
      <w:r>
        <w:rPr>
          <w:rFonts w:ascii="Times New Roman" w:hAnsi="Times New Roman" w:cs="Times New Roman" w:eastAsia="Times New Roman"/>
          <w:b w:val="0"/>
          <w:i/>
          <w:sz w:val="18"/>
        </w:rPr>
        <w:t>Note: The split is institutional evidence consistent with stronger pass-through under market-linked fuel pricing. It is NOT a clean causal estimate of deregulation.</w:t>
      </w:r>
    </w:p>
    <w:p>
      <w:pPr>
        <w:jc w:val="both"/>
      </w:pPr>
      <w:r>
        <w:rPr>
          <w:rFonts w:ascii="Times New Roman" w:hAnsi="Times New Roman" w:cs="Times New Roman" w:eastAsia="Times New Roman"/>
          <w:b w:val="0"/>
          <w:i w:val="0"/>
          <w:sz w:val="23"/>
        </w:rPr>
        <w:t>Both rows show the post-2010 estimates are materially larger and statistically stronger. Under more market-linked pricing, a given oil shock passes through to wholesale more of the time and faster. Other things changed over the same period too: new CPI series 2011, flexible inflation targeting 2016, GST 2017, and several fuel-tax episodes. So we do not call this a clean deregulation experiment.</w:t>
      </w:r>
    </w:p>
    <w:p>
      <w:pPr>
        <w:pStyle w:val="Heading2"/>
        <w:ind w:firstLine="0"/>
        <w:jc w:val="left"/>
      </w:pPr>
      <w:r>
        <w:rPr>
          <w:rFonts w:ascii="Times New Roman" w:hAnsi="Times New Roman"/>
          <w:b/>
        </w:rPr>
        <w:t>9.10 Predictive precedence (Granger tests)</w:t>
      </w:r>
    </w:p>
    <w:p>
      <w:pPr>
        <w:pStyle w:val="ListBullet"/>
        <w:spacing w:after="40" w:line="300" w:lineRule="auto"/>
        <w:ind w:firstLine="0"/>
      </w:pPr>
      <w:r>
        <w:rPr>
          <w:rFonts w:ascii="Times New Roman" w:hAnsi="Times New Roman" w:cs="Times New Roman" w:eastAsia="Times New Roman"/>
          <w:b w:val="0"/>
          <w:i w:val="0"/>
          <w:sz w:val="23"/>
        </w:rPr>
        <w:t>Rupee oil → headline WPI: F = 7.43, p &lt; 0.001. Supported.</w:t>
      </w:r>
    </w:p>
    <w:p>
      <w:pPr>
        <w:pStyle w:val="ListBullet"/>
        <w:spacing w:after="40" w:line="300" w:lineRule="auto"/>
        <w:ind w:firstLine="0"/>
      </w:pPr>
      <w:r>
        <w:rPr>
          <w:rFonts w:ascii="Times New Roman" w:hAnsi="Times New Roman" w:cs="Times New Roman" w:eastAsia="Times New Roman"/>
          <w:b w:val="0"/>
          <w:i w:val="0"/>
          <w:sz w:val="23"/>
        </w:rPr>
        <w:t>Rupee oil → WPI Fuel and Power: F = 15.22, p &lt; 0.001. Supported.</w:t>
      </w:r>
    </w:p>
    <w:p>
      <w:pPr>
        <w:pStyle w:val="ListBullet"/>
        <w:spacing w:after="40" w:line="300" w:lineRule="auto"/>
        <w:ind w:firstLine="0"/>
      </w:pPr>
      <w:r>
        <w:rPr>
          <w:rFonts w:ascii="Times New Roman" w:hAnsi="Times New Roman" w:cs="Times New Roman" w:eastAsia="Times New Roman"/>
          <w:b w:val="0"/>
          <w:i w:val="0"/>
          <w:sz w:val="23"/>
        </w:rPr>
        <w:t>Brent → PPAC petrol: F = 10.71, p &lt; 0.001. Supported.</w:t>
      </w:r>
    </w:p>
    <w:p>
      <w:pPr>
        <w:pStyle w:val="ListBullet"/>
        <w:spacing w:after="40" w:line="300" w:lineRule="auto"/>
        <w:ind w:firstLine="0"/>
      </w:pPr>
      <w:r>
        <w:rPr>
          <w:rFonts w:ascii="Times New Roman" w:hAnsi="Times New Roman" w:cs="Times New Roman" w:eastAsia="Times New Roman"/>
          <w:b w:val="0"/>
          <w:i w:val="0"/>
          <w:sz w:val="23"/>
        </w:rPr>
        <w:t>Rupee oil → headline CPI: F = 2.29, p = 0.0794. Only at the 10 per cent level. Weak.</w:t>
      </w:r>
    </w:p>
    <w:p>
      <w:pPr>
        <w:pStyle w:val="ListBullet"/>
        <w:spacing w:after="40" w:line="300" w:lineRule="auto"/>
        <w:ind w:firstLine="0"/>
      </w:pPr>
      <w:r>
        <w:rPr>
          <w:rFonts w:ascii="Times New Roman" w:hAnsi="Times New Roman" w:cs="Times New Roman" w:eastAsia="Times New Roman"/>
          <w:b w:val="0"/>
          <w:i w:val="0"/>
          <w:sz w:val="23"/>
        </w:rPr>
        <w:t>PPAC petrol → CPI Fuel and Light: p = 0.113. Not supported.</w:t>
      </w:r>
    </w:p>
    <w:p>
      <w:pPr>
        <w:jc w:val="both"/>
      </w:pPr>
      <w:r>
        <w:rPr>
          <w:rFonts w:ascii="Times New Roman" w:hAnsi="Times New Roman" w:cs="Times New Roman" w:eastAsia="Times New Roman"/>
          <w:b w:val="0"/>
          <w:i w:val="0"/>
          <w:sz w:val="23"/>
        </w:rPr>
        <w:t>This lines up with the main estimates: the oil signal is easy to pick up near fuel prices and harder to detect in the broad CPI.</w:t>
      </w:r>
    </w:p>
    <w:p>
      <w:pPr>
        <w:pStyle w:val="Heading2"/>
        <w:ind w:firstLine="0"/>
        <w:jc w:val="left"/>
      </w:pPr>
      <w:r>
        <w:rPr>
          <w:rFonts w:ascii="Times New Roman" w:hAnsi="Times New Roman"/>
          <w:b/>
        </w:rPr>
        <w:t>9.11 The one-line summary of the results chapter</w:t>
      </w:r>
    </w:p>
    <w:p>
      <w:pPr>
        <w:spacing w:before="120" w:after="120"/>
        <w:ind w:firstLine="0" w:left="144" w:right="144"/>
        <w:shd w:val="clear" w:color="auto" w:fill="EEF2FA"/>
      </w:pPr>
      <w:r>
        <w:rPr>
          <w:rFonts w:ascii="Times New Roman" w:hAnsi="Times New Roman" w:cs="Times New Roman" w:eastAsia="Times New Roman"/>
          <w:b/>
          <w:i w:val="0"/>
          <w:sz w:val="22"/>
        </w:rPr>
        <w:t xml:space="preserve">Remember this: </w:t>
      </w:r>
      <w:r>
        <w:rPr>
          <w:rFonts w:ascii="Times New Roman" w:hAnsi="Times New Roman" w:cs="Times New Roman" w:eastAsia="Times New Roman"/>
          <w:b w:val="0"/>
          <w:i/>
          <w:sz w:val="22"/>
        </w:rPr>
        <w:t>Strong in retail petrol and WPI Fuel and Power. Medium in CPI Fuel and Light. Modest in headline WPI. Weak and not significant in headline CPI. Wald test formally rejects that retail petrol and headline CPI positive pass-throughs are equal.</w:t>
      </w:r>
      <w:r>
        <w:br w:type="page"/>
      </w:r>
    </w:p>
    <w:p>
      <w:pPr>
        <w:pStyle w:val="Heading1"/>
        <w:ind w:firstLine="0"/>
        <w:jc w:val="left"/>
      </w:pPr>
      <w:r>
        <w:rPr>
          <w:rFonts w:ascii="Times New Roman" w:hAnsi="Times New Roman"/>
          <w:b/>
        </w:rPr>
        <w:t>Part 10. Robustness checks and limitations</w:t>
      </w:r>
    </w:p>
    <w:p>
      <w:pPr>
        <w:pStyle w:val="Heading2"/>
        <w:ind w:firstLine="0"/>
        <w:jc w:val="left"/>
      </w:pPr>
      <w:r>
        <w:rPr>
          <w:rFonts w:ascii="Times New Roman" w:hAnsi="Times New Roman"/>
          <w:b/>
        </w:rPr>
        <w:t>10.1 Six robustness checks, what each one shows</w:t>
      </w:r>
    </w:p>
    <w:p>
      <w:pPr>
        <w:pStyle w:val="ListBullet"/>
        <w:spacing w:after="40" w:line="300" w:lineRule="auto"/>
        <w:ind w:firstLine="0"/>
      </w:pPr>
      <w:r>
        <w:rPr>
          <w:rFonts w:ascii="Times New Roman" w:hAnsi="Times New Roman" w:cs="Times New Roman" w:eastAsia="Times New Roman"/>
          <w:b w:val="0"/>
          <w:i w:val="0"/>
          <w:sz w:val="23"/>
        </w:rPr>
        <w:t>Brent plus exchange-rate decomposition: we split rupee oil into its two drivers and re-estimate headline WPI.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0.0309 (p = 0.0234), CPT</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rPr>
        <w:t xml:space="preserve"> = 0.0375 (p &lt; 0.001), asymmetry p = 0.7039. Nearly identical to the rupee-shock result. Conclusion: the headline WPI result does not depend on how we bundle the two components.</w:t>
      </w:r>
    </w:p>
    <w:p>
      <w:pPr>
        <w:pStyle w:val="ListBullet"/>
        <w:spacing w:after="40" w:line="300" w:lineRule="auto"/>
        <w:ind w:firstLine="0"/>
      </w:pPr>
      <w:r>
        <w:rPr>
          <w:rFonts w:ascii="Times New Roman" w:hAnsi="Times New Roman" w:cs="Times New Roman" w:eastAsia="Times New Roman"/>
          <w:b w:val="0"/>
          <w:i w:val="0"/>
          <w:sz w:val="23"/>
        </w:rPr>
        <w:t>Bootstrap symmetry: 4,999 restricted-residual circular block replications. Symmetry is not rejected for headline WPI (p = 0.7461), the full-sample WPI Fuel and Power context model (p = 0.8196), and headline CPI (p = 0.4997). Asymmetry is not the headline finding.</w:t>
      </w:r>
    </w:p>
    <w:p>
      <w:pPr>
        <w:pStyle w:val="ListBullet"/>
        <w:spacing w:after="40" w:line="300" w:lineRule="auto"/>
        <w:ind w:firstLine="0"/>
      </w:pPr>
      <w:r>
        <w:rPr>
          <w:rFonts w:ascii="Times New Roman" w:hAnsi="Times New Roman" w:cs="Times New Roman" w:eastAsia="Times New Roman"/>
          <w:b w:val="0"/>
          <w:i w:val="0"/>
          <w:sz w:val="23"/>
        </w:rPr>
        <w:t>Granger predictive tests: direction from oil to wholesale is supported; reverse direction is not. Matches the layered reading.</w:t>
      </w:r>
    </w:p>
    <w:p>
      <w:pPr>
        <w:pStyle w:val="ListBullet"/>
        <w:spacing w:after="40" w:line="300" w:lineRule="auto"/>
        <w:ind w:firstLine="0"/>
      </w:pPr>
      <w:r>
        <w:rPr>
          <w:rFonts w:ascii="Times New Roman" w:hAnsi="Times New Roman" w:cs="Times New Roman" w:eastAsia="Times New Roman"/>
          <w:b w:val="0"/>
          <w:i w:val="0"/>
          <w:sz w:val="23"/>
        </w:rPr>
        <w:t>Bai-Perron break tests: where breaks show up in the WPI inflation series, the institutional pre/post-2010 split is the policy-relevant way of handling them.</w:t>
      </w:r>
    </w:p>
    <w:p>
      <w:pPr>
        <w:pStyle w:val="ListBullet"/>
        <w:spacing w:after="40" w:line="300" w:lineRule="auto"/>
        <w:ind w:firstLine="0"/>
      </w:pPr>
      <w:r>
        <w:rPr>
          <w:rFonts w:ascii="Times New Roman" w:hAnsi="Times New Roman" w:cs="Times New Roman" w:eastAsia="Times New Roman"/>
          <w:b w:val="0"/>
          <w:i w:val="0"/>
          <w:sz w:val="23"/>
        </w:rPr>
        <w:t>COVID window and winsorising: excluding COVID from the headline CPI specification, and winsorising at the 1st and 99th percentiles, leaves the main CPI conclusion unchanged.</w:t>
      </w:r>
    </w:p>
    <w:p>
      <w:pPr>
        <w:pStyle w:val="ListBullet"/>
        <w:spacing w:after="40" w:line="300" w:lineRule="auto"/>
        <w:ind w:firstLine="0"/>
      </w:pPr>
      <w:r>
        <w:rPr>
          <w:rFonts w:ascii="Times New Roman" w:hAnsi="Times New Roman" w:cs="Times New Roman" w:eastAsia="Times New Roman"/>
          <w:b w:val="0"/>
          <w:i w:val="0"/>
          <w:sz w:val="23"/>
        </w:rPr>
        <w:t>Lag-sensitivity: varying the shock lag q between 4 and 8 in the wholesale models does not change the ranking in Table 9.1.</w:t>
      </w:r>
    </w:p>
    <w:p>
      <w:pPr>
        <w:pStyle w:val="Heading2"/>
        <w:ind w:firstLine="0"/>
        <w:jc w:val="left"/>
      </w:pPr>
      <w:r>
        <w:rPr>
          <w:rFonts w:ascii="Times New Roman" w:hAnsi="Times New Roman"/>
          <w:b/>
        </w:rPr>
        <w:t>10.2 Table of diagnostic pass/fail status at a glance</w:t>
      </w:r>
    </w:p>
    <w:p>
      <w:pPr>
        <w:pStyle w:val="Caption"/>
        <w:ind w:firstLine="0"/>
        <w:jc w:val="left"/>
      </w:pPr>
      <w:r>
        <w:rPr>
          <w:rFonts w:ascii="Times New Roman" w:hAnsi="Times New Roman" w:cs="Times New Roman" w:eastAsia="Times New Roman"/>
          <w:b/>
          <w:i w:val="0"/>
          <w:sz w:val="21"/>
        </w:rPr>
        <w:t>Table 10.1. Diagnostic and symmetry status for every claim-bearing or context specification.</w:t>
      </w:r>
    </w:p>
    <w:tbl>
      <w:tblPr>
        <w:tblStyle w:val="TableGrid"/>
        <w:tblW w:type="auto" w:w="0"/>
        <w:jc w:val="center"/>
        <w:tblLayout w:type="fixed"/>
        <w:tblLook w:firstColumn="1" w:firstRow="1" w:lastColumn="0" w:lastRow="0" w:noHBand="0" w:noVBand="1" w:val="04A0"/>
        <w:tblLayout w:type="fixed"/>
      </w:tblPr>
      <w:tblGrid>
        <w:gridCol w:w="3472"/>
        <w:gridCol w:w="972"/>
        <w:gridCol w:w="1389"/>
        <w:gridCol w:w="1389"/>
        <w:gridCol w:w="1805"/>
      </w:tblGrid>
      <w:tr>
        <w:trPr>
          <w:cantSplit/>
          <w:tblHeader/>
        </w:trPr>
        <w:tc>
          <w:tcPr>
            <w:tcW w:type="dxa" w:w="34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Spec</w:t>
            </w:r>
          </w:p>
        </w:tc>
        <w:tc>
          <w:tcPr>
            <w:tcW w:type="dxa" w:w="9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BG12</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HAC-RESET</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Rec-CUSUM</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18"/>
              </w:rPr>
              <w:t>Bootstrap sym. p</w:t>
            </w:r>
          </w:p>
        </w:tc>
      </w:tr>
      <w:tr>
        <w:trPr>
          <w:cantSplit/>
        </w:trPr>
        <w:tc>
          <w:tcPr>
            <w:tcW w:type="dxa" w:w="347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WPI</w:t>
            </w:r>
          </w:p>
        </w:tc>
        <w:tc>
          <w:tcPr>
            <w:tcW w:type="dxa" w:w="9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0.7461</w:t>
            </w:r>
          </w:p>
        </w:tc>
      </w:tr>
      <w:tr>
        <w:trPr>
          <w:cantSplit/>
        </w:trPr>
        <w:tc>
          <w:tcPr>
            <w:tcW w:type="dxa" w:w="347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WPI F&amp;P preferred (post-2010, excl. COVID)</w:t>
            </w:r>
          </w:p>
        </w:tc>
        <w:tc>
          <w:tcPr>
            <w:tcW w:type="dxa" w:w="9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Asym. HAC p = 0.1642</w:t>
            </w:r>
          </w:p>
        </w:tc>
      </w:tr>
      <w:tr>
        <w:trPr>
          <w:cantSplit/>
        </w:trPr>
        <w:tc>
          <w:tcPr>
            <w:tcW w:type="dxa" w:w="347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WPI F&amp;P pooled context</w:t>
            </w:r>
          </w:p>
        </w:tc>
        <w:tc>
          <w:tcPr>
            <w:tcW w:type="dxa" w:w="9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Fail</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0.8196</w:t>
            </w:r>
          </w:p>
        </w:tc>
      </w:tr>
      <w:tr>
        <w:trPr>
          <w:cantSplit/>
        </w:trPr>
        <w:tc>
          <w:tcPr>
            <w:tcW w:type="dxa" w:w="347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Headline CPI M1</w:t>
            </w:r>
          </w:p>
        </w:tc>
        <w:tc>
          <w:tcPr>
            <w:tcW w:type="dxa" w:w="9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0.4997</w:t>
            </w:r>
          </w:p>
        </w:tc>
      </w:tr>
      <w:tr>
        <w:trPr>
          <w:cantSplit/>
        </w:trPr>
        <w:tc>
          <w:tcPr>
            <w:tcW w:type="dxa" w:w="3472"/>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18"/>
              </w:rPr>
              <w:t>PPAC retail petrol</w:t>
            </w:r>
          </w:p>
        </w:tc>
        <w:tc>
          <w:tcPr>
            <w:tcW w:type="dxa" w:w="972"/>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38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Pass</w:t>
            </w:r>
          </w:p>
        </w:tc>
        <w:tc>
          <w:tcPr>
            <w:tcW w:type="dxa" w:w="1805"/>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18"/>
              </w:rPr>
              <w:t>HAC asym. p = 0.0999</w:t>
            </w:r>
          </w:p>
        </w:tc>
      </w:tr>
    </w:tbl>
    <w:p>
      <w:pPr>
        <w:spacing w:before="40" w:after="160" w:line="240" w:lineRule="auto"/>
        <w:ind w:firstLine="0"/>
      </w:pPr>
      <w:r>
        <w:rPr>
          <w:rFonts w:ascii="Times New Roman" w:hAnsi="Times New Roman" w:cs="Times New Roman" w:eastAsia="Times New Roman"/>
          <w:b w:val="0"/>
          <w:i/>
          <w:sz w:val="18"/>
        </w:rPr>
        <w:t>Note: BG12 and HAC-RESET are described in Part 8. The bootstrap symmetry p-value is reported where computed; otherwise the HAC-based asymmetry p-value is shown for completeness.</w:t>
      </w:r>
    </w:p>
    <w:p>
      <w:pPr>
        <w:pStyle w:val="Heading2"/>
        <w:ind w:firstLine="0"/>
        <w:jc w:val="left"/>
      </w:pPr>
      <w:r>
        <w:rPr>
          <w:rFonts w:ascii="Times New Roman" w:hAnsi="Times New Roman"/>
          <w:b/>
        </w:rPr>
        <w:t>10.3 Limitations, stated plainly</w:t>
      </w:r>
    </w:p>
    <w:p>
      <w:pPr>
        <w:pStyle w:val="ListBullet"/>
        <w:spacing w:after="40" w:line="300" w:lineRule="auto"/>
        <w:ind w:firstLine="0"/>
      </w:pPr>
      <w:r>
        <w:rPr>
          <w:rFonts w:ascii="Times New Roman" w:hAnsi="Times New Roman" w:cs="Times New Roman" w:eastAsia="Times New Roman"/>
          <w:b w:val="0"/>
          <w:i w:val="0"/>
          <w:sz w:val="23"/>
        </w:rPr>
        <w:t>Reduced-form models, not structural causal estimates. We project; we do not identify a structural shock.</w:t>
      </w:r>
    </w:p>
    <w:p>
      <w:pPr>
        <w:pStyle w:val="ListBullet"/>
        <w:spacing w:after="40" w:line="300" w:lineRule="auto"/>
        <w:ind w:firstLine="0"/>
      </w:pPr>
      <w:r>
        <w:rPr>
          <w:rFonts w:ascii="Times New Roman" w:hAnsi="Times New Roman" w:cs="Times New Roman" w:eastAsia="Times New Roman"/>
          <w:b w:val="0"/>
          <w:i w:val="0"/>
          <w:sz w:val="23"/>
        </w:rPr>
        <w:t>Different layers have different sample windows, because the official publishers made each series available at different dates. The common-sample CPI chain is the check that handles this concern.</w:t>
      </w:r>
    </w:p>
    <w:p>
      <w:pPr>
        <w:pStyle w:val="ListBullet"/>
        <w:spacing w:after="40" w:line="300" w:lineRule="auto"/>
        <w:ind w:firstLine="0"/>
      </w:pPr>
      <w:r>
        <w:rPr>
          <w:rFonts w:ascii="Times New Roman" w:hAnsi="Times New Roman" w:cs="Times New Roman" w:eastAsia="Times New Roman"/>
          <w:b w:val="0"/>
          <w:i w:val="0"/>
          <w:sz w:val="23"/>
        </w:rPr>
        <w:t>CPI Fuel and Light starts only in 2011, so it is bridge evidence, not a 20-year headline claim.</w:t>
      </w:r>
    </w:p>
    <w:p>
      <w:pPr>
        <w:pStyle w:val="ListBullet"/>
        <w:spacing w:after="40" w:line="300" w:lineRule="auto"/>
        <w:ind w:firstLine="0"/>
      </w:pPr>
      <w:r>
        <w:rPr>
          <w:rFonts w:ascii="Times New Roman" w:hAnsi="Times New Roman" w:cs="Times New Roman" w:eastAsia="Times New Roman"/>
          <w:b w:val="0"/>
          <w:i w:val="0"/>
          <w:sz w:val="23"/>
        </w:rPr>
        <w:t>PPAC retail petrol uses Delhi prices as a retail-fuel proxy. Other cities have similar dynamics, but we only run the estimate on Delhi.</w:t>
      </w:r>
    </w:p>
    <w:p>
      <w:pPr>
        <w:pStyle w:val="ListBullet"/>
        <w:spacing w:after="40" w:line="300" w:lineRule="auto"/>
        <w:ind w:firstLine="0"/>
      </w:pPr>
      <w:r>
        <w:rPr>
          <w:rFonts w:ascii="Times New Roman" w:hAnsi="Times New Roman" w:cs="Times New Roman" w:eastAsia="Times New Roman"/>
          <w:b w:val="0"/>
          <w:i w:val="0"/>
          <w:sz w:val="23"/>
        </w:rPr>
        <w:t>The full-sample pooled WPI Fuel and Power model fails the functional-form test. We report it as context and move the wholesale fuel claim to the post-2010 excluding-COVID model.</w:t>
      </w:r>
    </w:p>
    <w:p>
      <w:pPr>
        <w:pStyle w:val="ListBullet"/>
        <w:spacing w:after="40" w:line="300" w:lineRule="auto"/>
        <w:ind w:firstLine="0"/>
      </w:pPr>
      <w:r>
        <w:rPr>
          <w:rFonts w:ascii="Times New Roman" w:hAnsi="Times New Roman" w:cs="Times New Roman" w:eastAsia="Times New Roman"/>
          <w:b w:val="0"/>
          <w:i w:val="0"/>
          <w:sz w:val="23"/>
        </w:rPr>
        <w:t>The pre/post-2010 wholesale split is institutional evidence, NOT a clean causal estimate of deregulation.</w:t>
      </w:r>
    </w:p>
    <w:p>
      <w:pPr>
        <w:pStyle w:val="ListBullet"/>
        <w:spacing w:after="40" w:line="300" w:lineRule="auto"/>
        <w:ind w:firstLine="0"/>
      </w:pPr>
      <w:r>
        <w:rPr>
          <w:rFonts w:ascii="Times New Roman" w:hAnsi="Times New Roman" w:cs="Times New Roman" w:eastAsia="Times New Roman"/>
          <w:b w:val="0"/>
          <w:i w:val="0"/>
          <w:sz w:val="23"/>
        </w:rPr>
        <w:t>Headline CPI pass-through should be described as weak and not statistically significant, NOT as ‘zero’.</w:t>
      </w:r>
    </w:p>
    <w:p>
      <w:pPr>
        <w:pStyle w:val="ListBullet"/>
        <w:spacing w:after="40" w:line="300" w:lineRule="auto"/>
        <w:ind w:firstLine="0"/>
      </w:pPr>
      <w:r>
        <w:rPr>
          <w:rFonts w:ascii="Times New Roman" w:hAnsi="Times New Roman" w:cs="Times New Roman" w:eastAsia="Times New Roman"/>
          <w:b w:val="0"/>
          <w:i w:val="0"/>
          <w:sz w:val="23"/>
        </w:rPr>
        <w:t>The layered map is not a single mechanical shock moving through five equations. It is five related reduced-form equations whose coefficients share a common interpretation.</w:t>
      </w:r>
    </w:p>
    <w:p>
      <w:pPr>
        <w:spacing w:before="120" w:after="120"/>
        <w:ind w:firstLine="0" w:left="144" w:right="144"/>
        <w:shd w:val="clear" w:color="auto" w:fill="EEF2FA"/>
      </w:pPr>
      <w:r>
        <w:rPr>
          <w:rFonts w:ascii="Times New Roman" w:hAnsi="Times New Roman" w:cs="Times New Roman" w:eastAsia="Times New Roman"/>
          <w:b/>
          <w:i w:val="0"/>
          <w:sz w:val="22"/>
        </w:rPr>
        <w:t xml:space="preserve">What to say if a reviewer presses on causality: </w:t>
      </w:r>
      <w:r>
        <w:rPr>
          <w:rFonts w:ascii="Times New Roman" w:hAnsi="Times New Roman" w:cs="Times New Roman" w:eastAsia="Times New Roman"/>
          <w:b w:val="0"/>
          <w:i/>
          <w:sz w:val="22"/>
        </w:rPr>
        <w:t>‘Our estimates are reduced-form short-run projections. The Granger tests show predictive precedence from oil to wholesale and to retail fuel, but we do not make structural causal claims. For structural identification, a shock-based SVAR or a natural experiment would be needed; that is a logical future extension.’</w:t>
      </w:r>
      <w:r>
        <w:br w:type="page"/>
      </w:r>
    </w:p>
    <w:p>
      <w:pPr>
        <w:pStyle w:val="Heading1"/>
        <w:ind w:firstLine="0"/>
        <w:jc w:val="left"/>
      </w:pPr>
      <w:r>
        <w:rPr>
          <w:rFonts w:ascii="Times New Roman" w:hAnsi="Times New Roman"/>
          <w:b/>
        </w:rPr>
        <w:t>Part 11. Conclusion and the policy takeaways</w:t>
      </w:r>
    </w:p>
    <w:p>
      <w:pPr>
        <w:pStyle w:val="Heading2"/>
        <w:ind w:firstLine="0"/>
        <w:jc w:val="left"/>
      </w:pPr>
      <w:r>
        <w:rPr>
          <w:rFonts w:ascii="Times New Roman" w:hAnsi="Times New Roman"/>
          <w:b/>
        </w:rPr>
        <w:t>11.1 Direct answer to the research question</w:t>
      </w:r>
    </w:p>
    <w:p>
      <w:pPr>
        <w:jc w:val="both"/>
      </w:pPr>
      <w:r>
        <w:rPr>
          <w:rFonts w:ascii="Times New Roman" w:hAnsi="Times New Roman" w:cs="Times New Roman" w:eastAsia="Times New Roman"/>
          <w:b w:val="0"/>
          <w:i w:val="0"/>
          <w:sz w:val="23"/>
        </w:rPr>
        <w:t>Oil-price shocks transmit to India's prices in a layered way. They are strong in retail petrol (CPT+ = 0.3459) and in the preferred WPI Fuel and Power model (CPT+ = 0.5205). They are still visible in CPI Fuel and Light (CPT+ = 0.1777). They are modest but statistically significant in headline WPI (CPT+ = 0.0301). And they are weak and not statistically significant in headline CPI (CPT+ = 0.0213). The formal Wald test rejects equality between the retail petrol and headline CPI positive pass-through (F = 14.3499, p = 0.0002). So the pass-through weakens specifically between the fuel layers and the broad consumer index.</w:t>
      </w:r>
    </w:p>
    <w:p>
      <w:pPr>
        <w:pStyle w:val="Heading2"/>
        <w:ind w:firstLine="0"/>
        <w:jc w:val="left"/>
      </w:pPr>
      <w:r>
        <w:rPr>
          <w:rFonts w:ascii="Times New Roman" w:hAnsi="Times New Roman"/>
          <w:b/>
        </w:rPr>
        <w:t>11.2 Policy takeaways, carefully stated</w:t>
      </w:r>
    </w:p>
    <w:p>
      <w:pPr>
        <w:pStyle w:val="ListBullet"/>
        <w:spacing w:after="40" w:line="300" w:lineRule="auto"/>
        <w:ind w:firstLine="0"/>
      </w:pPr>
      <w:r>
        <w:rPr>
          <w:rFonts w:ascii="Times New Roman" w:hAnsi="Times New Roman" w:cs="Times New Roman" w:eastAsia="Times New Roman"/>
          <w:b w:val="0"/>
          <w:i w:val="0"/>
          <w:sz w:val="23"/>
        </w:rPr>
        <w:t>A monetary-policy framework that relies only on headline CPI may miss oil-side pressure, because oil's footprint at that layer is statistically small.</w:t>
      </w:r>
    </w:p>
    <w:p>
      <w:pPr>
        <w:pStyle w:val="ListBullet"/>
        <w:spacing w:after="40" w:line="300" w:lineRule="auto"/>
        <w:ind w:firstLine="0"/>
      </w:pPr>
      <w:r>
        <w:rPr>
          <w:rFonts w:ascii="Times New Roman" w:hAnsi="Times New Roman" w:cs="Times New Roman" w:eastAsia="Times New Roman"/>
          <w:b w:val="0"/>
          <w:i w:val="0"/>
          <w:sz w:val="23"/>
        </w:rPr>
        <w:t>Monitoring a small set of fuel-sensitive layers (retail petrol, WPI Fuel and Power, CPI Fuel and Light) gives more short-run information about oil pass-through than the headline alone.</w:t>
      </w:r>
    </w:p>
    <w:p>
      <w:pPr>
        <w:pStyle w:val="ListBullet"/>
        <w:spacing w:after="40" w:line="300" w:lineRule="auto"/>
        <w:ind w:firstLine="0"/>
      </w:pPr>
      <w:r>
        <w:rPr>
          <w:rFonts w:ascii="Times New Roman" w:hAnsi="Times New Roman" w:cs="Times New Roman" w:eastAsia="Times New Roman"/>
          <w:b w:val="0"/>
          <w:i w:val="0"/>
          <w:sz w:val="23"/>
        </w:rPr>
        <w:t>The larger post-2010 wholesale pass-through is consistent with a more market-linked fuel pricing regime. It is not a clean causal estimate of deregulation, so the wording should stay cautious.</w:t>
      </w:r>
    </w:p>
    <w:p>
      <w:pPr>
        <w:pStyle w:val="ListBullet"/>
        <w:spacing w:after="40" w:line="300" w:lineRule="auto"/>
        <w:ind w:firstLine="0"/>
      </w:pPr>
      <w:r>
        <w:rPr>
          <w:rFonts w:ascii="Times New Roman" w:hAnsi="Times New Roman" w:cs="Times New Roman" w:eastAsia="Times New Roman"/>
          <w:b w:val="0"/>
          <w:i w:val="0"/>
          <w:sz w:val="23"/>
        </w:rPr>
        <w:t>Asymmetric pricing (rockets and feathers) is marginal at retail petrol, and not supported at the headline layers.</w:t>
      </w:r>
    </w:p>
    <w:p>
      <w:pPr>
        <w:pStyle w:val="Heading2"/>
        <w:ind w:firstLine="0"/>
        <w:jc w:val="left"/>
      </w:pPr>
      <w:r>
        <w:rPr>
          <w:rFonts w:ascii="Times New Roman" w:hAnsi="Times New Roman"/>
          <w:b/>
        </w:rPr>
        <w:t>11.3 What we do not claim</w:t>
      </w:r>
    </w:p>
    <w:p>
      <w:pPr>
        <w:pStyle w:val="ListBullet"/>
        <w:spacing w:after="40" w:line="300" w:lineRule="auto"/>
        <w:ind w:firstLine="0"/>
      </w:pPr>
      <w:r>
        <w:rPr>
          <w:rFonts w:ascii="Times New Roman" w:hAnsi="Times New Roman" w:cs="Times New Roman" w:eastAsia="Times New Roman"/>
          <w:b w:val="0"/>
          <w:i w:val="0"/>
          <w:sz w:val="23"/>
        </w:rPr>
        <w:t>We do not claim oil is irrelevant for Indian inflation.</w:t>
      </w:r>
    </w:p>
    <w:p>
      <w:pPr>
        <w:pStyle w:val="ListBullet"/>
        <w:spacing w:after="40" w:line="300" w:lineRule="auto"/>
        <w:ind w:firstLine="0"/>
      </w:pPr>
      <w:r>
        <w:rPr>
          <w:rFonts w:ascii="Times New Roman" w:hAnsi="Times New Roman" w:cs="Times New Roman" w:eastAsia="Times New Roman"/>
          <w:b w:val="0"/>
          <w:i w:val="0"/>
          <w:sz w:val="23"/>
        </w:rPr>
        <w:t>We do not claim deregulation caused bigger pass-through.</w:t>
      </w:r>
    </w:p>
    <w:p>
      <w:pPr>
        <w:pStyle w:val="ListBullet"/>
        <w:spacing w:after="40" w:line="300" w:lineRule="auto"/>
        <w:ind w:firstLine="0"/>
      </w:pPr>
      <w:r>
        <w:rPr>
          <w:rFonts w:ascii="Times New Roman" w:hAnsi="Times New Roman" w:cs="Times New Roman" w:eastAsia="Times New Roman"/>
          <w:b w:val="0"/>
          <w:i w:val="0"/>
          <w:sz w:val="23"/>
        </w:rPr>
        <w:t>We do not claim asymmetric pass-through is the headline finding.</w:t>
      </w:r>
    </w:p>
    <w:p>
      <w:pPr>
        <w:pStyle w:val="ListBullet"/>
        <w:spacing w:after="40" w:line="300" w:lineRule="auto"/>
        <w:ind w:firstLine="0"/>
      </w:pPr>
      <w:r>
        <w:rPr>
          <w:rFonts w:ascii="Times New Roman" w:hAnsi="Times New Roman" w:cs="Times New Roman" w:eastAsia="Times New Roman"/>
          <w:b w:val="0"/>
          <w:i w:val="0"/>
          <w:sz w:val="23"/>
        </w:rPr>
        <w:t>We do not claim a single structural chain from Brent to headline CPI.</w:t>
      </w:r>
    </w:p>
    <w:p>
      <w:pPr>
        <w:pStyle w:val="ListBullet"/>
        <w:spacing w:after="40" w:line="300" w:lineRule="auto"/>
        <w:ind w:firstLine="0"/>
      </w:pPr>
      <w:r>
        <w:rPr>
          <w:rFonts w:ascii="Times New Roman" w:hAnsi="Times New Roman" w:cs="Times New Roman" w:eastAsia="Times New Roman"/>
          <w:b w:val="0"/>
          <w:i w:val="0"/>
          <w:sz w:val="23"/>
        </w:rPr>
        <w:t>We do not claim headline CPI pass-through is zero. It is weak and not significant in our sample.</w:t>
      </w:r>
    </w:p>
    <w:p>
      <w:pPr>
        <w:pStyle w:val="Heading2"/>
        <w:ind w:firstLine="0"/>
        <w:jc w:val="left"/>
      </w:pPr>
      <w:r>
        <w:rPr>
          <w:rFonts w:ascii="Times New Roman" w:hAnsi="Times New Roman"/>
          <w:b/>
        </w:rPr>
        <w:t>11.4 Natural extensions for future work</w:t>
      </w:r>
    </w:p>
    <w:p>
      <w:pPr>
        <w:pStyle w:val="ListBullet"/>
        <w:spacing w:after="40" w:line="300" w:lineRule="auto"/>
        <w:ind w:firstLine="0"/>
      </w:pPr>
      <w:r>
        <w:rPr>
          <w:rFonts w:ascii="Times New Roman" w:hAnsi="Times New Roman" w:cs="Times New Roman" w:eastAsia="Times New Roman"/>
          <w:b w:val="0"/>
          <w:i w:val="0"/>
          <w:sz w:val="23"/>
        </w:rPr>
        <w:t>Decompose headline CPI into transport, housing, and miscellaneous services and trace where the small headline signal sits.</w:t>
      </w:r>
    </w:p>
    <w:p>
      <w:pPr>
        <w:pStyle w:val="ListBullet"/>
        <w:spacing w:after="40" w:line="300" w:lineRule="auto"/>
        <w:ind w:firstLine="0"/>
      </w:pPr>
      <w:r>
        <w:rPr>
          <w:rFonts w:ascii="Times New Roman" w:hAnsi="Times New Roman" w:cs="Times New Roman" w:eastAsia="Times New Roman"/>
          <w:b w:val="0"/>
          <w:i w:val="0"/>
          <w:sz w:val="23"/>
        </w:rPr>
        <w:t>Fit a time-varying-parameter ADL so the coefficients can drift smoothly with the pricing regime rather than breaking at a single date.</w:t>
      </w:r>
    </w:p>
    <w:p>
      <w:pPr>
        <w:pStyle w:val="ListBullet"/>
        <w:spacing w:after="40" w:line="300" w:lineRule="auto"/>
        <w:ind w:firstLine="0"/>
      </w:pPr>
      <w:r>
        <w:rPr>
          <w:rFonts w:ascii="Times New Roman" w:hAnsi="Times New Roman" w:cs="Times New Roman" w:eastAsia="Times New Roman"/>
          <w:b w:val="0"/>
          <w:i w:val="0"/>
          <w:sz w:val="23"/>
        </w:rPr>
        <w:t>A structural VAR with identified oil-supply and exchange-rate shocks, to convert the reduced-form map into a causal decomposition.</w:t>
      </w:r>
    </w:p>
    <w:p>
      <w:pPr>
        <w:pStyle w:val="ListBullet"/>
        <w:spacing w:after="40" w:line="300" w:lineRule="auto"/>
        <w:ind w:firstLine="0"/>
      </w:pPr>
      <w:r>
        <w:rPr>
          <w:rFonts w:ascii="Times New Roman" w:hAnsi="Times New Roman" w:cs="Times New Roman" w:eastAsia="Times New Roman"/>
          <w:b w:val="0"/>
          <w:i w:val="0"/>
          <w:sz w:val="23"/>
        </w:rPr>
        <w:t>A cross-country comparison of attenuation maps across oil-importing emerging economies.</w:t>
      </w:r>
    </w:p>
    <w:p>
      <w:pPr>
        <w:pStyle w:val="Heading2"/>
        <w:ind w:firstLine="0"/>
        <w:jc w:val="left"/>
      </w:pPr>
      <w:r>
        <w:rPr>
          <w:rFonts w:ascii="Times New Roman" w:hAnsi="Times New Roman"/>
          <w:b/>
        </w:rPr>
        <w:t>11.5 Closing line, the one the teacher will remember</w:t>
      </w:r>
    </w:p>
    <w:p>
      <w:pPr>
        <w:jc w:val="both"/>
      </w:pPr>
      <w:r>
        <w:rPr>
          <w:rFonts w:ascii="Times New Roman" w:hAnsi="Times New Roman" w:cs="Times New Roman" w:eastAsia="Times New Roman"/>
          <w:b w:val="0"/>
          <w:i w:val="0"/>
          <w:sz w:val="23"/>
        </w:rPr>
        <w:t>Oil shocks do not vanish in India, but they lose force as they move from fuel prices to broad consumer inflation.</w:t>
      </w:r>
    </w:p>
    <w:p>
      <w:pPr>
        <w:spacing w:before="120" w:after="120"/>
        <w:ind w:firstLine="0" w:left="144" w:right="144"/>
        <w:shd w:val="clear" w:color="auto" w:fill="EEF2FA"/>
      </w:pPr>
      <w:r>
        <w:rPr>
          <w:rFonts w:ascii="Times New Roman" w:hAnsi="Times New Roman" w:cs="Times New Roman" w:eastAsia="Times New Roman"/>
          <w:b/>
          <w:i w:val="0"/>
          <w:sz w:val="22"/>
        </w:rPr>
        <w:t xml:space="preserve">If you only remember one thing: </w:t>
      </w:r>
      <w:r>
        <w:rPr>
          <w:rFonts w:ascii="Times New Roman" w:hAnsi="Times New Roman" w:cs="Times New Roman" w:eastAsia="Times New Roman"/>
          <w:b w:val="0"/>
          <w:i/>
          <w:sz w:val="22"/>
        </w:rPr>
        <w:t>This study turns oil pass-through into a layered attenuation map. The numbers fall cleanly from retail petrol and WPI Fuel and Power down to headline CPI, and the formal Wald test says that fall is statistically real.</w:t>
      </w:r>
      <w:r>
        <w:br w:type="page"/>
      </w:r>
    </w:p>
    <w:p>
      <w:pPr>
        <w:pStyle w:val="Heading1"/>
        <w:ind w:firstLine="0"/>
        <w:jc w:val="left"/>
      </w:pPr>
      <w:r>
        <w:rPr>
          <w:rFonts w:ascii="Times New Roman" w:hAnsi="Times New Roman"/>
          <w:b/>
        </w:rPr>
        <w:t>Part 12. Viva question bank with short model answers</w:t>
      </w:r>
    </w:p>
    <w:p>
      <w:pPr>
        <w:pStyle w:val="Heading2"/>
        <w:ind w:firstLine="0"/>
        <w:jc w:val="left"/>
      </w:pPr>
      <w:r>
        <w:rPr>
          <w:rFonts w:ascii="Times New Roman" w:hAnsi="Times New Roman"/>
          <w:b/>
        </w:rPr>
        <w:t>12.1 Setting-the-scene questions</w:t>
      </w:r>
    </w:p>
    <w:p>
      <w:pPr>
        <w:spacing w:before="120" w:after="40"/>
        <w:ind w:firstLine="0"/>
      </w:pPr>
      <w:r>
        <w:rPr>
          <w:rFonts w:ascii="Times New Roman" w:hAnsi="Times New Roman" w:cs="Times New Roman" w:eastAsia="Times New Roman"/>
          <w:b/>
          <w:i w:val="0"/>
          <w:sz w:val="23"/>
        </w:rPr>
        <w:t>Q. What is your main research question?</w:t>
      </w:r>
    </w:p>
    <w:p>
      <w:pPr>
        <w:spacing w:after="120"/>
        <w:ind w:firstLine="0" w:left="288"/>
      </w:pPr>
      <w:r>
        <w:rPr>
          <w:rFonts w:ascii="Times New Roman" w:hAnsi="Times New Roman" w:cs="Times New Roman" w:eastAsia="Times New Roman"/>
          <w:b w:val="0"/>
          <w:i w:val="0"/>
          <w:sz w:val="23"/>
        </w:rPr>
        <w:t>A. How global oil-price shocks transmit across India's wholesale, retail fuel, fuel-sensitive consumer, and headline consumer price layers, and where that pass-through weakens.</w:t>
      </w:r>
    </w:p>
    <w:p>
      <w:pPr>
        <w:spacing w:before="120" w:after="40"/>
        <w:ind w:firstLine="0"/>
      </w:pPr>
      <w:r>
        <w:rPr>
          <w:rFonts w:ascii="Times New Roman" w:hAnsi="Times New Roman" w:cs="Times New Roman" w:eastAsia="Times New Roman"/>
          <w:b/>
          <w:i w:val="0"/>
          <w:sz w:val="23"/>
        </w:rPr>
        <w:t>Q. What is your main finding in one line?</w:t>
      </w:r>
    </w:p>
    <w:p>
      <w:pPr>
        <w:spacing w:after="120"/>
        <w:ind w:firstLine="0" w:left="288"/>
      </w:pPr>
      <w:r>
        <w:rPr>
          <w:rFonts w:ascii="Times New Roman" w:hAnsi="Times New Roman" w:cs="Times New Roman" w:eastAsia="Times New Roman"/>
          <w:b w:val="0"/>
          <w:i w:val="0"/>
          <w:sz w:val="23"/>
        </w:rPr>
        <w:t>A. Oil-price shocks pass through strongly at fuel-related layers and weakly at the headline CPI layer, and the difference is statistically significant.</w:t>
      </w:r>
    </w:p>
    <w:p>
      <w:pPr>
        <w:spacing w:before="120" w:after="40"/>
        <w:ind w:firstLine="0"/>
      </w:pPr>
      <w:r>
        <w:rPr>
          <w:rFonts w:ascii="Times New Roman" w:hAnsi="Times New Roman" w:cs="Times New Roman" w:eastAsia="Times New Roman"/>
          <w:b/>
          <w:i w:val="0"/>
          <w:sz w:val="23"/>
        </w:rPr>
        <w:t>Q. What is the contribution of the study?</w:t>
      </w:r>
    </w:p>
    <w:p>
      <w:pPr>
        <w:spacing w:after="120"/>
        <w:ind w:firstLine="0" w:left="288"/>
      </w:pPr>
      <w:r>
        <w:rPr>
          <w:rFonts w:ascii="Times New Roman" w:hAnsi="Times New Roman" w:cs="Times New Roman" w:eastAsia="Times New Roman"/>
          <w:b w:val="0"/>
          <w:i w:val="0"/>
          <w:sz w:val="23"/>
        </w:rPr>
        <w:t>A. Treating oil pass-through as a layered transmission problem across five price indices, rather than as a single elasticity between Brent and headline CPI, and backing that framing with a formal Wald test on the common-sample consumer-price chain.</w:t>
      </w:r>
    </w:p>
    <w:p>
      <w:pPr>
        <w:spacing w:before="120" w:after="40"/>
        <w:ind w:firstLine="0"/>
      </w:pPr>
      <w:r>
        <w:rPr>
          <w:rFonts w:ascii="Times New Roman" w:hAnsi="Times New Roman" w:cs="Times New Roman" w:eastAsia="Times New Roman"/>
          <w:b/>
          <w:i w:val="0"/>
          <w:sz w:val="23"/>
        </w:rPr>
        <w:t>Q. What is novel compared with earlier India studies?</w:t>
      </w:r>
    </w:p>
    <w:p>
      <w:pPr>
        <w:spacing w:after="120"/>
        <w:ind w:firstLine="0" w:left="288"/>
      </w:pPr>
      <w:r>
        <w:rPr>
          <w:rFonts w:ascii="Times New Roman" w:hAnsi="Times New Roman" w:cs="Times New Roman" w:eastAsia="Times New Roman"/>
          <w:b w:val="0"/>
          <w:i w:val="0"/>
          <w:sz w:val="23"/>
        </w:rPr>
        <w:t>A. Earlier work usually picks one index or one equation. We put five related equations into one attenuation map, keep each layer's sample and shock variable visible, and show that the fall in pass-through from retail petrol to headline CPI is statistically real.</w:t>
      </w:r>
    </w:p>
    <w:p>
      <w:pPr>
        <w:spacing w:before="120" w:after="40"/>
        <w:ind w:firstLine="0"/>
      </w:pPr>
      <w:r>
        <w:rPr>
          <w:rFonts w:ascii="Times New Roman" w:hAnsi="Times New Roman" w:cs="Times New Roman" w:eastAsia="Times New Roman"/>
          <w:b/>
          <w:i w:val="0"/>
          <w:sz w:val="23"/>
        </w:rPr>
        <w:t>Q. Why does this matter for policy?</w:t>
      </w:r>
    </w:p>
    <w:p>
      <w:pPr>
        <w:spacing w:after="120"/>
        <w:ind w:firstLine="0" w:left="288"/>
      </w:pPr>
      <w:r>
        <w:rPr>
          <w:rFonts w:ascii="Times New Roman" w:hAnsi="Times New Roman" w:cs="Times New Roman" w:eastAsia="Times New Roman"/>
          <w:b w:val="0"/>
          <w:i w:val="0"/>
          <w:sz w:val="23"/>
        </w:rPr>
        <w:t>A. The Reserve Bank of India targets headline CPI for inflation. If headline CPI is weakly tied to oil, a policy reader looking only at headline might miss upstream fuel-side pressure. So they should also watch fuel-sensitive layers.</w:t>
      </w:r>
    </w:p>
    <w:p>
      <w:pPr>
        <w:pStyle w:val="Heading2"/>
        <w:ind w:firstLine="0"/>
        <w:jc w:val="left"/>
      </w:pPr>
      <w:r>
        <w:rPr>
          <w:rFonts w:ascii="Times New Roman" w:hAnsi="Times New Roman"/>
          <w:b/>
        </w:rPr>
        <w:t>12.2 Data questions</w:t>
      </w:r>
    </w:p>
    <w:p>
      <w:pPr>
        <w:spacing w:before="120" w:after="40"/>
        <w:ind w:firstLine="0"/>
      </w:pPr>
      <w:r>
        <w:rPr>
          <w:rFonts w:ascii="Times New Roman" w:hAnsi="Times New Roman" w:cs="Times New Roman" w:eastAsia="Times New Roman"/>
          <w:b/>
          <w:i w:val="0"/>
          <w:sz w:val="23"/>
        </w:rPr>
        <w:t>Q. Where does your Brent crude data come from?</w:t>
      </w:r>
    </w:p>
    <w:p>
      <w:pPr>
        <w:spacing w:after="120"/>
        <w:ind w:firstLine="0" w:left="288"/>
      </w:pPr>
      <w:r>
        <w:rPr>
          <w:rFonts w:ascii="Times New Roman" w:hAnsi="Times New Roman" w:cs="Times New Roman" w:eastAsia="Times New Roman"/>
          <w:b w:val="0"/>
          <w:i w:val="0"/>
          <w:sz w:val="23"/>
        </w:rPr>
        <w:t>A. The World Bank Commodity Price Data, commonly called the Pink Sheet. Monthly frequency. Cross-checked against FRED POILBREUSDM.</w:t>
      </w:r>
    </w:p>
    <w:p>
      <w:pPr>
        <w:spacing w:before="120" w:after="40"/>
        <w:ind w:firstLine="0"/>
      </w:pPr>
      <w:r>
        <w:rPr>
          <w:rFonts w:ascii="Times New Roman" w:hAnsi="Times New Roman" w:cs="Times New Roman" w:eastAsia="Times New Roman"/>
          <w:b/>
          <w:i w:val="0"/>
          <w:sz w:val="23"/>
        </w:rPr>
        <w:t>Q. Where does the INR/USD exchange rate come from?</w:t>
      </w:r>
    </w:p>
    <w:p>
      <w:pPr>
        <w:spacing w:after="120"/>
        <w:ind w:firstLine="0" w:left="288"/>
      </w:pPr>
      <w:r>
        <w:rPr>
          <w:rFonts w:ascii="Times New Roman" w:hAnsi="Times New Roman" w:cs="Times New Roman" w:eastAsia="Times New Roman"/>
          <w:b w:val="0"/>
          <w:i w:val="0"/>
          <w:sz w:val="23"/>
        </w:rPr>
        <w:t>A. FRED series EXINUS for the CPI pipeline, and EXINUS_latest for the WPI pipeline. FRED is Federal Reserve Economic Data at the Federal Reserve Bank of St. Louis.</w:t>
      </w:r>
    </w:p>
    <w:p>
      <w:pPr>
        <w:spacing w:before="120" w:after="40"/>
        <w:ind w:firstLine="0"/>
      </w:pPr>
      <w:r>
        <w:rPr>
          <w:rFonts w:ascii="Times New Roman" w:hAnsi="Times New Roman" w:cs="Times New Roman" w:eastAsia="Times New Roman"/>
          <w:b/>
          <w:i w:val="0"/>
          <w:sz w:val="23"/>
        </w:rPr>
        <w:t>Q. Who publishes the WPI?</w:t>
      </w:r>
    </w:p>
    <w:p>
      <w:pPr>
        <w:spacing w:after="120"/>
        <w:ind w:firstLine="0" w:left="288"/>
      </w:pPr>
      <w:r>
        <w:rPr>
          <w:rFonts w:ascii="Times New Roman" w:hAnsi="Times New Roman" w:cs="Times New Roman" w:eastAsia="Times New Roman"/>
          <w:b w:val="0"/>
          <w:i w:val="0"/>
          <w:sz w:val="23"/>
        </w:rPr>
        <w:t>A. The Office of the Economic Adviser (OEA), inside the Department for Promotion of Industry and Internal Trade (DPIIT), Ministry of Commerce and Industry.</w:t>
      </w:r>
    </w:p>
    <w:p>
      <w:pPr>
        <w:spacing w:before="120" w:after="40"/>
        <w:ind w:firstLine="0"/>
      </w:pPr>
      <w:r>
        <w:rPr>
          <w:rFonts w:ascii="Times New Roman" w:hAnsi="Times New Roman" w:cs="Times New Roman" w:eastAsia="Times New Roman"/>
          <w:b/>
          <w:i w:val="0"/>
          <w:sz w:val="23"/>
        </w:rPr>
        <w:t>Q. Who publishes the CPI?</w:t>
      </w:r>
    </w:p>
    <w:p>
      <w:pPr>
        <w:spacing w:after="120"/>
        <w:ind w:firstLine="0" w:left="288"/>
      </w:pPr>
      <w:r>
        <w:rPr>
          <w:rFonts w:ascii="Times New Roman" w:hAnsi="Times New Roman" w:cs="Times New Roman" w:eastAsia="Times New Roman"/>
          <w:b w:val="0"/>
          <w:i w:val="0"/>
          <w:sz w:val="23"/>
        </w:rPr>
        <w:t>A. The Ministry of Statistics and Programme Implementation, MoSPI.</w:t>
      </w:r>
    </w:p>
    <w:p>
      <w:pPr>
        <w:spacing w:before="120" w:after="40"/>
        <w:ind w:firstLine="0"/>
      </w:pPr>
      <w:r>
        <w:rPr>
          <w:rFonts w:ascii="Times New Roman" w:hAnsi="Times New Roman" w:cs="Times New Roman" w:eastAsia="Times New Roman"/>
          <w:b/>
          <w:i w:val="0"/>
          <w:sz w:val="23"/>
        </w:rPr>
        <w:t>Q. Why PPAC retail petrol for Delhi and not national?</w:t>
      </w:r>
    </w:p>
    <w:p>
      <w:pPr>
        <w:spacing w:after="120"/>
        <w:ind w:firstLine="0" w:left="288"/>
      </w:pPr>
      <w:r>
        <w:rPr>
          <w:rFonts w:ascii="Times New Roman" w:hAnsi="Times New Roman" w:cs="Times New Roman" w:eastAsia="Times New Roman"/>
          <w:b w:val="0"/>
          <w:i w:val="0"/>
          <w:sz w:val="23"/>
        </w:rPr>
        <w:t>A. PPAC (Petroleum Planning and Analysis Cell, Ministry of Petroleum and Natural Gas) publishes consistent monthly Delhi prices back to 2004. It is used as a retail-fuel channel proxy. Other metros give similar qualitative patterns.</w:t>
      </w:r>
    </w:p>
    <w:p>
      <w:pPr>
        <w:spacing w:before="120" w:after="40"/>
        <w:ind w:firstLine="0"/>
      </w:pPr>
      <w:r>
        <w:rPr>
          <w:rFonts w:ascii="Times New Roman" w:hAnsi="Times New Roman" w:cs="Times New Roman" w:eastAsia="Times New Roman"/>
          <w:b/>
          <w:i w:val="0"/>
          <w:sz w:val="23"/>
        </w:rPr>
        <w:t>Q. What is the rupee oil price? Why construct it?</w:t>
      </w:r>
    </w:p>
    <w:p>
      <w:pPr>
        <w:spacing w:after="120"/>
        <w:ind w:firstLine="0" w:left="288"/>
      </w:pPr>
      <w:r>
        <w:rPr>
          <w:rFonts w:ascii="Times New Roman" w:hAnsi="Times New Roman" w:cs="Times New Roman" w:eastAsia="Times New Roman"/>
          <w:b w:val="0"/>
          <w:i w:val="0"/>
          <w:sz w:val="23"/>
        </w:rPr>
        <w:t>A. It is Brent in dollars multiplied by the INR/USD rate. We use it because Indian refiners and the broader economy pay for oil in rupees. A Brent rise with a rupee appreciation at the same time creates a different domestic cost pressure than a Brent rise alone.</w:t>
      </w:r>
    </w:p>
    <w:p>
      <w:pPr>
        <w:spacing w:before="120" w:after="40"/>
        <w:ind w:firstLine="0"/>
      </w:pPr>
      <w:r>
        <w:rPr>
          <w:rFonts w:ascii="Times New Roman" w:hAnsi="Times New Roman" w:cs="Times New Roman" w:eastAsia="Times New Roman"/>
          <w:b/>
          <w:i w:val="0"/>
          <w:sz w:val="23"/>
        </w:rPr>
        <w:t>Q. Why do your samples differ across layers?</w:t>
      </w:r>
    </w:p>
    <w:p>
      <w:pPr>
        <w:spacing w:after="120"/>
        <w:ind w:firstLine="0" w:left="288"/>
      </w:pPr>
      <w:r>
        <w:rPr>
          <w:rFonts w:ascii="Times New Roman" w:hAnsi="Times New Roman" w:cs="Times New Roman" w:eastAsia="Times New Roman"/>
          <w:b w:val="0"/>
          <w:i w:val="0"/>
          <w:sz w:val="23"/>
        </w:rPr>
        <w:t>A. Each official series becomes available at different dates. Headline WPI goes back to 1983-05, WPI Fuel and Power to 1995-05, retail petrol to 2004-08, and CPI Fuel and Light only to 2011-05. We use the longest consistent window for each layer.</w:t>
      </w:r>
    </w:p>
    <w:p>
      <w:pPr>
        <w:spacing w:before="120" w:after="40"/>
        <w:ind w:firstLine="0"/>
      </w:pPr>
      <w:r>
        <w:rPr>
          <w:rFonts w:ascii="Times New Roman" w:hAnsi="Times New Roman" w:cs="Times New Roman" w:eastAsia="Times New Roman"/>
          <w:b/>
          <w:i w:val="0"/>
          <w:sz w:val="23"/>
        </w:rPr>
        <w:t>Q. How do you handle the fact that samples differ?</w:t>
      </w:r>
    </w:p>
    <w:p>
      <w:pPr>
        <w:spacing w:after="120"/>
        <w:ind w:firstLine="0" w:left="288"/>
      </w:pPr>
      <w:r>
        <w:rPr>
          <w:rFonts w:ascii="Times New Roman" w:hAnsi="Times New Roman" w:cs="Times New Roman" w:eastAsia="Times New Roman"/>
          <w:b w:val="0"/>
          <w:i w:val="0"/>
          <w:sz w:val="23"/>
        </w:rPr>
        <w:t>A. We run a common-sample consumer-chain check where all three stages are estimated on overlapping months, with small observation differences from lag construction. The qualitative ranking holds. The Wald test for attenuation uses this common-sample set-up.</w:t>
      </w:r>
    </w:p>
    <w:p>
      <w:pPr>
        <w:pStyle w:val="Heading2"/>
        <w:ind w:firstLine="0"/>
        <w:jc w:val="left"/>
      </w:pPr>
      <w:r>
        <w:rPr>
          <w:rFonts w:ascii="Times New Roman" w:hAnsi="Times New Roman"/>
          <w:b/>
        </w:rPr>
        <w:t>12.3 Variable questions</w:t>
      </w:r>
    </w:p>
    <w:p>
      <w:pPr>
        <w:spacing w:before="120" w:after="40"/>
        <w:ind w:firstLine="0"/>
      </w:pPr>
      <w:r>
        <w:rPr>
          <w:rFonts w:ascii="Times New Roman" w:hAnsi="Times New Roman" w:cs="Times New Roman" w:eastAsia="Times New Roman"/>
          <w:b/>
          <w:i w:val="0"/>
          <w:sz w:val="23"/>
        </w:rPr>
        <w:t>Q. Why log differences and not levels?</w:t>
      </w:r>
    </w:p>
    <w:p>
      <w:pPr>
        <w:spacing w:after="120"/>
        <w:ind w:firstLine="0" w:left="288"/>
      </w:pPr>
      <w:r>
        <w:rPr>
          <w:rFonts w:ascii="Times New Roman" w:hAnsi="Times New Roman" w:cs="Times New Roman" w:eastAsia="Times New Roman"/>
          <w:b w:val="0"/>
          <w:i w:val="0"/>
          <w:sz w:val="23"/>
        </w:rPr>
        <w:t>A. Price levels have unit roots and trend together. Regressing them on each other produces spurious results. Log differences are stationary and also read naturally as percentage changes.</w:t>
      </w:r>
    </w:p>
    <w:p>
      <w:pPr>
        <w:spacing w:before="120" w:after="40"/>
        <w:ind w:firstLine="0"/>
      </w:pPr>
      <w:r>
        <w:rPr>
          <w:rFonts w:ascii="Times New Roman" w:hAnsi="Times New Roman" w:cs="Times New Roman" w:eastAsia="Times New Roman"/>
          <w:b/>
          <w:i w:val="0"/>
          <w:sz w:val="23"/>
        </w:rPr>
        <w:t>Q. Why multiply the log difference by 100?</w:t>
      </w:r>
    </w:p>
    <w:p>
      <w:pPr>
        <w:spacing w:after="120"/>
        <w:ind w:firstLine="0" w:left="288"/>
      </w:pPr>
      <w:r>
        <w:rPr>
          <w:rFonts w:ascii="Times New Roman" w:hAnsi="Times New Roman" w:cs="Times New Roman" w:eastAsia="Times New Roman"/>
          <w:b w:val="0"/>
          <w:i w:val="0"/>
          <w:sz w:val="23"/>
        </w:rPr>
        <w:t>A. So that each coefficient reads as a percentage response per one per cent shock. Without the 100 the economics is the same, just in decimals.</w:t>
      </w:r>
    </w:p>
    <w:p>
      <w:pPr>
        <w:spacing w:before="120" w:after="40"/>
        <w:ind w:firstLine="0"/>
      </w:pPr>
      <w:r>
        <w:rPr>
          <w:rFonts w:ascii="Times New Roman" w:hAnsi="Times New Roman" w:cs="Times New Roman" w:eastAsia="Times New Roman"/>
          <w:b/>
          <w:i w:val="0"/>
          <w:sz w:val="23"/>
        </w:rPr>
        <w:t>Q. What is the positive/negative shock split?</w:t>
      </w:r>
    </w:p>
    <w:p>
      <w:pPr>
        <w:spacing w:after="120"/>
        <w:ind w:firstLine="0" w:left="288"/>
      </w:pPr>
      <w:r>
        <w:rPr>
          <w:rFonts w:ascii="Times New Roman" w:hAnsi="Times New Roman" w:cs="Times New Roman" w:eastAsia="Times New Roman"/>
          <w:b w:val="0"/>
          <w:i w:val="0"/>
          <w:sz w:val="23"/>
        </w:rPr>
        <w:t>A. For every shock we build a non-negative ‘twin’ that equals max(Δx, 0) and a non-positive ‘twin’ that equals min(Δx, 0). They sum to the original shock. This lets us test whether positive and negative shocks pass through at the same size.</w:t>
      </w:r>
    </w:p>
    <w:p>
      <w:pPr>
        <w:spacing w:before="120" w:after="40"/>
        <w:ind w:firstLine="0"/>
      </w:pPr>
      <w:r>
        <w:rPr>
          <w:rFonts w:ascii="Times New Roman" w:hAnsi="Times New Roman" w:cs="Times New Roman" w:eastAsia="Times New Roman"/>
          <w:b/>
          <w:i w:val="0"/>
          <w:sz w:val="23"/>
        </w:rPr>
        <w:t>Q. What is CPT+ and CPT−?</w:t>
      </w:r>
    </w:p>
    <w:p>
      <w:pPr>
        <w:spacing w:after="120"/>
        <w:ind w:firstLine="0" w:left="288"/>
      </w:pPr>
      <w:r>
        <w:rPr>
          <w:rFonts w:ascii="Times New Roman" w:hAnsi="Times New Roman" w:cs="Times New Roman" w:eastAsia="Times New Roman"/>
          <w:b w:val="0"/>
          <w:i w:val="0"/>
          <w:sz w:val="23"/>
        </w:rPr>
        <w:t>A. CPT+ is the sum of coefficients on the positive-shock lags, adding up the total cumulative response to a one per cent positive shock over the ADL lag window. CPT− is the same sum for negative shocks.</w:t>
      </w:r>
    </w:p>
    <w:p>
      <w:pPr>
        <w:pStyle w:val="Heading2"/>
        <w:ind w:firstLine="0"/>
        <w:jc w:val="left"/>
      </w:pPr>
      <w:r>
        <w:rPr>
          <w:rFonts w:ascii="Times New Roman" w:hAnsi="Times New Roman"/>
          <w:b/>
        </w:rPr>
        <w:t>12.4 Methodology questions</w:t>
      </w:r>
    </w:p>
    <w:p>
      <w:pPr>
        <w:spacing w:before="120" w:after="40"/>
        <w:ind w:firstLine="0"/>
      </w:pPr>
      <w:r>
        <w:rPr>
          <w:rFonts w:ascii="Times New Roman" w:hAnsi="Times New Roman" w:cs="Times New Roman" w:eastAsia="Times New Roman"/>
          <w:b/>
          <w:i w:val="0"/>
          <w:sz w:val="23"/>
        </w:rPr>
        <w:t>Q. Why ADL?</w:t>
      </w:r>
    </w:p>
    <w:p>
      <w:pPr>
        <w:spacing w:after="120"/>
        <w:ind w:firstLine="0" w:left="288"/>
      </w:pPr>
      <w:r>
        <w:rPr>
          <w:rFonts w:ascii="Times New Roman" w:hAnsi="Times New Roman" w:cs="Times New Roman" w:eastAsia="Times New Roman"/>
          <w:b w:val="0"/>
          <w:i w:val="0"/>
          <w:sz w:val="23"/>
        </w:rPr>
        <w:t>A. ADL models allow the dependent inflation to depend on its own recent past (autoregressive) and on current and recent shocks (distributed lag). That matches how price data behave. We use the asymmetric version to test rockets and feathers.</w:t>
      </w:r>
    </w:p>
    <w:p>
      <w:pPr>
        <w:spacing w:before="120" w:after="40"/>
        <w:ind w:firstLine="0"/>
      </w:pPr>
      <w:r>
        <w:rPr>
          <w:rFonts w:ascii="Times New Roman" w:hAnsi="Times New Roman" w:cs="Times New Roman" w:eastAsia="Times New Roman"/>
          <w:b/>
          <w:i w:val="0"/>
          <w:sz w:val="23"/>
        </w:rPr>
        <w:t>Q. Why not NARDL or an error-correction model?</w:t>
      </w:r>
    </w:p>
    <w:p>
      <w:pPr>
        <w:spacing w:after="120"/>
        <w:ind w:firstLine="0" w:left="288"/>
      </w:pPr>
      <w:r>
        <w:rPr>
          <w:rFonts w:ascii="Times New Roman" w:hAnsi="Times New Roman" w:cs="Times New Roman" w:eastAsia="Times New Roman"/>
          <w:b w:val="0"/>
          <w:i w:val="0"/>
          <w:sz w:val="23"/>
        </w:rPr>
        <w:t>A. Our question is about monthly transmission, not about long-run equilibrium relationships. NARDL bounds and error-correction tools would be overkill and would invite long-run claims we do not need.</w:t>
      </w:r>
    </w:p>
    <w:p>
      <w:pPr>
        <w:spacing w:before="120" w:after="40"/>
        <w:ind w:firstLine="0"/>
      </w:pPr>
      <w:r>
        <w:rPr>
          <w:rFonts w:ascii="Times New Roman" w:hAnsi="Times New Roman" w:cs="Times New Roman" w:eastAsia="Times New Roman"/>
          <w:b/>
          <w:i w:val="0"/>
          <w:sz w:val="23"/>
        </w:rPr>
        <w:t>Q. What does ADL(3,3) mean? How did you choose 3 and 3?</w:t>
      </w:r>
    </w:p>
    <w:p>
      <w:pPr>
        <w:spacing w:after="120"/>
        <w:ind w:firstLine="0" w:left="288"/>
      </w:pPr>
      <w:r>
        <w:rPr>
          <w:rFonts w:ascii="Times New Roman" w:hAnsi="Times New Roman" w:cs="Times New Roman" w:eastAsia="Times New Roman"/>
          <w:b w:val="0"/>
          <w:i w:val="0"/>
          <w:sz w:val="23"/>
        </w:rPr>
        <w:t>A. Three lags of the dependent variable, three lags of the shock. The dependent-lag order is picked by AIC over p = 1 to 4 for the CPI and retail petrol pipelines. The shock-lag order balances fast retail and consumer dynamics against the informational content of older lags.</w:t>
      </w:r>
    </w:p>
    <w:p>
      <w:pPr>
        <w:spacing w:before="120" w:after="40"/>
        <w:ind w:firstLine="0"/>
      </w:pPr>
      <w:r>
        <w:rPr>
          <w:rFonts w:ascii="Times New Roman" w:hAnsi="Times New Roman" w:cs="Times New Roman" w:eastAsia="Times New Roman"/>
          <w:b/>
          <w:i w:val="0"/>
          <w:sz w:val="23"/>
        </w:rPr>
        <w:t>Q. Why ADL(12,6) for WPI?</w:t>
      </w:r>
    </w:p>
    <w:p>
      <w:pPr>
        <w:spacing w:after="120"/>
        <w:ind w:firstLine="0" w:left="288"/>
      </w:pPr>
      <w:r>
        <w:rPr>
          <w:rFonts w:ascii="Times New Roman" w:hAnsi="Times New Roman" w:cs="Times New Roman" w:eastAsia="Times New Roman"/>
          <w:b w:val="0"/>
          <w:i w:val="0"/>
          <w:sz w:val="23"/>
        </w:rPr>
        <w:t>A. Twelve own-lags capture the annual cycle in wholesale inflation even after month dummies. Six shock-lags let the oil response stretch half a year, which matches the way wholesale prices move after input costs change.</w:t>
      </w:r>
    </w:p>
    <w:p>
      <w:pPr>
        <w:spacing w:before="120" w:after="40"/>
        <w:ind w:firstLine="0"/>
      </w:pPr>
      <w:r>
        <w:rPr>
          <w:rFonts w:ascii="Times New Roman" w:hAnsi="Times New Roman" w:cs="Times New Roman" w:eastAsia="Times New Roman"/>
          <w:b/>
          <w:i w:val="0"/>
          <w:sz w:val="23"/>
        </w:rPr>
        <w:t>Q. How are the coefficients estimated? Is it OLS or something fancier?</w:t>
      </w:r>
    </w:p>
    <w:p>
      <w:pPr>
        <w:spacing w:after="120"/>
        <w:ind w:firstLine="0" w:left="288"/>
      </w:pPr>
      <w:r>
        <w:rPr>
          <w:rFonts w:ascii="Times New Roman" w:hAnsi="Times New Roman" w:cs="Times New Roman" w:eastAsia="Times New Roman"/>
          <w:b w:val="0"/>
          <w:i w:val="0"/>
          <w:sz w:val="23"/>
        </w:rPr>
        <w:t>A. Plain OLS. We estimate every ADL equation by minimising the sum of squared residuals. The only non-standard step is the standard errors, which are Newey-West HAC to fix autocorrelation and heteroskedasticity.</w:t>
      </w:r>
    </w:p>
    <w:p>
      <w:pPr>
        <w:spacing w:before="120" w:after="40"/>
        <w:ind w:firstLine="0"/>
      </w:pPr>
      <w:r>
        <w:rPr>
          <w:rFonts w:ascii="Times New Roman" w:hAnsi="Times New Roman" w:cs="Times New Roman" w:eastAsia="Times New Roman"/>
          <w:b/>
          <w:i w:val="0"/>
          <w:sz w:val="23"/>
        </w:rPr>
        <w:t>Q. What do α, β, γ, φ, μ, ε mean in your equation?</w:t>
      </w:r>
    </w:p>
    <w:p>
      <w:pPr>
        <w:spacing w:after="120"/>
        <w:ind w:firstLine="0" w:left="288"/>
      </w:pPr>
      <w:r>
        <w:rPr>
          <w:rFonts w:ascii="Times New Roman" w:hAnsi="Times New Roman" w:cs="Times New Roman" w:eastAsia="Times New Roman"/>
          <w:b w:val="0"/>
          <w:i w:val="0"/>
          <w:sz w:val="23"/>
        </w:rPr>
        <w:t>A. α is the intercept. φ</w:t>
      </w:r>
      <w:r>
        <w:rPr>
          <w:rFonts w:ascii="Times New Roman" w:hAnsi="Times New Roman" w:cs="Times New Roman" w:eastAsia="Times New Roman"/>
          <w:b w:val="0"/>
          <w:i w:val="0"/>
          <w:sz w:val="23"/>
          <w:vertAlign w:val="subscript"/>
        </w:rPr>
        <w:t>i</w:t>
      </w:r>
      <w:r>
        <w:rPr>
          <w:rFonts w:ascii="Times New Roman" w:hAnsi="Times New Roman" w:cs="Times New Roman" w:eastAsia="Times New Roman"/>
          <w:b w:val="0"/>
          <w:i w:val="0"/>
          <w:sz w:val="23"/>
        </w:rPr>
        <w:t xml:space="preserve"> are coefficients on own-lags of the dependent variable.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j</w:t>
      </w:r>
      <w:r>
        <w:rPr>
          <w:rFonts w:ascii="Times New Roman" w:hAnsi="Times New Roman" w:cs="Times New Roman" w:eastAsia="Times New Roman"/>
          <w:b w:val="0"/>
          <w:i w:val="0"/>
          <w:sz w:val="23"/>
        </w:rPr>
        <w:t xml:space="preserve"> and β</w:t>
      </w:r>
      <w:r>
        <w:rPr>
          <w:rFonts w:ascii="Times New Roman" w:hAnsi="Times New Roman" w:cs="Times New Roman" w:eastAsia="Times New Roman"/>
          <w:b w:val="0"/>
          <w:i w:val="0"/>
          <w:sz w:val="23"/>
          <w:vertAlign w:val="superscript"/>
        </w:rPr>
        <w:t>-</w:t>
      </w:r>
      <w:r>
        <w:rPr>
          <w:rFonts w:ascii="Times New Roman" w:hAnsi="Times New Roman" w:cs="Times New Roman" w:eastAsia="Times New Roman"/>
          <w:b w:val="0"/>
          <w:i w:val="0"/>
          <w:sz w:val="23"/>
          <w:vertAlign w:val="subscript"/>
        </w:rPr>
        <w:t>j</w:t>
      </w:r>
      <w:r>
        <w:rPr>
          <w:rFonts w:ascii="Times New Roman" w:hAnsi="Times New Roman" w:cs="Times New Roman" w:eastAsia="Times New Roman"/>
          <w:b w:val="0"/>
          <w:i w:val="0"/>
          <w:sz w:val="23"/>
        </w:rPr>
        <w:t xml:space="preserve"> are coefficients on positive and negative shock lags. γ is the vector of coefficients on controls. μ</w:t>
      </w:r>
      <w:r>
        <w:rPr>
          <w:rFonts w:ascii="Times New Roman" w:hAnsi="Times New Roman" w:cs="Times New Roman" w:eastAsia="Times New Roman"/>
          <w:b w:val="0"/>
          <w:i w:val="0"/>
          <w:sz w:val="23"/>
          <w:vertAlign w:val="subscript"/>
        </w:rPr>
        <w:t>m</w:t>
      </w:r>
      <w:r>
        <w:rPr>
          <w:rFonts w:ascii="Times New Roman" w:hAnsi="Times New Roman" w:cs="Times New Roman" w:eastAsia="Times New Roman"/>
          <w:b w:val="0"/>
          <w:i w:val="0"/>
          <w:sz w:val="23"/>
        </w:rPr>
        <w:t xml:space="preserve"> are month-of-year dummies. ε</w:t>
      </w:r>
      <w:r>
        <w:rPr>
          <w:rFonts w:ascii="Times New Roman" w:hAnsi="Times New Roman" w:cs="Times New Roman" w:eastAsia="Times New Roman"/>
          <w:b w:val="0"/>
          <w:i w:val="0"/>
          <w:sz w:val="23"/>
          <w:vertAlign w:val="subscript"/>
        </w:rPr>
        <w:t>t</w:t>
      </w:r>
      <w:r>
        <w:rPr>
          <w:rFonts w:ascii="Times New Roman" w:hAnsi="Times New Roman" w:cs="Times New Roman" w:eastAsia="Times New Roman"/>
          <w:b w:val="0"/>
          <w:i w:val="0"/>
          <w:sz w:val="23"/>
        </w:rPr>
        <w:t xml:space="preserve"> is the residual, everything the model did not explain.</w:t>
      </w:r>
    </w:p>
    <w:p>
      <w:pPr>
        <w:spacing w:before="120" w:after="40"/>
        <w:ind w:firstLine="0"/>
      </w:pPr>
      <w:r>
        <w:rPr>
          <w:rFonts w:ascii="Times New Roman" w:hAnsi="Times New Roman" w:cs="Times New Roman" w:eastAsia="Times New Roman"/>
          <w:b/>
          <w:i w:val="0"/>
          <w:sz w:val="23"/>
        </w:rPr>
        <w:t>Q. Are there specific numerical values of these coefficients?</w:t>
      </w:r>
    </w:p>
    <w:p>
      <w:pPr>
        <w:spacing w:after="120"/>
        <w:ind w:firstLine="0" w:left="288"/>
      </w:pPr>
      <w:r>
        <w:rPr>
          <w:rFonts w:ascii="Times New Roman" w:hAnsi="Times New Roman" w:cs="Times New Roman" w:eastAsia="Times New Roman"/>
          <w:b w:val="0"/>
          <w:i w:val="0"/>
          <w:sz w:val="23"/>
        </w:rPr>
        <w:t>A. Yes; the full coefficient tables are in the model output folders. In the main text we report the cumulative pass-through CPT+ and CPT− because those are the quantities policy readers care about.</w:t>
      </w:r>
    </w:p>
    <w:p>
      <w:pPr>
        <w:pStyle w:val="Heading2"/>
        <w:ind w:firstLine="0"/>
        <w:jc w:val="left"/>
      </w:pPr>
      <w:r>
        <w:rPr>
          <w:rFonts w:ascii="Times New Roman" w:hAnsi="Times New Roman"/>
          <w:b/>
        </w:rPr>
        <w:t>12.5 Inference questions</w:t>
      </w:r>
    </w:p>
    <w:p>
      <w:pPr>
        <w:spacing w:before="120" w:after="40"/>
        <w:ind w:firstLine="0"/>
      </w:pPr>
      <w:r>
        <w:rPr>
          <w:rFonts w:ascii="Times New Roman" w:hAnsi="Times New Roman" w:cs="Times New Roman" w:eastAsia="Times New Roman"/>
          <w:b/>
          <w:i w:val="0"/>
          <w:sz w:val="23"/>
        </w:rPr>
        <w:t>Q. What are Newey-West HAC standard errors?</w:t>
      </w:r>
    </w:p>
    <w:p>
      <w:pPr>
        <w:spacing w:after="120"/>
        <w:ind w:firstLine="0" w:left="288"/>
      </w:pPr>
      <w:r>
        <w:rPr>
          <w:rFonts w:ascii="Times New Roman" w:hAnsi="Times New Roman" w:cs="Times New Roman" w:eastAsia="Times New Roman"/>
          <w:b w:val="0"/>
          <w:i w:val="0"/>
          <w:sz w:val="23"/>
        </w:rPr>
        <w:t>A. Standard errors that remain valid when residuals are heteroskedastic (different variance over time) and autocorrelated (residuals correlated with their own recent past). Without HAC, p-values would be too small and we would over-reject the null.</w:t>
      </w:r>
    </w:p>
    <w:p>
      <w:pPr>
        <w:spacing w:before="120" w:after="40"/>
        <w:ind w:firstLine="0"/>
      </w:pPr>
      <w:r>
        <w:rPr>
          <w:rFonts w:ascii="Times New Roman" w:hAnsi="Times New Roman" w:cs="Times New Roman" w:eastAsia="Times New Roman"/>
          <w:b/>
          <w:i w:val="0"/>
          <w:sz w:val="23"/>
        </w:rPr>
        <w:t>Q. Why 4,999 bootstrap replications?</w:t>
      </w:r>
    </w:p>
    <w:p>
      <w:pPr>
        <w:spacing w:after="120"/>
        <w:ind w:firstLine="0" w:left="288"/>
      </w:pPr>
      <w:r>
        <w:rPr>
          <w:rFonts w:ascii="Times New Roman" w:hAnsi="Times New Roman" w:cs="Times New Roman" w:eastAsia="Times New Roman"/>
          <w:b w:val="0"/>
          <w:i w:val="0"/>
          <w:sz w:val="23"/>
        </w:rPr>
        <w:t>A. Odd numbers avoid ties when computing percentile p-values. 4,999 is enough for stable estimates. Using 9,999 would move the p-values by a small amount at most.</w:t>
      </w:r>
    </w:p>
    <w:p>
      <w:pPr>
        <w:spacing w:before="120" w:after="40"/>
        <w:ind w:firstLine="0"/>
      </w:pPr>
      <w:r>
        <w:rPr>
          <w:rFonts w:ascii="Times New Roman" w:hAnsi="Times New Roman" w:cs="Times New Roman" w:eastAsia="Times New Roman"/>
          <w:b/>
          <w:i w:val="0"/>
          <w:sz w:val="23"/>
        </w:rPr>
        <w:t>Q. What does a Wald test do?</w:t>
      </w:r>
    </w:p>
    <w:p>
      <w:pPr>
        <w:spacing w:after="120"/>
        <w:ind w:firstLine="0" w:left="288"/>
      </w:pPr>
      <w:r>
        <w:rPr>
          <w:rFonts w:ascii="Times New Roman" w:hAnsi="Times New Roman" w:cs="Times New Roman" w:eastAsia="Times New Roman"/>
          <w:b w:val="0"/>
          <w:i w:val="0"/>
          <w:sz w:val="23"/>
        </w:rPr>
        <w:t>A. It tests linear restrictions on coefficients. Our CPT+ = 0 and CPT+ = CPT− tests are Wald tests. Under HAC inference, a large Wald statistic gives a small p-value and rejects the null.</w:t>
      </w:r>
    </w:p>
    <w:p>
      <w:pPr>
        <w:spacing w:before="120" w:after="40"/>
        <w:ind w:firstLine="0"/>
      </w:pPr>
      <w:r>
        <w:rPr>
          <w:rFonts w:ascii="Times New Roman" w:hAnsi="Times New Roman" w:cs="Times New Roman" w:eastAsia="Times New Roman"/>
          <w:b/>
          <w:i w:val="0"/>
          <w:sz w:val="23"/>
        </w:rPr>
        <w:t>Q. How do Granger tests fit into the paper?</w:t>
      </w:r>
    </w:p>
    <w:p>
      <w:pPr>
        <w:spacing w:after="120"/>
        <w:ind w:firstLine="0" w:left="288"/>
      </w:pPr>
      <w:r>
        <w:rPr>
          <w:rFonts w:ascii="Times New Roman" w:hAnsi="Times New Roman" w:cs="Times New Roman" w:eastAsia="Times New Roman"/>
          <w:b w:val="0"/>
          <w:i w:val="0"/>
          <w:sz w:val="23"/>
        </w:rPr>
        <w:t>A. They are predictive-precedence tests, not causality tests. They show that past oil movements improve forecasts of wholesale and retail fuel inflation. We report them as supporting evidence, not as structural causal identification.</w:t>
      </w:r>
    </w:p>
    <w:p>
      <w:pPr>
        <w:pStyle w:val="Heading2"/>
        <w:ind w:firstLine="0"/>
        <w:jc w:val="left"/>
      </w:pPr>
      <w:r>
        <w:rPr>
          <w:rFonts w:ascii="Times New Roman" w:hAnsi="Times New Roman"/>
          <w:b/>
        </w:rPr>
        <w:t>12.6 Diagnostic questions</w:t>
      </w:r>
    </w:p>
    <w:p>
      <w:pPr>
        <w:spacing w:before="120" w:after="40"/>
        <w:ind w:firstLine="0"/>
      </w:pPr>
      <w:r>
        <w:rPr>
          <w:rFonts w:ascii="Times New Roman" w:hAnsi="Times New Roman" w:cs="Times New Roman" w:eastAsia="Times New Roman"/>
          <w:b/>
          <w:i w:val="0"/>
          <w:sz w:val="23"/>
        </w:rPr>
        <w:t>Q. What is the mandatory model gate?</w:t>
      </w:r>
    </w:p>
    <w:p>
      <w:pPr>
        <w:spacing w:after="120"/>
        <w:ind w:firstLine="0" w:left="288"/>
      </w:pPr>
      <w:r>
        <w:rPr>
          <w:rFonts w:ascii="Times New Roman" w:hAnsi="Times New Roman" w:cs="Times New Roman" w:eastAsia="Times New Roman"/>
          <w:b w:val="0"/>
          <w:i w:val="0"/>
          <w:sz w:val="23"/>
        </w:rPr>
        <w:t>A. Three tests every claim-bearing model must pass: Breusch-Godfrey at 12 lags for serial correlation, HAC-RESET for functional form, and recursive CUSUM for parameter stability.</w:t>
      </w:r>
    </w:p>
    <w:p>
      <w:pPr>
        <w:spacing w:before="120" w:after="40"/>
        <w:ind w:firstLine="0"/>
      </w:pPr>
      <w:r>
        <w:rPr>
          <w:rFonts w:ascii="Times New Roman" w:hAnsi="Times New Roman" w:cs="Times New Roman" w:eastAsia="Times New Roman"/>
          <w:b/>
          <w:i w:val="0"/>
          <w:sz w:val="23"/>
        </w:rPr>
        <w:t>Q. Why did the full-sample WPI Fuel and Power model fail?</w:t>
      </w:r>
    </w:p>
    <w:p>
      <w:pPr>
        <w:spacing w:after="120"/>
        <w:ind w:firstLine="0" w:left="288"/>
      </w:pPr>
      <w:r>
        <w:rPr>
          <w:rFonts w:ascii="Times New Roman" w:hAnsi="Times New Roman" w:cs="Times New Roman" w:eastAsia="Times New Roman"/>
          <w:b w:val="0"/>
          <w:i w:val="0"/>
          <w:sz w:val="23"/>
        </w:rPr>
        <w:t>A. It fails HAC-RESET, meaning the functional form is misspecified. The most likely reason is regime mixing: it combines the pre-2010 administered period with the post-2010 market-linked period and the COVID outliers. Restricting to post-2010 and dropping April-September 2020 fixes this.</w:t>
      </w:r>
    </w:p>
    <w:p>
      <w:pPr>
        <w:spacing w:before="120" w:after="40"/>
        <w:ind w:firstLine="0"/>
      </w:pPr>
      <w:r>
        <w:rPr>
          <w:rFonts w:ascii="Times New Roman" w:hAnsi="Times New Roman" w:cs="Times New Roman" w:eastAsia="Times New Roman"/>
          <w:b/>
          <w:i w:val="0"/>
          <w:sz w:val="23"/>
        </w:rPr>
        <w:t>Q. What do ADF, PP, KPSS do?</w:t>
      </w:r>
    </w:p>
    <w:p>
      <w:pPr>
        <w:spacing w:after="120"/>
        <w:ind w:firstLine="0" w:left="288"/>
      </w:pPr>
      <w:r>
        <w:rPr>
          <w:rFonts w:ascii="Times New Roman" w:hAnsi="Times New Roman" w:cs="Times New Roman" w:eastAsia="Times New Roman"/>
          <w:b w:val="0"/>
          <w:i w:val="0"/>
          <w:sz w:val="23"/>
        </w:rPr>
        <w:t>A. They test for unit roots. ADF and PP have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unit root. KPSS reverses it with H</w:t>
      </w:r>
      <w:r>
        <w:rPr>
          <w:rFonts w:ascii="Times New Roman" w:hAnsi="Times New Roman" w:cs="Times New Roman" w:eastAsia="Times New Roman"/>
          <w:b w:val="0"/>
          <w:i w:val="0"/>
          <w:sz w:val="23"/>
          <w:vertAlign w:val="subscript"/>
        </w:rPr>
        <w:t>0</w:t>
      </w:r>
      <w:r>
        <w:rPr>
          <w:rFonts w:ascii="Times New Roman" w:hAnsi="Times New Roman" w:cs="Times New Roman" w:eastAsia="Times New Roman"/>
          <w:b w:val="0"/>
          <w:i w:val="0"/>
          <w:sz w:val="23"/>
        </w:rPr>
        <w:t>: stationarity. Using all three together gives a robust verdict. All our differenced series pass as stationary.</w:t>
      </w:r>
    </w:p>
    <w:p>
      <w:pPr>
        <w:spacing w:before="120" w:after="40"/>
        <w:ind w:firstLine="0"/>
      </w:pPr>
      <w:r>
        <w:rPr>
          <w:rFonts w:ascii="Times New Roman" w:hAnsi="Times New Roman" w:cs="Times New Roman" w:eastAsia="Times New Roman"/>
          <w:b/>
          <w:i w:val="0"/>
          <w:sz w:val="23"/>
        </w:rPr>
        <w:t>Q. What about the KPSS caveat on WPI inflation?</w:t>
      </w:r>
    </w:p>
    <w:p>
      <w:pPr>
        <w:spacing w:after="120"/>
        <w:ind w:firstLine="0" w:left="288"/>
      </w:pPr>
      <w:r>
        <w:rPr>
          <w:rFonts w:ascii="Times New Roman" w:hAnsi="Times New Roman" w:cs="Times New Roman" w:eastAsia="Times New Roman"/>
          <w:b w:val="0"/>
          <w:i w:val="0"/>
          <w:sz w:val="23"/>
        </w:rPr>
        <w:t>A. KPSS rejects stationarity for WPI inflation in a couple of subsamples. We read this alongside the Bai-Perron break test results and treat it as a break-related caveat handled by the institutional pre/post-2010 split, not a reason to re-difference.</w:t>
      </w:r>
    </w:p>
    <w:p>
      <w:pPr>
        <w:pStyle w:val="Heading2"/>
        <w:ind w:firstLine="0"/>
        <w:jc w:val="left"/>
      </w:pPr>
      <w:r>
        <w:rPr>
          <w:rFonts w:ascii="Times New Roman" w:hAnsi="Times New Roman"/>
          <w:b/>
        </w:rPr>
        <w:t>12.7 Results questions</w:t>
      </w:r>
    </w:p>
    <w:p>
      <w:pPr>
        <w:spacing w:before="120" w:after="40"/>
        <w:ind w:firstLine="0"/>
      </w:pPr>
      <w:r>
        <w:rPr>
          <w:rFonts w:ascii="Times New Roman" w:hAnsi="Times New Roman" w:cs="Times New Roman" w:eastAsia="Times New Roman"/>
          <w:b/>
          <w:i w:val="0"/>
          <w:sz w:val="23"/>
        </w:rPr>
        <w:t>Q. Why is CPT+ so much larger in WPI Fuel and Power than in headline WPI?</w:t>
      </w:r>
    </w:p>
    <w:p>
      <w:pPr>
        <w:spacing w:after="120"/>
        <w:ind w:firstLine="0" w:left="288"/>
      </w:pPr>
      <w:r>
        <w:rPr>
          <w:rFonts w:ascii="Times New Roman" w:hAnsi="Times New Roman" w:cs="Times New Roman" w:eastAsia="Times New Roman"/>
          <w:b w:val="0"/>
          <w:i w:val="0"/>
          <w:sz w:val="23"/>
        </w:rPr>
        <w:t>A. WPI Fuel and Power is close to the fuel channel. Its basket contains petrol, diesel, LPG, coal-adjacent items, and electricity. Headline WPI averages this with manufactured goods and food, so the oil signal is diluted.</w:t>
      </w:r>
    </w:p>
    <w:p>
      <w:pPr>
        <w:spacing w:before="120" w:after="40"/>
        <w:ind w:firstLine="0"/>
      </w:pPr>
      <w:r>
        <w:rPr>
          <w:rFonts w:ascii="Times New Roman" w:hAnsi="Times New Roman" w:cs="Times New Roman" w:eastAsia="Times New Roman"/>
          <w:b/>
          <w:i w:val="0"/>
          <w:sz w:val="23"/>
        </w:rPr>
        <w:t>Q. Why is headline CPI pass-through weak?</w:t>
      </w:r>
    </w:p>
    <w:p>
      <w:pPr>
        <w:spacing w:after="120"/>
        <w:ind w:firstLine="0" w:left="288"/>
      </w:pPr>
      <w:r>
        <w:rPr>
          <w:rFonts w:ascii="Times New Roman" w:hAnsi="Times New Roman" w:cs="Times New Roman" w:eastAsia="Times New Roman"/>
          <w:b w:val="0"/>
          <w:i w:val="0"/>
          <w:sz w:val="23"/>
        </w:rPr>
        <w:t>A. The CPI basket is dominated by food, services, housing, health, and education. Fuel and Light is just one group. So even a big shock in fuel prices becomes a small number by the time you sum to headline CPI.</w:t>
      </w:r>
    </w:p>
    <w:p>
      <w:pPr>
        <w:spacing w:before="120" w:after="40"/>
        <w:ind w:firstLine="0"/>
      </w:pPr>
      <w:r>
        <w:rPr>
          <w:rFonts w:ascii="Times New Roman" w:hAnsi="Times New Roman" w:cs="Times New Roman" w:eastAsia="Times New Roman"/>
          <w:b/>
          <w:i w:val="0"/>
          <w:sz w:val="23"/>
        </w:rPr>
        <w:t>Q. Does headline CPI pass-through equal zero?</w:t>
      </w:r>
    </w:p>
    <w:p>
      <w:pPr>
        <w:spacing w:after="120"/>
        <w:ind w:firstLine="0" w:left="288"/>
      </w:pPr>
      <w:r>
        <w:rPr>
          <w:rFonts w:ascii="Times New Roman" w:hAnsi="Times New Roman" w:cs="Times New Roman" w:eastAsia="Times New Roman"/>
          <w:b w:val="0"/>
          <w:i w:val="0"/>
          <w:sz w:val="23"/>
        </w:rPr>
        <w:t>A. No. It is weak and statistically insignificant at conventional levels in our sample. We never describe it as zero. We describe it as weak and not significant.</w:t>
      </w:r>
    </w:p>
    <w:p>
      <w:pPr>
        <w:spacing w:before="120" w:after="40"/>
        <w:ind w:firstLine="0"/>
      </w:pPr>
      <w:r>
        <w:rPr>
          <w:rFonts w:ascii="Times New Roman" w:hAnsi="Times New Roman" w:cs="Times New Roman" w:eastAsia="Times New Roman"/>
          <w:b/>
          <w:i w:val="0"/>
          <w:sz w:val="23"/>
        </w:rPr>
        <w:t>Q. What does the Wald F = 14.35 mean in words?</w:t>
      </w:r>
    </w:p>
    <w:p>
      <w:pPr>
        <w:spacing w:after="120"/>
        <w:ind w:firstLine="0" w:left="288"/>
      </w:pPr>
      <w:r>
        <w:rPr>
          <w:rFonts w:ascii="Times New Roman" w:hAnsi="Times New Roman" w:cs="Times New Roman" w:eastAsia="Times New Roman"/>
          <w:b w:val="0"/>
          <w:i w:val="0"/>
          <w:sz w:val="23"/>
        </w:rPr>
        <w:t>A. It is the test statistic for the null that Stage 1 CPT+ equals Stage 3 CPT+ in the common-sample consumer-price chain. With p = 0.0002, we reject the null. The attenuation from retail petrol to headline CPI is statistically real.</w:t>
      </w:r>
    </w:p>
    <w:p>
      <w:pPr>
        <w:spacing w:before="120" w:after="40"/>
        <w:ind w:firstLine="0"/>
      </w:pPr>
      <w:r>
        <w:rPr>
          <w:rFonts w:ascii="Times New Roman" w:hAnsi="Times New Roman" w:cs="Times New Roman" w:eastAsia="Times New Roman"/>
          <w:b/>
          <w:i w:val="0"/>
          <w:sz w:val="23"/>
        </w:rPr>
        <w:t>Q. Why is asymmetry not the headline finding?</w:t>
      </w:r>
    </w:p>
    <w:p>
      <w:pPr>
        <w:spacing w:after="120"/>
        <w:ind w:firstLine="0" w:left="288"/>
      </w:pPr>
      <w:r>
        <w:rPr>
          <w:rFonts w:ascii="Times New Roman" w:hAnsi="Times New Roman" w:cs="Times New Roman" w:eastAsia="Times New Roman"/>
          <w:b w:val="0"/>
          <w:i w:val="0"/>
          <w:sz w:val="23"/>
        </w:rPr>
        <w:t>A. Because HAC and bootstrap symmetry tests fail to reject symmetry in headline WPI, WPI Fuel and Power, CPI Fuel and Light, and headline CPI. Retail petrol is the only layer with even marginal evidence, at p = 0.0999.</w:t>
      </w:r>
    </w:p>
    <w:p>
      <w:pPr>
        <w:spacing w:before="120" w:after="40"/>
        <w:ind w:firstLine="0"/>
      </w:pPr>
      <w:r>
        <w:rPr>
          <w:rFonts w:ascii="Times New Roman" w:hAnsi="Times New Roman" w:cs="Times New Roman" w:eastAsia="Times New Roman"/>
          <w:b/>
          <w:i w:val="0"/>
          <w:sz w:val="23"/>
        </w:rPr>
        <w:t>Q. Why did you prefer the post-2010 Fuel and Power model?</w:t>
      </w:r>
    </w:p>
    <w:p>
      <w:pPr>
        <w:spacing w:after="120"/>
        <w:ind w:firstLine="0" w:left="288"/>
      </w:pPr>
      <w:r>
        <w:rPr>
          <w:rFonts w:ascii="Times New Roman" w:hAnsi="Times New Roman" w:cs="Times New Roman" w:eastAsia="Times New Roman"/>
          <w:b w:val="0"/>
          <w:i w:val="0"/>
          <w:sz w:val="23"/>
        </w:rPr>
        <w:t>A. It is the only Fuel and Power specification that passes the mandatory diagnostic gate cleanly. The full-sample pooled model fails HAC-RESET because it mixes regimes.</w:t>
      </w:r>
    </w:p>
    <w:p>
      <w:pPr>
        <w:pStyle w:val="Heading2"/>
        <w:ind w:firstLine="0"/>
        <w:jc w:val="left"/>
      </w:pPr>
      <w:r>
        <w:rPr>
          <w:rFonts w:ascii="Times New Roman" w:hAnsi="Times New Roman"/>
          <w:b/>
        </w:rPr>
        <w:t>12.8 Broader and trickier questions</w:t>
      </w:r>
    </w:p>
    <w:p>
      <w:pPr>
        <w:spacing w:before="120" w:after="40"/>
        <w:ind w:firstLine="0"/>
      </w:pPr>
      <w:r>
        <w:rPr>
          <w:rFonts w:ascii="Times New Roman" w:hAnsi="Times New Roman" w:cs="Times New Roman" w:eastAsia="Times New Roman"/>
          <w:b/>
          <w:i w:val="0"/>
          <w:sz w:val="23"/>
        </w:rPr>
        <w:t>Q. Is your work causal?</w:t>
      </w:r>
    </w:p>
    <w:p>
      <w:pPr>
        <w:spacing w:after="120"/>
        <w:ind w:firstLine="0" w:left="288"/>
      </w:pPr>
      <w:r>
        <w:rPr>
          <w:rFonts w:ascii="Times New Roman" w:hAnsi="Times New Roman" w:cs="Times New Roman" w:eastAsia="Times New Roman"/>
          <w:b w:val="0"/>
          <w:i w:val="0"/>
          <w:sz w:val="23"/>
        </w:rPr>
        <w:t>A. No. It is reduced-form projection. Granger tests show predictive precedence from oil to wholesale and retail fuel, but we do not claim structural identification.</w:t>
      </w:r>
    </w:p>
    <w:p>
      <w:pPr>
        <w:spacing w:before="120" w:after="40"/>
        <w:ind w:firstLine="0"/>
      </w:pPr>
      <w:r>
        <w:rPr>
          <w:rFonts w:ascii="Times New Roman" w:hAnsi="Times New Roman" w:cs="Times New Roman" w:eastAsia="Times New Roman"/>
          <w:b/>
          <w:i w:val="0"/>
          <w:sz w:val="23"/>
        </w:rPr>
        <w:t>Q. Could the pre/post-2010 split be confounded?</w:t>
      </w:r>
    </w:p>
    <w:p>
      <w:pPr>
        <w:spacing w:after="120"/>
        <w:ind w:firstLine="0" w:left="288"/>
      </w:pPr>
      <w:r>
        <w:rPr>
          <w:rFonts w:ascii="Times New Roman" w:hAnsi="Times New Roman" w:cs="Times New Roman" w:eastAsia="Times New Roman"/>
          <w:b w:val="0"/>
          <w:i w:val="0"/>
          <w:sz w:val="23"/>
        </w:rPr>
        <w:t>A. Yes. The post-2010 window also contains the new CPI series in 2011, flexible inflation targeting in 2016, GST in 2017, and several fuel-tax episodes. We call the split institutional evidence, not causal.</w:t>
      </w:r>
    </w:p>
    <w:p>
      <w:pPr>
        <w:spacing w:before="120" w:after="40"/>
        <w:ind w:firstLine="0"/>
      </w:pPr>
      <w:r>
        <w:rPr>
          <w:rFonts w:ascii="Times New Roman" w:hAnsi="Times New Roman" w:cs="Times New Roman" w:eastAsia="Times New Roman"/>
          <w:b/>
          <w:i w:val="0"/>
          <w:sz w:val="23"/>
        </w:rPr>
        <w:t>Q. Why Delhi for retail petrol?</w:t>
      </w:r>
    </w:p>
    <w:p>
      <w:pPr>
        <w:spacing w:after="120"/>
        <w:ind w:firstLine="0" w:left="288"/>
      </w:pPr>
      <w:r>
        <w:rPr>
          <w:rFonts w:ascii="Times New Roman" w:hAnsi="Times New Roman" w:cs="Times New Roman" w:eastAsia="Times New Roman"/>
          <w:b w:val="0"/>
          <w:i w:val="0"/>
          <w:sz w:val="23"/>
        </w:rPr>
        <w:t>A. PPAC has the longest consistent monthly Delhi series. Other metros behave similarly. We use Delhi as a retail-fuel channel proxy.</w:t>
      </w:r>
    </w:p>
    <w:p>
      <w:pPr>
        <w:spacing w:before="120" w:after="40"/>
        <w:ind w:firstLine="0"/>
      </w:pPr>
      <w:r>
        <w:rPr>
          <w:rFonts w:ascii="Times New Roman" w:hAnsi="Times New Roman" w:cs="Times New Roman" w:eastAsia="Times New Roman"/>
          <w:b/>
          <w:i w:val="0"/>
          <w:sz w:val="23"/>
        </w:rPr>
        <w:t>Q. Could endogeneity be a problem? Does India affect global Brent?</w:t>
      </w:r>
    </w:p>
    <w:p>
      <w:pPr>
        <w:spacing w:after="120"/>
        <w:ind w:firstLine="0" w:left="288"/>
      </w:pPr>
      <w:r>
        <w:rPr>
          <w:rFonts w:ascii="Times New Roman" w:hAnsi="Times New Roman" w:cs="Times New Roman" w:eastAsia="Times New Roman"/>
          <w:b w:val="0"/>
          <w:i w:val="0"/>
          <w:sz w:val="23"/>
        </w:rPr>
        <w:t>A. India is a large buyer but not a price-setter for Brent. Brent is driven by OPEC+ decisions, US shale, global demand, and geopolitics, all exogenous from India's perspective. The reverse-direction Granger tests also fail to reject the null that wholesale Indian prices do not predict Brent. So endogeneity concerns are small.</w:t>
      </w:r>
    </w:p>
    <w:p>
      <w:pPr>
        <w:spacing w:before="120" w:after="40"/>
        <w:ind w:firstLine="0"/>
      </w:pPr>
      <w:r>
        <w:rPr>
          <w:rFonts w:ascii="Times New Roman" w:hAnsi="Times New Roman" w:cs="Times New Roman" w:eastAsia="Times New Roman"/>
          <w:b/>
          <w:i w:val="0"/>
          <w:sz w:val="23"/>
        </w:rPr>
        <w:t>Q. What if oil's effect operates through expectations rather than cost?</w:t>
      </w:r>
    </w:p>
    <w:p>
      <w:pPr>
        <w:spacing w:after="120"/>
        <w:ind w:firstLine="0" w:left="288"/>
      </w:pPr>
      <w:r>
        <w:rPr>
          <w:rFonts w:ascii="Times New Roman" w:hAnsi="Times New Roman" w:cs="Times New Roman" w:eastAsia="Times New Roman"/>
          <w:b w:val="0"/>
          <w:i w:val="0"/>
          <w:sz w:val="23"/>
        </w:rPr>
        <w:t>A. That is possible and is one of the reasons headline CPI is not the layer where oil transmission is most visible. Expectations feed into the whole basket. Our layered evidence is consistent with direct cost transmission being stronger at fuel layers; expectation channels would be a structural-shock extension.</w:t>
      </w:r>
    </w:p>
    <w:p>
      <w:pPr>
        <w:spacing w:before="120" w:after="40"/>
        <w:ind w:firstLine="0"/>
      </w:pPr>
      <w:r>
        <w:rPr>
          <w:rFonts w:ascii="Times New Roman" w:hAnsi="Times New Roman" w:cs="Times New Roman" w:eastAsia="Times New Roman"/>
          <w:b/>
          <w:i w:val="0"/>
          <w:sz w:val="23"/>
        </w:rPr>
        <w:t>Q. Would a structural VAR improve the paper?</w:t>
      </w:r>
    </w:p>
    <w:p>
      <w:pPr>
        <w:spacing w:after="120"/>
        <w:ind w:firstLine="0" w:left="288"/>
      </w:pPr>
      <w:r>
        <w:rPr>
          <w:rFonts w:ascii="Times New Roman" w:hAnsi="Times New Roman" w:cs="Times New Roman" w:eastAsia="Times New Roman"/>
          <w:b w:val="0"/>
          <w:i w:val="0"/>
          <w:sz w:val="23"/>
        </w:rPr>
        <w:t>A. It would allow identified oil-supply, demand, and exchange-rate shocks, and shock-specific impulse responses. That is a legitimate extension. We chose ADL because the question is short-run pass-through by layer, and ADL keeps the interpretation clean.</w:t>
      </w:r>
    </w:p>
    <w:p>
      <w:pPr>
        <w:spacing w:before="120" w:after="40"/>
        <w:ind w:firstLine="0"/>
      </w:pPr>
      <w:r>
        <w:rPr>
          <w:rFonts w:ascii="Times New Roman" w:hAnsi="Times New Roman" w:cs="Times New Roman" w:eastAsia="Times New Roman"/>
          <w:b/>
          <w:i w:val="0"/>
          <w:sz w:val="23"/>
        </w:rPr>
        <w:t>Q. How would your results change if CPI were defined differently?</w:t>
      </w:r>
    </w:p>
    <w:p>
      <w:pPr>
        <w:spacing w:after="120"/>
        <w:ind w:firstLine="0" w:left="288"/>
      </w:pPr>
      <w:r>
        <w:rPr>
          <w:rFonts w:ascii="Times New Roman" w:hAnsi="Times New Roman" w:cs="Times New Roman" w:eastAsia="Times New Roman"/>
          <w:b w:val="0"/>
          <w:i w:val="0"/>
          <w:sz w:val="23"/>
        </w:rPr>
        <w:t>A. We use the standard MoSPI headline CPI and its Fuel and Light component. Alternative definitions (core CPI, rural-only, urban-only) would move the headline number by small amounts. The attenuation pattern is robust because it depends on basket breadth, not on the exact CPI variant.</w:t>
      </w:r>
    </w:p>
    <w:p>
      <w:pPr>
        <w:spacing w:before="120" w:after="120"/>
        <w:ind w:firstLine="0" w:left="144" w:right="144"/>
        <w:shd w:val="clear" w:color="auto" w:fill="EEF2FA"/>
      </w:pPr>
      <w:r>
        <w:rPr>
          <w:rFonts w:ascii="Times New Roman" w:hAnsi="Times New Roman" w:cs="Times New Roman" w:eastAsia="Times New Roman"/>
          <w:b/>
          <w:i w:val="0"/>
          <w:sz w:val="22"/>
        </w:rPr>
        <w:t xml:space="preserve">Exam tip: </w:t>
      </w:r>
      <w:r>
        <w:rPr>
          <w:rFonts w:ascii="Times New Roman" w:hAnsi="Times New Roman" w:cs="Times New Roman" w:eastAsia="Times New Roman"/>
          <w:b w:val="0"/>
          <w:i/>
          <w:sz w:val="22"/>
        </w:rPr>
        <w:t>When in doubt, bring the answer back to layered attenuation. Whether the teacher asks about method, data, or a specific number, the story is: oil is strong in fuel layers, weak in headline CPI, and the Wald test formally confirms the fall.</w:t>
      </w:r>
      <w:r>
        <w:br w:type="page"/>
      </w:r>
    </w:p>
    <w:p>
      <w:pPr>
        <w:pStyle w:val="Heading1"/>
        <w:ind w:firstLine="0"/>
        <w:jc w:val="left"/>
      </w:pPr>
      <w:r>
        <w:rPr>
          <w:rFonts w:ascii="Times New Roman" w:hAnsi="Times New Roman"/>
          <w:b/>
        </w:rPr>
        <w:t>Part 13. Glossary and cheat sheet</w:t>
      </w:r>
    </w:p>
    <w:p>
      <w:pPr>
        <w:pStyle w:val="Heading2"/>
        <w:ind w:firstLine="0"/>
        <w:jc w:val="left"/>
      </w:pPr>
      <w:r>
        <w:rPr>
          <w:rFonts w:ascii="Times New Roman" w:hAnsi="Times New Roman"/>
          <w:b/>
        </w:rPr>
        <w:t>13.1 Glossary of acronyms and terms</w:t>
      </w:r>
    </w:p>
    <w:p>
      <w:pPr>
        <w:pStyle w:val="Caption"/>
        <w:ind w:firstLine="0"/>
        <w:jc w:val="left"/>
      </w:pPr>
      <w:r>
        <w:rPr>
          <w:rFonts w:ascii="Times New Roman" w:hAnsi="Times New Roman" w:cs="Times New Roman" w:eastAsia="Times New Roman"/>
          <w:b/>
          <w:i w:val="0"/>
          <w:sz w:val="21"/>
        </w:rPr>
        <w:t>Table 13.1. Acronyms and terms used throughout the paper and this guide.</w:t>
      </w:r>
    </w:p>
    <w:tbl>
      <w:tblPr>
        <w:tblStyle w:val="TableGrid"/>
        <w:tblW w:type="auto" w:w="0"/>
        <w:jc w:val="center"/>
        <w:tblLayout w:type="fixed"/>
        <w:tblLook w:firstColumn="1" w:firstRow="1" w:lastColumn="0" w:lastRow="0" w:noHBand="0" w:noVBand="1" w:val="04A0"/>
        <w:tblLayout w:type="fixed"/>
      </w:tblPr>
      <w:tblGrid>
        <w:gridCol w:w="2539"/>
        <w:gridCol w:w="6487"/>
      </w:tblGrid>
      <w:tr>
        <w:trPr>
          <w:cantSplit/>
          <w:tblHeader/>
        </w:trPr>
        <w:tc>
          <w:tcPr>
            <w:tcW w:type="dxa" w:w="2539"/>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Term</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i w:val="0"/>
                <w:sz w:val="20"/>
              </w:rPr>
              <w:t>Full form / meaning</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ADL</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Autoregressive Distributed Lag model</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ADF</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Augmented Dickey-Fuller unit-root test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AIC</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Akaike Information Criterion</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Attenuation</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A reduction in the size of a shock's effect as it moves through a chain</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Bai-Perron</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Structural-break test for multiple unknown breaks</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BG</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Breusch-Godfrey serial correlation test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BIC</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Bayesian Information Criterion</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Brent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North Sea crude benchmark used as the global oil price reference</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CPI</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Consumer Price Index (MoSPI)</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CPI Fuel and Light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CPI sub-group covering household energy</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CPT+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Cumulative positive pass-through</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CPT−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Cumulative negative pass-through</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CUSUM</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Cumulative sum parameter-stability test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DPIIT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Department for Promotion of Industry and Internal Trade, Ministry of Commerce and Industry</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EXINUS</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FRED INR/USD exchange rate series</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FRED</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Federal Reserve Economic Data, St. Louis Fed</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GST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Goods and Services Tax (India, from July 2017)</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HAC</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Heteroskedasticity and Autocorrelation Consistent standard errors (Newey-West)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HQIC</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Hannan-Quinn Information Criterion</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IIP</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Index of Industrial Production (MoSPI)</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INR</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Indian Rupee</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KPSS</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Kwiatkowski-Phillips-Schmidt-Shin stationarity test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MoCI</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Ministry of Commerce and Industry</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MoPNG</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Ministry of Petroleum and Natural Gas</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MoSPI</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Ministry of Statistics and Programme Implementation</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NIPFP</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National Institute of Public Finance and Policy</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OEA</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Office of the Economic Adviser, DPIIT, MoCI</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OLS</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Ordinary Least Squares</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Pink Sheet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World Bank's monthly commodity price data bulletin</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PP</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Phillips-Perron unit-root test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PPAC</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Petroleum Planning and Analysis Cell, MoPNG</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RESET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Ramsey Regression Equation Specification Error Test</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USD</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United States Dollar</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Wald test</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Test of linear restrictions on coefficients</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WPI</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Wholesale Price Index (Office of the Economic Adviser)</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WPI Fuel and Power</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WPI sub-group covering fuel, power, and mineral oils</w:t>
            </w:r>
          </w:p>
        </w:tc>
      </w:tr>
      <w:tr>
        <w:trPr>
          <w:cantSplit/>
        </w:trPr>
        <w:tc>
          <w:tcPr>
            <w:tcW w:type="dxa" w:w="2539"/>
            <w:tcMar>
              <w:top w:w="60" w:type="dxa"/>
              <w:start w:w="80" w:type="dxa"/>
              <w:bottom w:w="60" w:type="dxa"/>
              <w:end w:w="80" w:type="dxa"/>
            </w:tcMar>
            <w:vAlign w:val="center"/>
          </w:tcPr>
          <w:p>
            <w:pPr>
              <w:spacing w:after="0" w:line="240" w:lineRule="auto"/>
              <w:ind w:firstLine="0"/>
              <w:jc w:val="left"/>
            </w:pPr>
            <w:r/>
            <w:r>
              <w:rPr>
                <w:rFonts w:ascii="Times New Roman" w:hAnsi="Times New Roman" w:cs="Times New Roman" w:eastAsia="Times New Roman"/>
                <w:b w:val="0"/>
                <w:i w:val="0"/>
                <w:sz w:val="20"/>
              </w:rPr>
              <w:t>Zivot-Andrews</w:t>
            </w:r>
          </w:p>
        </w:tc>
        <w:tc>
          <w:tcPr>
            <w:tcW w:type="dxa" w:w="6487"/>
            <w:tcMar>
              <w:top w:w="60" w:type="dxa"/>
              <w:start w:w="80" w:type="dxa"/>
              <w:bottom w:w="60" w:type="dxa"/>
              <w:end w:w="80" w:type="dxa"/>
            </w:tcMar>
            <w:vAlign w:val="center"/>
          </w:tcPr>
          <w:p>
            <w:pPr>
              <w:spacing w:after="0" w:line="240" w:lineRule="auto"/>
              <w:ind w:firstLine="0"/>
              <w:jc w:val="center"/>
            </w:pPr>
            <w:r/>
            <w:r>
              <w:rPr>
                <w:rFonts w:ascii="Times New Roman" w:hAnsi="Times New Roman" w:cs="Times New Roman" w:eastAsia="Times New Roman"/>
                <w:b w:val="0"/>
                <w:i w:val="0"/>
                <w:sz w:val="20"/>
              </w:rPr>
              <w:t>Unit-root test allowing one structural break</w:t>
            </w:r>
          </w:p>
        </w:tc>
      </w:tr>
    </w:tbl>
    <w:p>
      <w:pPr>
        <w:pStyle w:val="Heading2"/>
        <w:ind w:firstLine="0"/>
        <w:jc w:val="left"/>
      </w:pPr>
      <w:r>
        <w:rPr>
          <w:rFonts w:ascii="Times New Roman" w:hAnsi="Times New Roman"/>
          <w:b/>
        </w:rPr>
        <w:t>13.2 One-page cheat sheet you can glance at during the presentation</w:t>
      </w:r>
    </w:p>
    <w:p>
      <w:pPr>
        <w:pStyle w:val="ListBullet"/>
        <w:spacing w:after="40" w:line="300" w:lineRule="auto"/>
        <w:ind w:firstLine="0"/>
      </w:pPr>
      <w:r>
        <w:rPr>
          <w:rFonts w:ascii="Times New Roman" w:hAnsi="Times New Roman" w:cs="Times New Roman" w:eastAsia="Times New Roman"/>
          <w:b w:val="0"/>
          <w:i w:val="0"/>
          <w:sz w:val="23"/>
        </w:rPr>
        <w:t>Question: where does oil pass-through weaken across Indian price layers?</w:t>
      </w:r>
    </w:p>
    <w:p>
      <w:pPr>
        <w:pStyle w:val="ListBullet"/>
        <w:spacing w:after="40" w:line="300" w:lineRule="auto"/>
        <w:ind w:firstLine="0"/>
      </w:pPr>
      <w:r>
        <w:rPr>
          <w:rFonts w:ascii="Times New Roman" w:hAnsi="Times New Roman" w:cs="Times New Roman" w:eastAsia="Times New Roman"/>
          <w:b w:val="0"/>
          <w:i w:val="0"/>
          <w:sz w:val="23"/>
        </w:rPr>
        <w:t>Answer: it weakens between fuel layers and the broad headline consumer index.</w:t>
      </w:r>
    </w:p>
    <w:p>
      <w:pPr>
        <w:pStyle w:val="ListBullet"/>
        <w:spacing w:after="40" w:line="300" w:lineRule="auto"/>
        <w:ind w:firstLine="0"/>
      </w:pPr>
      <w:r>
        <w:rPr>
          <w:rFonts w:ascii="Times New Roman" w:hAnsi="Times New Roman" w:cs="Times New Roman" w:eastAsia="Times New Roman"/>
          <w:b w:val="0"/>
          <w:i w:val="0"/>
          <w:sz w:val="23"/>
        </w:rPr>
        <w:t>Main result numbers: CPT+ = 0.5205 preferred WPI F&amp;P (p&lt;0.001); 0.3459 retail petrol (p&lt;0.001); 0.1777 CPI F&amp;L bridge (p=0.0021); 0.0301 headline WPI (p=0.024); 0.0213 headline CPI (p=0.122, not significant).</w:t>
      </w:r>
    </w:p>
    <w:p>
      <w:pPr>
        <w:pStyle w:val="ListBullet"/>
        <w:spacing w:after="40" w:line="300" w:lineRule="auto"/>
        <w:ind w:firstLine="0"/>
      </w:pPr>
      <w:r>
        <w:rPr>
          <w:rFonts w:ascii="Times New Roman" w:hAnsi="Times New Roman" w:cs="Times New Roman" w:eastAsia="Times New Roman"/>
          <w:b w:val="0"/>
          <w:i w:val="0"/>
          <w:sz w:val="23"/>
        </w:rPr>
        <w:t>Formal attenuation test: F = 14.3499, p = 0.0002. Reject equality between retail petrol and headline CPI CPT+.</w:t>
      </w:r>
    </w:p>
    <w:p>
      <w:pPr>
        <w:pStyle w:val="ListBullet"/>
        <w:spacing w:after="40" w:line="300" w:lineRule="auto"/>
        <w:ind w:firstLine="0"/>
      </w:pPr>
      <w:r>
        <w:rPr>
          <w:rFonts w:ascii="Times New Roman" w:hAnsi="Times New Roman" w:cs="Times New Roman" w:eastAsia="Times New Roman"/>
          <w:b w:val="0"/>
          <w:i w:val="0"/>
          <w:sz w:val="23"/>
        </w:rPr>
        <w:t>Asymmetry: only marginal at retail petrol (p=0.0999). Not the headline finding.</w:t>
      </w:r>
    </w:p>
    <w:p>
      <w:pPr>
        <w:pStyle w:val="ListBullet"/>
        <w:spacing w:after="40" w:line="300" w:lineRule="auto"/>
        <w:ind w:firstLine="0"/>
      </w:pPr>
      <w:r>
        <w:rPr>
          <w:rFonts w:ascii="Times New Roman" w:hAnsi="Times New Roman" w:cs="Times New Roman" w:eastAsia="Times New Roman"/>
          <w:b w:val="0"/>
          <w:i w:val="0"/>
          <w:sz w:val="23"/>
        </w:rPr>
        <w:t>Method: short-run asymmetric ADL in monthly log differences, OLS with Newey-West HAC standard errors, bootstrap symmetry check with 4,999 replications.</w:t>
      </w:r>
    </w:p>
    <w:p>
      <w:pPr>
        <w:pStyle w:val="ListBullet"/>
        <w:spacing w:after="40" w:line="300" w:lineRule="auto"/>
        <w:ind w:firstLine="0"/>
      </w:pPr>
      <w:r>
        <w:rPr>
          <w:rFonts w:ascii="Times New Roman" w:hAnsi="Times New Roman" w:cs="Times New Roman" w:eastAsia="Times New Roman"/>
          <w:b w:val="0"/>
          <w:i w:val="0"/>
          <w:sz w:val="23"/>
        </w:rPr>
        <w:t>Lag orders: ADL(12,6) for WPI models, ADL(3,3) for CPI and retail petrol models.</w:t>
      </w:r>
    </w:p>
    <w:p>
      <w:pPr>
        <w:pStyle w:val="ListBullet"/>
        <w:spacing w:after="40" w:line="300" w:lineRule="auto"/>
        <w:ind w:firstLine="0"/>
      </w:pPr>
      <w:r>
        <w:rPr>
          <w:rFonts w:ascii="Times New Roman" w:hAnsi="Times New Roman" w:cs="Times New Roman" w:eastAsia="Times New Roman"/>
          <w:b w:val="0"/>
          <w:i w:val="0"/>
          <w:sz w:val="23"/>
        </w:rPr>
        <w:t>Diagnostic gate: Breusch-Godfrey, HAC-RESET, recursive CUSUM. All claim-bearing models pass.</w:t>
      </w:r>
    </w:p>
    <w:p>
      <w:pPr>
        <w:pStyle w:val="ListBullet"/>
        <w:spacing w:after="40" w:line="300" w:lineRule="auto"/>
        <w:ind w:firstLine="0"/>
      </w:pPr>
      <w:r>
        <w:rPr>
          <w:rFonts w:ascii="Times New Roman" w:hAnsi="Times New Roman" w:cs="Times New Roman" w:eastAsia="Times New Roman"/>
          <w:b w:val="0"/>
          <w:i w:val="0"/>
          <w:sz w:val="23"/>
        </w:rPr>
        <w:t>Data sources (full form): OEA WPI, MoSPI CPI, PPAC Delhi petrol, World Bank Pink Sheet Brent, FRED EXINUS for INR/USD.</w:t>
      </w:r>
    </w:p>
    <w:p>
      <w:pPr>
        <w:pStyle w:val="ListBullet"/>
        <w:spacing w:after="40" w:line="300" w:lineRule="auto"/>
        <w:ind w:firstLine="0"/>
      </w:pPr>
      <w:r>
        <w:rPr>
          <w:rFonts w:ascii="Times New Roman" w:hAnsi="Times New Roman" w:cs="Times New Roman" w:eastAsia="Times New Roman"/>
          <w:b w:val="0"/>
          <w:i w:val="0"/>
          <w:sz w:val="23"/>
        </w:rPr>
        <w:t>Core message: oil still matters in India, but most of it is absorbed before it reaches headline CPI.</w:t>
      </w:r>
    </w:p>
    <w:p>
      <w:pPr>
        <w:spacing w:before="120" w:after="120"/>
        <w:ind w:firstLine="0" w:left="144" w:right="144"/>
        <w:shd w:val="clear" w:color="auto" w:fill="EEF2FA"/>
      </w:pPr>
      <w:r>
        <w:rPr>
          <w:rFonts w:ascii="Times New Roman" w:hAnsi="Times New Roman" w:cs="Times New Roman" w:eastAsia="Times New Roman"/>
          <w:b/>
          <w:i w:val="0"/>
          <w:sz w:val="22"/>
        </w:rPr>
        <w:t xml:space="preserve">Closing line to rehearse: </w:t>
      </w:r>
      <w:r>
        <w:rPr>
          <w:rFonts w:ascii="Times New Roman" w:hAnsi="Times New Roman" w:cs="Times New Roman" w:eastAsia="Times New Roman"/>
          <w:b w:val="0"/>
          <w:i/>
          <w:sz w:val="22"/>
        </w:rPr>
        <w:t>‘Oil shocks do not vanish in India, but they lose force as they move from fuel prices to broad consumer inflation.’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40" w:after="80"/>
      <w:jc w:val="both"/>
    </w:pPr>
    <w:rPr>
      <w:rFonts w:ascii="Times New Roman" w:hAnsi="Times New Roman" w:cs="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line="288" w:lineRule="auto"/>
      <w:ind w:firstLine="0"/>
      <w:outlineLvl w:val="0"/>
    </w:pPr>
    <w:rPr>
      <w:rFonts w:asciiTheme="majorHAnsi" w:eastAsiaTheme="majorEastAsia" w:hAnsiTheme="majorHAnsi" w:cstheme="majorBidi" w:ascii="Times New Roman" w:hAnsi="Times New Roman" w:cs="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ind w:firstLine="0"/>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ind w:firstLine="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