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0" w:after="80"/>
        <w:jc w:val="center"/>
      </w:pPr>
      <w:r>
        <w:rPr>
          <w:rFonts w:ascii="Arial" w:cs="Arial" w:eastAsia="Arial" w:hAnsi="Arial"/>
          <w:b/>
          <w:bCs/>
          <w:color w:val="1F3864"/>
          <w:sz w:val="40"/>
          <w:szCs w:val="40"/>
          <w:u w:val="single"/>
        </w:rPr>
        <w:t xml:space="preserve">WORKING RESEARCH SYNOPSIS</w:t>
      </w:r>
    </w:p>
    <w:p>
      <w:pPr>
        <w:spacing w:before="0" w:after="60"/>
        <w:jc w:val="center"/>
      </w:pPr>
      <w:r>
        <w:rPr>
          <w:rFonts w:ascii="Arial" w:cs="Arial" w:eastAsia="Arial" w:hAnsi="Arial"/>
          <w:color w:val="888888"/>
          <w:sz w:val="22"/>
          <w:szCs w:val="22"/>
        </w:rPr>
        <w:t xml:space="preserve">Internal Guide for Dissertation Execution</w:t>
      </w:r>
    </w:p>
    <w:p>
      <w:pPr>
        <w:spacing w:before="40" w:after="40"/>
      </w:pPr>
      <w:r>
        <w:t xml:space="preserve"/>
      </w:r>
    </w:p>
    <w:p>
      <w:pPr>
        <w:spacing w:before="0" w:after="100"/>
        <w:jc w:val="center"/>
      </w:pPr>
      <w:r>
        <w:rPr>
          <w:rFonts w:ascii="Arial" w:cs="Arial" w:eastAsia="Arial" w:hAnsi="Arial"/>
          <w:b/>
          <w:bCs/>
          <w:color w:val="2E5F8A"/>
          <w:sz w:val="28"/>
          <w:szCs w:val="28"/>
        </w:rPr>
        <w:t xml:space="preserve">Do Global Oil Price Shocks Raise India’s Inflation More Than They Lower It?</w:t>
      </w:r>
    </w:p>
    <w:p>
      <w:pPr>
        <w:spacing w:before="0" w:after="200"/>
        <w:jc w:val="center"/>
      </w:pPr>
      <w:r>
        <w:rPr>
          <w:rFonts w:ascii="Arial" w:cs="Arial" w:eastAsia="Arial" w:hAnsi="Arial"/>
          <w:color w:val="555555"/>
          <w:sz w:val="24"/>
          <w:szCs w:val="24"/>
        </w:rPr>
        <w:t xml:space="preserve">Asymmetric Pass-Through to CPI Inflation, India (2004–2024)</w:t>
      </w:r>
    </w:p>
    <w:p>
      <w:pPr>
        <w:spacing w:before="40" w:after="40"/>
      </w:pPr>
      <w:r>
        <w:t xml:space="preserve"/>
      </w:r>
    </w:p>
    <w:p>
      <w:pPr>
        <w:spacing w:before="40" w:after="40"/>
      </w:pPr>
      <w:r>
        <w:t xml:space="preserve"/>
      </w:r>
    </w:p>
    <w:p>
      <w:pPr>
        <w:spacing w:before="50" w:after="50"/>
        <w:jc w:val="center"/>
      </w:pPr>
      <w:r>
        <w:rPr>
          <w:rFonts w:ascii="Arial" w:cs="Arial" w:eastAsia="Arial" w:hAnsi="Arial"/>
          <w:color w:val="333333"/>
          <w:sz w:val="22"/>
          <w:szCs w:val="22"/>
        </w:rPr>
        <w:t xml:space="preserve">Aniket Pandey</w:t>
      </w:r>
    </w:p>
    <w:p>
      <w:pPr>
        <w:spacing w:before="50" w:after="50"/>
        <w:jc w:val="center"/>
      </w:pPr>
      <w:r>
        <w:rPr>
          <w:rFonts w:ascii="Arial" w:cs="Arial" w:eastAsia="Arial" w:hAnsi="Arial"/>
          <w:color w:val="333333"/>
          <w:sz w:val="22"/>
          <w:szCs w:val="22"/>
        </w:rPr>
        <w:t xml:space="preserve">Prof. Shakti Kumar (Supervisor)</w:t>
      </w:r>
    </w:p>
    <w:p>
      <w:pPr>
        <w:spacing w:before="50" w:after="50"/>
        <w:jc w:val="center"/>
      </w:pPr>
      <w:r>
        <w:rPr>
          <w:rFonts w:ascii="Arial" w:cs="Arial" w:eastAsia="Arial" w:hAnsi="Arial"/>
          <w:color w:val="333333"/>
          <w:sz w:val="22"/>
          <w:szCs w:val="22"/>
        </w:rPr>
        <w:t xml:space="preserve">Centre for Economic Studies and Planning</w:t>
      </w:r>
    </w:p>
    <w:p>
      <w:pPr>
        <w:spacing w:before="50" w:after="50"/>
        <w:jc w:val="center"/>
      </w:pPr>
      <w:r>
        <w:rPr>
          <w:rFonts w:ascii="Arial" w:cs="Arial" w:eastAsia="Arial" w:hAnsi="Arial"/>
          <w:color w:val="333333"/>
          <w:sz w:val="22"/>
          <w:szCs w:val="22"/>
        </w:rPr>
        <w:t xml:space="preserve">School of Social Sciences — JNU, New Delhi</w:t>
      </w:r>
    </w:p>
    <w:p>
      <w:pPr>
        <w:spacing w:before="50" w:after="50"/>
        <w:jc w:val="center"/>
      </w:pPr>
      <w:r>
        <w:rPr>
          <w:rFonts w:ascii="Arial" w:cs="Arial" w:eastAsia="Arial" w:hAnsi="Arial"/>
          <w:color w:val="333333"/>
          <w:sz w:val="22"/>
          <w:szCs w:val="22"/>
        </w:rPr>
        <w:t xml:space="preserve">MS Economics — 16 Credit Dissertation — 2026</w:t>
      </w:r>
    </w:p>
    <w:p>
      <w:pPr>
        <w:spacing w:before="40" w:after="40"/>
      </w:pPr>
      <w:r>
        <w:t xml:space="preserve"/>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AEC8" w:sz="1"/>
              <w:left w:val="single" w:color="9BAEC8" w:sz="1"/>
              <w:bottom w:val="single" w:color="9BAEC8" w:sz="1"/>
              <w:right w:val="single" w:color="9BAEC8" w:sz="1"/>
            </w:tcBorders>
            <w:shd w:fill="FFF8E1" w:val="clear"/>
            <w:tcMar>
              <w:top w:type="dxa" w:w="120"/>
              <w:left w:type="dxa" w:w="200"/>
              <w:bottom w:type="dxa" w:w="120"/>
              <w:right w:type="dxa" w:w="200"/>
            </w:tcMar>
          </w:tcPr>
          <w:p>
            <w:r>
              <w:rPr>
                <w:rFonts w:ascii="Arial" w:cs="Arial" w:eastAsia="Arial" w:hAnsi="Arial"/>
                <w:b/>
                <w:bCs/>
                <w:color w:val="1F3864"/>
                <w:sz w:val="21"/>
                <w:szCs w:val="21"/>
              </w:rPr>
              <w:t xml:space="preserve">📌  How to use this document</w:t>
            </w:r>
          </w:p>
          <w:p>
            <w:r>
              <w:rPr>
                <w:rFonts w:ascii="Arial" w:cs="Arial" w:eastAsia="Arial" w:hAnsi="Arial"/>
                <w:color w:val="222222"/>
                <w:sz w:val="20"/>
                <w:szCs w:val="20"/>
              </w:rPr>
              <w:t xml:space="preserve">This is a working synopsis — not for submission. Use it as a step-by-step execution guide. Each section tells you exactly what to do, what the output should look like, what R code to run, and what to write in your dissertation. Follow sections 1–7 in order. Section 8 gives you defense lines to memorize.</w:t>
            </w:r>
          </w:p>
        </w:tc>
      </w:tr>
    </w:tbl>
    <w:p>
      <w:r>
        <w:br w:type="page"/>
      </w:r>
    </w:p>
    <w:p>
      <w:pPr>
        <w:pStyle w:val="Heading1"/>
        <w:spacing w:before="360" w:after="160"/>
      </w:pPr>
      <w:r>
        <w:rPr>
          <w:rFonts w:ascii="Arial" w:cs="Arial" w:eastAsia="Arial" w:hAnsi="Arial"/>
          <w:b/>
          <w:bCs/>
          <w:color w:val="1F3864"/>
          <w:sz w:val="30"/>
          <w:szCs w:val="30"/>
        </w:rPr>
        <w:t xml:space="preserve">1. Research Design at a Glance</w:t>
      </w:r>
    </w:p>
    <w:p>
      <w:pPr>
        <w:pBdr>
          <w:bottom w:val="single" w:color="2E5F8A" w:sz="4" w:space="1"/>
        </w:pBdr>
        <w:spacing w:before="160" w:after="160"/>
      </w:pPr>
      <w:r>
        <w:t xml:space="preserve"/>
      </w:r>
    </w:p>
    <w:p>
      <w:pPr>
        <w:spacing w:before="80" w:after="80"/>
        <w:jc w:val="both"/>
      </w:pPr>
      <w:r>
        <w:rPr>
          <w:rFonts w:ascii="Arial" w:cs="Arial" w:eastAsia="Arial" w:hAnsi="Arial"/>
          <w:color w:val="1A1A1A"/>
          <w:sz w:val="22"/>
          <w:szCs w:val="22"/>
        </w:rPr>
        <w:t xml:space="preserve">This dissertation tests the “Rockets and Feathers” hypothesis for India: that global oil price increases transmit to domestic CPI inflation faster and more strongly than equivalent decreases reduce it. The full analytical pipeline is: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26"/>
      </w:tblGrid>
      <w:tr>
        <w:tc>
          <w:tcPr>
            <w:tcW w:type="dxa" w:w="6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w:t>
            </w:r>
          </w:p>
        </w:tc>
        <w:tc>
          <w:tcPr>
            <w:tcW w:type="dxa" w:w="32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Stage</w:t>
            </w:r>
          </w:p>
        </w:tc>
        <w:tc>
          <w:tcPr>
            <w:tcW w:type="dxa" w:w="5226"/>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Output</w:t>
            </w:r>
          </w:p>
        </w:tc>
      </w:tr>
      <w:tr>
        <w:tc>
          <w:tcPr>
            <w:tcW w:type="dxa" w:w="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bCs/>
                <w:color w:val="1A1A1A"/>
                <w:sz w:val="19"/>
                <w:szCs w:val="19"/>
              </w:rPr>
              <w:t xml:space="preserve">1</w:t>
            </w:r>
          </w:p>
        </w:tc>
        <w:tc>
          <w:tcPr>
            <w:tcW w:type="dxa" w:w="32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Download &amp; clean 4 data series (CPI, Brent, INR/USD, IIP)</w:t>
            </w:r>
          </w:p>
        </w:tc>
        <w:tc>
          <w:tcPr>
            <w:tcW w:type="dxa" w:w="52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Clean monthly dataset, 249 obs, Apr 2004–Dec 2024</w:t>
            </w:r>
          </w:p>
        </w:tc>
      </w:tr>
      <w:tr>
        <w:tc>
          <w:tcPr>
            <w:tcW w:type="dxa" w:w="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bCs/>
                <w:color w:val="1A1A1A"/>
                <w:sz w:val="19"/>
                <w:szCs w:val="19"/>
              </w:rPr>
              <w:t xml:space="preserve">2</w:t>
            </w:r>
          </w:p>
        </w:tc>
        <w:tc>
          <w:tcPr>
            <w:tcW w:type="dxa" w:w="32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Construct INR oil price; log-difference all series; build ΔOil⁺ and ΔOil⁻</w:t>
            </w:r>
          </w:p>
        </w:tc>
        <w:tc>
          <w:tcPr>
            <w:tcW w:type="dxa" w:w="52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Final regression-ready dataset with all variables</w:t>
            </w:r>
          </w:p>
        </w:tc>
      </w:tr>
      <w:tr>
        <w:tc>
          <w:tcPr>
            <w:tcW w:type="dxa" w:w="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bCs/>
                <w:color w:val="1A1A1A"/>
                <w:sz w:val="19"/>
                <w:szCs w:val="19"/>
              </w:rPr>
              <w:t xml:space="preserve">3</w:t>
            </w:r>
          </w:p>
        </w:tc>
        <w:tc>
          <w:tcPr>
            <w:tcW w:type="dxa" w:w="32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ADF unit root tests on all variables in levels and differences</w:t>
            </w:r>
          </w:p>
        </w:tc>
        <w:tc>
          <w:tcPr>
            <w:tcW w:type="dxa" w:w="52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confirming all vars are I(1) in levels, I(0) in differences</w:t>
            </w:r>
          </w:p>
        </w:tc>
      </w:tr>
      <w:tr>
        <w:tc>
          <w:tcPr>
            <w:tcW w:type="dxa" w:w="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bCs/>
                <w:color w:val="1A1A1A"/>
                <w:sz w:val="19"/>
                <w:szCs w:val="19"/>
              </w:rPr>
              <w:t xml:space="preserve">4</w:t>
            </w:r>
          </w:p>
        </w:tc>
        <w:tc>
          <w:tcPr>
            <w:tcW w:type="dxa" w:w="32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Baseline symmetric ADL(1,1) — confirm oil affects inflation</w:t>
            </w:r>
          </w:p>
        </w:tc>
        <w:tc>
          <w:tcPr>
            <w:tcW w:type="dxa" w:w="52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4.1: symmetric baseline coefficients</w:t>
            </w:r>
          </w:p>
        </w:tc>
      </w:tr>
      <w:tr>
        <w:tc>
          <w:tcPr>
            <w:tcW w:type="dxa" w:w="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bCs/>
                <w:color w:val="1A1A1A"/>
                <w:sz w:val="19"/>
                <w:szCs w:val="19"/>
              </w:rPr>
              <w:t xml:space="preserve">5</w:t>
            </w:r>
          </w:p>
        </w:tc>
        <w:tc>
          <w:tcPr>
            <w:tcW w:type="dxa" w:w="32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Full asymmetric ADL(p,q) — core model, lag selected by AIC</w:t>
            </w:r>
          </w:p>
        </w:tc>
        <w:tc>
          <w:tcPr>
            <w:tcW w:type="dxa" w:w="52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4.2: π⁺ and π⁻ coefficients, CPT⁺ vs CPT⁻ comparison</w:t>
            </w:r>
          </w:p>
        </w:tc>
      </w:tr>
      <w:tr>
        <w:tc>
          <w:tcPr>
            <w:tcW w:type="dxa" w:w="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bCs/>
                <w:color w:val="1A1A1A"/>
                <w:sz w:val="19"/>
                <w:szCs w:val="19"/>
              </w:rPr>
              <w:t xml:space="preserve">6</w:t>
            </w:r>
          </w:p>
        </w:tc>
        <w:tc>
          <w:tcPr>
            <w:tcW w:type="dxa" w:w="32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Wald test for CPT⁺ = CPT⁻; interpret asymmetry gap</w:t>
            </w:r>
          </w:p>
        </w:tc>
        <w:tc>
          <w:tcPr>
            <w:tcW w:type="dxa" w:w="52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4.3: Wald F-stat and p-value</w:t>
            </w:r>
          </w:p>
        </w:tc>
      </w:tr>
      <w:tr>
        <w:tc>
          <w:tcPr>
            <w:tcW w:type="dxa" w:w="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bCs/>
                <w:color w:val="1A1A1A"/>
                <w:sz w:val="19"/>
                <w:szCs w:val="19"/>
              </w:rPr>
              <w:t xml:space="preserve">7</w:t>
            </w:r>
          </w:p>
        </w:tc>
        <w:tc>
          <w:tcPr>
            <w:tcW w:type="dxa" w:w="32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Sub-sample analysis: re-estimate ADL for pre- and post-2014</w:t>
            </w:r>
          </w:p>
        </w:tc>
        <w:tc>
          <w:tcPr>
            <w:tcW w:type="dxa" w:w="52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4.4: coefficients and asymmetry by period</w:t>
            </w:r>
          </w:p>
        </w:tc>
      </w:tr>
      <w:tr>
        <w:tc>
          <w:tcPr>
            <w:tcW w:type="dxa" w:w="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bCs/>
                <w:color w:val="1A1A1A"/>
                <w:sz w:val="19"/>
                <w:szCs w:val="19"/>
              </w:rPr>
              <w:t xml:space="preserve">8</w:t>
            </w:r>
          </w:p>
        </w:tc>
        <w:tc>
          <w:tcPr>
            <w:tcW w:type="dxa" w:w="32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Diagnostic tests on primary model</w:t>
            </w:r>
          </w:p>
        </w:tc>
        <w:tc>
          <w:tcPr>
            <w:tcW w:type="dxa" w:w="52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4.5: BG, BP, RESET, ARCH results</w:t>
            </w:r>
          </w:p>
        </w:tc>
      </w:tr>
      <w:tr>
        <w:tc>
          <w:tcPr>
            <w:tcW w:type="dxa" w:w="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bCs/>
                <w:color w:val="1A1A1A"/>
                <w:sz w:val="19"/>
                <w:szCs w:val="19"/>
              </w:rPr>
              <w:t xml:space="preserve">9</w:t>
            </w:r>
          </w:p>
        </w:tc>
        <w:tc>
          <w:tcPr>
            <w:tcW w:type="dxa" w:w="32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Robustness checks (3 alternatives)</w:t>
            </w:r>
          </w:p>
        </w:tc>
        <w:tc>
          <w:tcPr>
            <w:tcW w:type="dxa" w:w="52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5.x: alternative lag, USD-only, rolling window, winsorize</w:t>
            </w:r>
          </w:p>
        </w:tc>
      </w:tr>
      <w:tr>
        <w:tc>
          <w:tcPr>
            <w:tcW w:type="dxa" w:w="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bCs/>
                <w:color w:val="1A1A1A"/>
                <w:sz w:val="19"/>
                <w:szCs w:val="19"/>
              </w:rPr>
              <w:t xml:space="preserve">10</w:t>
            </w:r>
          </w:p>
        </w:tc>
        <w:tc>
          <w:tcPr>
            <w:tcW w:type="dxa" w:w="32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Write chapters following the 7-chapter plan</w:t>
            </w:r>
          </w:p>
        </w:tc>
        <w:tc>
          <w:tcPr>
            <w:tcW w:type="dxa" w:w="52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Final dissertation</w:t>
            </w:r>
          </w:p>
        </w:tc>
      </w:tr>
    </w:tbl>
    <w:p>
      <w:r>
        <w:br w:type="page"/>
      </w:r>
    </w:p>
    <w:p>
      <w:pPr>
        <w:pStyle w:val="Heading1"/>
        <w:spacing w:before="360" w:after="160"/>
      </w:pPr>
      <w:r>
        <w:rPr>
          <w:rFonts w:ascii="Arial" w:cs="Arial" w:eastAsia="Arial" w:hAnsi="Arial"/>
          <w:b/>
          <w:bCs/>
          <w:color w:val="1F3864"/>
          <w:sz w:val="30"/>
          <w:szCs w:val="30"/>
        </w:rPr>
        <w:t xml:space="preserve">2. Data: Sources, Downloads, and Construction</w:t>
      </w:r>
    </w:p>
    <w:p>
      <w:pPr>
        <w:pBdr>
          <w:bottom w:val="single" w:color="2E5F8A" w:sz="4" w:space="1"/>
        </w:pBdr>
        <w:spacing w:before="160" w:after="160"/>
      </w:pPr>
      <w:r>
        <w:t xml:space="preserve"/>
      </w:r>
    </w:p>
    <w:p>
      <w:pPr>
        <w:pStyle w:val="Heading2"/>
        <w:spacing w:before="240" w:after="100"/>
      </w:pPr>
      <w:r>
        <w:rPr>
          <w:rFonts w:ascii="Arial" w:cs="Arial" w:eastAsia="Arial" w:hAnsi="Arial"/>
          <w:b/>
          <w:bCs/>
          <w:color w:val="2E5F8A"/>
          <w:sz w:val="24"/>
          <w:szCs w:val="24"/>
        </w:rPr>
        <w:t xml:space="preserve">2.1 Sample</w:t>
      </w:r>
    </w:p>
    <w:p>
      <w:pPr>
        <w:spacing w:before="80" w:after="80"/>
        <w:jc w:val="both"/>
      </w:pPr>
      <w:r>
        <w:rPr>
          <w:rFonts w:ascii="Arial" w:cs="Arial" w:eastAsia="Arial" w:hAnsi="Arial"/>
          <w:color w:val="1A1A1A"/>
          <w:sz w:val="22"/>
          <w:szCs w:val="22"/>
        </w:rPr>
        <w:t xml:space="preserve">Monthly data, April 2004 to December 2024 = 249 raw observations. After log-differencing and creating lagged variables, the working sample will be approximately 237–245 observations depending on lag length. This 20-year window spans four structurally distinct oil price regimes, providing the variation needed to identify both positive and negative pass-through.</w:t>
      </w:r>
    </w:p>
    <w:p>
      <w:pPr>
        <w:spacing w:before="40" w:after="40"/>
      </w:pPr>
      <w:r>
        <w:t xml:space="preserve"/>
      </w:r>
    </w:p>
    <w:p>
      <w:pPr>
        <w:pStyle w:val="Heading2"/>
        <w:spacing w:before="240" w:after="100"/>
      </w:pPr>
      <w:r>
        <w:rPr>
          <w:rFonts w:ascii="Arial" w:cs="Arial" w:eastAsia="Arial" w:hAnsi="Arial"/>
          <w:b/>
          <w:bCs/>
          <w:color w:val="2E5F8A"/>
          <w:sz w:val="24"/>
          <w:szCs w:val="24"/>
        </w:rPr>
        <w:t xml:space="preserve">2.2 The Four Variables — Download Instruction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626"/>
      </w:tblGrid>
      <w:tr>
        <w:tc>
          <w:tcPr>
            <w:tcW w:type="dxa" w:w="18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Variable</w:t>
            </w:r>
          </w:p>
        </w:tc>
        <w:tc>
          <w:tcPr>
            <w:tcW w:type="dxa" w:w="20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FRED Code</w:t>
            </w:r>
          </w:p>
        </w:tc>
        <w:tc>
          <w:tcPr>
            <w:tcW w:type="dxa" w:w="16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Units</w:t>
            </w:r>
          </w:p>
        </w:tc>
        <w:tc>
          <w:tcPr>
            <w:tcW w:type="dxa" w:w="3626"/>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Role</w:t>
            </w:r>
          </w:p>
        </w:tc>
      </w:tr>
      <w:tr>
        <w:tc>
          <w:tcPr>
            <w:tcW w:type="dxa" w:w="18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India CPI All Items</w:t>
            </w:r>
          </w:p>
        </w:tc>
        <w:tc>
          <w:tcPr>
            <w:tcW w:type="dxa" w:w="20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INDCPIALLMINMEI</w:t>
            </w:r>
          </w:p>
        </w:tc>
        <w:tc>
          <w:tcPr>
            <w:tcW w:type="dxa" w:w="1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Index (2015=100)</w:t>
            </w:r>
          </w:p>
        </w:tc>
        <w:tc>
          <w:tcPr>
            <w:tcW w:type="dxa" w:w="36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Dependent variable — what we explain</w:t>
            </w:r>
          </w:p>
        </w:tc>
      </w:tr>
      <w:tr>
        <w:tc>
          <w:tcPr>
            <w:tcW w:type="dxa" w:w="18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Brent Crude (USD/bbl)</w:t>
            </w:r>
          </w:p>
        </w:tc>
        <w:tc>
          <w:tcPr>
            <w:tcW w:type="dxa" w:w="20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POILBREUSDM</w:t>
            </w:r>
          </w:p>
        </w:tc>
        <w:tc>
          <w:tcPr>
            <w:tcW w:type="dxa" w:w="1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USD per barrel</w:t>
            </w:r>
          </w:p>
        </w:tc>
        <w:tc>
          <w:tcPr>
            <w:tcW w:type="dxa" w:w="36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Global oil price input</w:t>
            </w:r>
          </w:p>
        </w:tc>
      </w:tr>
      <w:tr>
        <w:tc>
          <w:tcPr>
            <w:tcW w:type="dxa" w:w="18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INR/USD Exchange Rate</w:t>
            </w:r>
          </w:p>
        </w:tc>
        <w:tc>
          <w:tcPr>
            <w:tcW w:type="dxa" w:w="20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EXINUS</w:t>
            </w:r>
          </w:p>
        </w:tc>
        <w:tc>
          <w:tcPr>
            <w:tcW w:type="dxa" w:w="1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INR per USD</w:t>
            </w:r>
          </w:p>
        </w:tc>
        <w:tc>
          <w:tcPr>
            <w:tcW w:type="dxa" w:w="36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Converts oil to domestic cost</w:t>
            </w:r>
          </w:p>
        </w:tc>
      </w:tr>
      <w:tr>
        <w:tc>
          <w:tcPr>
            <w:tcW w:type="dxa" w:w="18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India IIP General Index</w:t>
            </w:r>
          </w:p>
        </w:tc>
        <w:tc>
          <w:tcPr>
            <w:tcW w:type="dxa" w:w="20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RBI DBIE (manual)</w:t>
            </w:r>
          </w:p>
        </w:tc>
        <w:tc>
          <w:tcPr>
            <w:tcW w:type="dxa" w:w="1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Index</w:t>
            </w:r>
          </w:p>
        </w:tc>
        <w:tc>
          <w:tcPr>
            <w:tcW w:type="dxa" w:w="36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Demand-side control (avoids confusing demand-pull with cost-push)</w:t>
            </w:r>
          </w:p>
        </w:tc>
      </w:tr>
    </w:tbl>
    <w:p>
      <w:pPr>
        <w:spacing w:before="40" w:after="40"/>
      </w:pPr>
      <w:r>
        <w:t xml:space="preserve"/>
      </w:r>
    </w:p>
    <w:p>
      <w:pPr>
        <w:spacing w:before="60" w:after="60"/>
        <w:ind w:left="400"/>
        <w:jc w:val="both"/>
      </w:pPr>
      <w:r>
        <w:rPr>
          <w:rFonts w:ascii="Arial" w:cs="Arial" w:eastAsia="Arial" w:hAnsi="Arial"/>
          <w:color w:val="7A4000"/>
          <w:sz w:val="19"/>
          <w:szCs w:val="19"/>
        </w:rPr>
        <w:t xml:space="preserve">⚠ CPI, Brent, and INR/USD are all on FRED (fred.stlouisfed.org). IIP must be downloaded from RBI DBIE (dbie.rbi.org.in) — two series with different base years need chain-linking (see Step C below).</w:t>
      </w:r>
    </w:p>
    <w:p>
      <w:pPr>
        <w:spacing w:before="40" w:after="40"/>
      </w:pPr>
      <w:r>
        <w:t xml:space="preserve"/>
      </w:r>
    </w:p>
    <w:p>
      <w:pPr>
        <w:pStyle w:val="Heading2"/>
        <w:spacing w:before="240" w:after="100"/>
      </w:pPr>
      <w:r>
        <w:rPr>
          <w:rFonts w:ascii="Arial" w:cs="Arial" w:eastAsia="Arial" w:hAnsi="Arial"/>
          <w:b/>
          <w:bCs/>
          <w:color w:val="2E5F8A"/>
          <w:sz w:val="24"/>
          <w:szCs w:val="24"/>
        </w:rPr>
        <w:t xml:space="preserve">2.3 Variable Construction Steps</w:t>
      </w:r>
    </w:p>
    <w:p>
      <w:pPr>
        <w:spacing w:before="180" w:after="80"/>
      </w:pPr>
      <w:r>
        <w:rPr>
          <w:rFonts w:ascii="Arial" w:cs="Arial" w:eastAsia="Arial" w:hAnsi="Arial"/>
          <w:b/>
          <w:bCs/>
          <w:color w:val="1A4A6B"/>
          <w:sz w:val="22"/>
          <w:szCs w:val="22"/>
        </w:rPr>
        <w:t xml:space="preserve">Step A: INR-Denominated Oil Price</w:t>
      </w:r>
    </w:p>
    <w:p>
      <w:pPr>
        <w:spacing w:before="80" w:after="80"/>
        <w:jc w:val="both"/>
      </w:pPr>
      <w:r>
        <w:rPr>
          <w:rFonts w:ascii="Arial" w:cs="Arial" w:eastAsia="Arial" w:hAnsi="Arial"/>
          <w:color w:val="1A1A1A"/>
          <w:sz w:val="22"/>
          <w:szCs w:val="22"/>
        </w:rPr>
        <w:t xml:space="preserve">The economically meaningful shock to Indian consumers is the Rupee cost of oil, not the USD price. Construct as a simple multiplication:</w:t>
      </w:r>
    </w:p>
    <w:p>
      <w:pPr>
        <w:pBdr>
          <w:left w:val="thick" w:color="2E5F8A" w:sz="8" w:space="12"/>
        </w:pBdr>
        <w:shd w:fill="EEF2F8" w:val="clear"/>
        <w:spacing w:before="180" w:after="180"/>
        <w:jc w:val="center"/>
      </w:pPr>
      <w:r>
        <w:rPr>
          <w:rFonts w:ascii="Cambria Math" w:cs="Cambria Math" w:eastAsia="Cambria Math" w:hAnsi="Cambria Math"/>
          <w:b/>
          <w:bCs/>
          <w:color w:val="1F3864"/>
          <w:sz w:val="22"/>
          <w:szCs w:val="22"/>
        </w:rPr>
        <w:t xml:space="preserve">Oil_INRₜ  =  Brent_USDₜ  ×  INR/USDₜ</w:t>
      </w:r>
    </w:p>
    <w:p>
      <w:pPr>
        <w:spacing w:before="80" w:after="80"/>
        <w:jc w:val="both"/>
      </w:pPr>
      <w:r>
        <w:rPr>
          <w:rFonts w:ascii="Arial" w:cs="Arial" w:eastAsia="Arial" w:hAnsi="Arial"/>
          <w:color w:val="1A1A1A"/>
          <w:sz w:val="22"/>
          <w:szCs w:val="22"/>
        </w:rPr>
        <w:t xml:space="preserve">This captures both global oil price movements and exchange rate movements in a single variable. When Rupee depreciates simultaneously with a Brent rise, the inflation pressure is amplified beyond either measure alone.</w:t>
      </w:r>
    </w:p>
    <w:p>
      <w:pPr>
        <w:spacing w:before="40" w:after="40"/>
      </w:pPr>
      <w:r>
        <w:t xml:space="preserve"/>
      </w:r>
    </w:p>
    <w:p>
      <w:pPr>
        <w:spacing w:before="180" w:after="80"/>
      </w:pPr>
      <w:r>
        <w:rPr>
          <w:rFonts w:ascii="Arial" w:cs="Arial" w:eastAsia="Arial" w:hAnsi="Arial"/>
          <w:b/>
          <w:bCs/>
          <w:color w:val="1A4A6B"/>
          <w:sz w:val="22"/>
          <w:szCs w:val="22"/>
        </w:rPr>
        <w:t xml:space="preserve">Step B: Log-Differences (The Core Transformation)</w:t>
      </w:r>
    </w:p>
    <w:p>
      <w:pPr>
        <w:spacing w:before="80" w:after="80"/>
        <w:jc w:val="both"/>
      </w:pPr>
      <w:r>
        <w:rPr>
          <w:rFonts w:ascii="Arial" w:cs="Arial" w:eastAsia="Arial" w:hAnsi="Arial"/>
          <w:color w:val="1A1A1A"/>
          <w:sz w:val="22"/>
          <w:szCs w:val="22"/>
        </w:rPr>
        <w:t xml:space="preserve">Take natural logs of all price/index series, then compute the first difference (month-over-month change). This converts non-stationary trending levels into stationary growth rates. The log-difference approximates the percentage change for small changes:</w:t>
      </w:r>
    </w:p>
    <w:p>
      <w:pPr>
        <w:pBdr>
          <w:left w:val="thick" w:color="2E5F8A" w:sz="8" w:space="12"/>
        </w:pBdr>
        <w:shd w:fill="EEF2F8" w:val="clear"/>
        <w:spacing w:before="180" w:after="180"/>
        <w:jc w:val="center"/>
      </w:pPr>
      <w:r>
        <w:rPr>
          <w:rFonts w:ascii="Cambria Math" w:cs="Cambria Math" w:eastAsia="Cambria Math" w:hAnsi="Cambria Math"/>
          <w:b/>
          <w:bCs/>
          <w:color w:val="1F3864"/>
          <w:sz w:val="22"/>
          <w:szCs w:val="22"/>
        </w:rPr>
        <w:t xml:space="preserve">Δℓₙ(Oil_INR)ₜ  =  100 × [ℓₙ(Oil_INR)ₜ − ℓₙ(Oil_INR)ₜ₋₁]</w:t>
      </w:r>
    </w:p>
    <w:p>
      <w:pPr>
        <w:pBdr>
          <w:left w:val="thick" w:color="2E5F8A" w:sz="8" w:space="12"/>
        </w:pBdr>
        <w:shd w:fill="EEF2F8" w:val="clear"/>
        <w:spacing w:before="180" w:after="180"/>
        <w:jc w:val="center"/>
      </w:pPr>
      <w:r>
        <w:rPr>
          <w:rFonts w:ascii="Cambria Math" w:cs="Cambria Math" w:eastAsia="Cambria Math" w:hAnsi="Cambria Math"/>
          <w:b/>
          <w:bCs/>
          <w:color w:val="1F3864"/>
          <w:sz w:val="22"/>
          <w:szCs w:val="22"/>
        </w:rPr>
        <w:t xml:space="preserve">Δℓₙ(CPI)ₜ  =  100 × [ℓₙ(CPI)ₜ − ℓₙ(CPI)ₜ₋₁]</w:t>
      </w:r>
    </w:p>
    <w:p>
      <w:pPr>
        <w:pBdr>
          <w:left w:val="thick" w:color="2E5F8A" w:sz="8" w:space="12"/>
        </w:pBdr>
        <w:shd w:fill="EEF2F8" w:val="clear"/>
        <w:spacing w:before="180" w:after="180"/>
        <w:jc w:val="center"/>
      </w:pPr>
      <w:r>
        <w:rPr>
          <w:rFonts w:ascii="Cambria Math" w:cs="Cambria Math" w:eastAsia="Cambria Math" w:hAnsi="Cambria Math"/>
          <w:b/>
          <w:bCs/>
          <w:color w:val="1F3864"/>
          <w:sz w:val="22"/>
          <w:szCs w:val="22"/>
        </w:rPr>
        <w:t xml:space="preserve">Δℓₙ(IIP)ₜ  =  100 × [ℓₙ(IIP)ₜ − ℓₙ(IIP)ₜ₋₁]</w:t>
      </w:r>
    </w:p>
    <w:p>
      <w:pPr>
        <w:spacing w:before="80" w:after="80"/>
        <w:jc w:val="both"/>
      </w:pPr>
      <w:r>
        <w:rPr>
          <w:rFonts w:ascii="Arial" w:cs="Arial" w:eastAsia="Arial" w:hAnsi="Arial"/>
          <w:color w:val="1A1A1A"/>
          <w:sz w:val="22"/>
          <w:szCs w:val="22"/>
        </w:rPr>
        <w:t xml:space="preserve">Multiplying by 100 puts the series in percent units. This means: a coefficient of 0.02 on Δℓₙ(Oil_INR) means a 1% oil price increase raises monthly CPI inflation by 0.02 percentage points. A 10% oil shock therefore raises inflation by 0.20 pp. Always report the “per 10% shock” effect when writing results.</w:t>
      </w:r>
    </w:p>
    <w:p>
      <w:pPr>
        <w:spacing w:before="40" w:after="40"/>
      </w:pPr>
      <w:r>
        <w:t xml:space="preserve"/>
      </w:r>
    </w:p>
    <w:p>
      <w:pPr>
        <w:spacing w:before="180" w:after="80"/>
      </w:pPr>
      <w:r>
        <w:rPr>
          <w:rFonts w:ascii="Arial" w:cs="Arial" w:eastAsia="Arial" w:hAnsi="Arial"/>
          <w:b/>
          <w:bCs/>
          <w:color w:val="1A4A6B"/>
          <w:sz w:val="22"/>
          <w:szCs w:val="22"/>
        </w:rPr>
        <w:t xml:space="preserve">Step C: IIP Chain-Linking</w:t>
      </w:r>
    </w:p>
    <w:p>
      <w:pPr>
        <w:spacing w:before="80" w:after="80"/>
        <w:jc w:val="both"/>
      </w:pPr>
      <w:r>
        <w:rPr>
          <w:rFonts w:ascii="Arial" w:cs="Arial" w:eastAsia="Arial" w:hAnsi="Arial"/>
          <w:color w:val="1A1A1A"/>
          <w:sz w:val="22"/>
          <w:szCs w:val="22"/>
        </w:rPr>
        <w:t xml:space="preserve">RBI DBIE publishes IIP in two segments with different base years: Base 2004–05 (April 2004 to January 2017) and Base 2011–12 (April 2012 onwards). Use the 58-month overlap to compute a splice factor and chain-link into one continuous series:</w:t>
      </w:r>
    </w:p>
    <w:p>
      <w:pPr>
        <w:pBdr>
          <w:left w:val="thick" w:color="2E5F8A" w:sz="8" w:space="12"/>
        </w:pBdr>
        <w:shd w:fill="EEF2F8" w:val="clear"/>
        <w:spacing w:before="180" w:after="180"/>
        <w:jc w:val="center"/>
      </w:pPr>
      <w:r>
        <w:rPr>
          <w:rFonts w:ascii="Cambria Math" w:cs="Cambria Math" w:eastAsia="Cambria Math" w:hAnsi="Cambria Math"/>
          <w:b/>
          <w:bCs/>
          <w:color w:val="1F3864"/>
          <w:sz w:val="22"/>
          <w:szCs w:val="22"/>
        </w:rPr>
        <w:t xml:space="preserve">Splice Factor  =  Mean(Base 2011−12 in overlap)  ÷  Mean(Base 2004−05 in overlap)  ≈  0.627</w:t>
      </w:r>
    </w:p>
    <w:p>
      <w:pPr>
        <w:spacing w:before="80" w:after="80"/>
        <w:jc w:val="both"/>
      </w:pPr>
      <w:r>
        <w:rPr>
          <w:rFonts w:ascii="Arial" w:cs="Arial" w:eastAsia="Arial" w:hAnsi="Arial"/>
          <w:color w:val="1A1A1A"/>
          <w:sz w:val="22"/>
          <w:szCs w:val="22"/>
        </w:rPr>
        <w:t xml:space="preserve">Multiply all Base 2004–05 values before April 2012 by this factor. Since IIP enters the model as a log-difference, any residual level discontinuity is absorbed by differencing and does not affect estimates.</w:t>
      </w:r>
    </w:p>
    <w:p>
      <w:pPr>
        <w:spacing w:before="40" w:after="40"/>
      </w:pPr>
      <w:r>
        <w:t xml:space="preserve"/>
      </w:r>
    </w:p>
    <w:p>
      <w:pPr>
        <w:spacing w:before="180" w:after="80"/>
      </w:pPr>
      <w:r>
        <w:rPr>
          <w:rFonts w:ascii="Arial" w:cs="Arial" w:eastAsia="Arial" w:hAnsi="Arial"/>
          <w:b/>
          <w:bCs/>
          <w:color w:val="1A4A6B"/>
          <w:sz w:val="22"/>
          <w:szCs w:val="22"/>
        </w:rPr>
        <w:t xml:space="preserve">Step D: Partial Sum Decomposition — The Key Innovation</w:t>
      </w:r>
    </w:p>
    <w:p>
      <w:pPr>
        <w:spacing w:before="80" w:after="80"/>
        <w:jc w:val="both"/>
      </w:pPr>
      <w:r>
        <w:rPr>
          <w:rFonts w:ascii="Arial" w:cs="Arial" w:eastAsia="Arial" w:hAnsi="Arial"/>
          <w:color w:val="1A1A1A"/>
          <w:sz w:val="22"/>
          <w:szCs w:val="22"/>
        </w:rPr>
        <w:t xml:space="preserve">This is the conceptual heart of the asymmetry test. The monthly oil price change is split into two mutually exclusive series using a max/min operation:</w:t>
      </w:r>
    </w:p>
    <w:p>
      <w:pPr>
        <w:pBdr>
          <w:left w:val="thick" w:color="2E5F8A" w:sz="8" w:space="12"/>
        </w:pBdr>
        <w:shd w:fill="EEF2F8" w:val="clear"/>
        <w:spacing w:before="180" w:after="180"/>
        <w:jc w:val="center"/>
      </w:pPr>
      <w:r>
        <w:rPr>
          <w:rFonts w:ascii="Cambria Math" w:cs="Cambria Math" w:eastAsia="Cambria Math" w:hAnsi="Cambria Math"/>
          <w:b/>
          <w:bCs/>
          <w:color w:val="1F3864"/>
          <w:sz w:val="22"/>
          <w:szCs w:val="22"/>
        </w:rPr>
        <w:t xml:space="preserve">Δℓₙ(Oil)⁺ₜ  =  max(Δℓₙ(Oil_INR)ₜ ,  0)     ← positive if oil rose; 0 otherwise</w:t>
      </w:r>
    </w:p>
    <w:p>
      <w:pPr>
        <w:pBdr>
          <w:left w:val="thick" w:color="2E5F8A" w:sz="8" w:space="12"/>
        </w:pBdr>
        <w:shd w:fill="EEF2F8" w:val="clear"/>
        <w:spacing w:before="180" w:after="180"/>
        <w:jc w:val="center"/>
      </w:pPr>
      <w:r>
        <w:rPr>
          <w:rFonts w:ascii="Cambria Math" w:cs="Cambria Math" w:eastAsia="Cambria Math" w:hAnsi="Cambria Math"/>
          <w:b/>
          <w:bCs/>
          <w:color w:val="1F3864"/>
          <w:sz w:val="22"/>
          <w:szCs w:val="22"/>
        </w:rPr>
        <w:t xml:space="preserve">Δℓₙ(Oil)⁻ₜ  =  min(Δℓₙ(Oil_INR)ₜ ,  0)     ← negative if oil fell; 0 otherwise</w:t>
      </w:r>
    </w:p>
    <w:p>
      <w:pPr>
        <w:spacing w:before="80" w:after="80"/>
        <w:jc w:val="both"/>
      </w:pPr>
      <w:r>
        <w:rPr>
          <w:rFonts w:ascii="Arial" w:cs="Arial" w:eastAsia="Arial" w:hAnsi="Arial"/>
          <w:color w:val="1A1A1A"/>
          <w:sz w:val="22"/>
          <w:szCs w:val="22"/>
        </w:rPr>
        <w:t xml:space="preserve">Note the sign convention: ΔOil⁻ is kept negative (not absolute value). This means a negative coefficient on ΔOil⁻ means oil price decreases reduce inflation — which is the correct directional interpretation. If you use pmax(-ΔOil, 0) instead, both coefficients become positive, which confuses interpretation in tables.</w:t>
      </w:r>
    </w:p>
    <w:p>
      <w:pPr>
        <w:spacing w:before="40" w:after="40"/>
      </w:pPr>
      <w:r>
        <w:t xml:space="preserve"/>
      </w:r>
    </w:p>
    <w:p>
      <w:pPr>
        <w:spacing w:before="180" w:after="80"/>
      </w:pPr>
      <w:r>
        <w:rPr>
          <w:rFonts w:ascii="Arial" w:cs="Arial" w:eastAsia="Arial" w:hAnsi="Arial"/>
          <w:b/>
          <w:bCs/>
          <w:color w:val="1A4A6B"/>
          <w:sz w:val="22"/>
          <w:szCs w:val="22"/>
        </w:rPr>
        <w:t xml:space="preserve">Step E: Policy Dummies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c>
          <w:tcPr>
            <w:tcW w:type="dxa" w:w="16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Dummy</w:t>
            </w:r>
          </w:p>
        </w:tc>
        <w:tc>
          <w:tcPr>
            <w:tcW w:type="dxa" w:w="24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Definition</w:t>
            </w:r>
          </w:p>
        </w:tc>
        <w:tc>
          <w:tcPr>
            <w:tcW w:type="dxa" w:w="5026"/>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Purpose</w:t>
            </w:r>
          </w:p>
        </w:tc>
      </w:tr>
      <w:tr>
        <w:tc>
          <w:tcPr>
            <w:tcW w:type="dxa" w:w="1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D_petrol</w:t>
            </w:r>
          </w:p>
        </w:tc>
        <w:tc>
          <w:tcPr>
            <w:tcW w:type="dxa" w:w="2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1 from June 2010 onwards</w:t>
            </w:r>
          </w:p>
        </w:tc>
        <w:tc>
          <w:tcPr>
            <w:tcW w:type="dxa" w:w="50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Controls for petrol deregulation structural shift</w:t>
            </w:r>
          </w:p>
        </w:tc>
      </w:tr>
      <w:tr>
        <w:tc>
          <w:tcPr>
            <w:tcW w:type="dxa" w:w="1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D_diesel</w:t>
            </w:r>
          </w:p>
        </w:tc>
        <w:tc>
          <w:tcPr>
            <w:tcW w:type="dxa" w:w="2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1 from October 2014 onwards</w:t>
            </w:r>
          </w:p>
        </w:tc>
        <w:tc>
          <w:tcPr>
            <w:tcW w:type="dxa" w:w="50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Main deregulation dummy — used in sub-sample split</w:t>
            </w:r>
          </w:p>
        </w:tc>
      </w:tr>
      <w:tr>
        <w:tc>
          <w:tcPr>
            <w:tcW w:type="dxa" w:w="1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D_covid</w:t>
            </w:r>
          </w:p>
        </w:tc>
        <w:tc>
          <w:tcPr>
            <w:tcW w:type="dxa" w:w="2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1 in April 2020 only</w:t>
            </w:r>
          </w:p>
        </w:tc>
        <w:tc>
          <w:tcPr>
            <w:tcW w:type="dxa" w:w="50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Controls for lockdown CPI outlier (single month)</w:t>
            </w:r>
          </w:p>
        </w:tc>
      </w:tr>
      <w:tr>
        <w:tc>
          <w:tcPr>
            <w:tcW w:type="dxa" w:w="1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M1–M11</w:t>
            </w:r>
          </w:p>
        </w:tc>
        <w:tc>
          <w:tcPr>
            <w:tcW w:type="dxa" w:w="2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11 monthly dummies (Jan–Nov)</w:t>
            </w:r>
          </w:p>
        </w:tc>
        <w:tc>
          <w:tcPr>
            <w:tcW w:type="dxa" w:w="50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Control for seasonal patterns in Indian food prices (monsoon July spike)</w:t>
            </w:r>
          </w:p>
        </w:tc>
      </w:tr>
    </w:tbl>
    <w:p>
      <w:pPr>
        <w:spacing w:before="40" w:after="40"/>
      </w:pPr>
      <w:r>
        <w:t xml:space="preserve"/>
      </w:r>
    </w:p>
    <w:p>
      <w:pPr>
        <w:pStyle w:val="Heading2"/>
        <w:spacing w:before="240" w:after="100"/>
      </w:pPr>
      <w:r>
        <w:rPr>
          <w:rFonts w:ascii="Arial" w:cs="Arial" w:eastAsia="Arial" w:hAnsi="Arial"/>
          <w:b/>
          <w:bCs/>
          <w:color w:val="2E5F8A"/>
          <w:sz w:val="24"/>
          <w:szCs w:val="24"/>
        </w:rPr>
        <w:t xml:space="preserve">2.4 Complete R Code: Data Construction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1"/>
              <w:left w:val="single" w:color="555555" w:sz="1"/>
              <w:bottom w:val="none" w:color="222222" w:sz="0"/>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Install/load packages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library(tidyverse)   # data wrangling</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library(tseries)     # ADF tests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library(lmtest)      # Breusch-Godfrey, Breusch-Pagan, RESET</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library(sandwich)    # Newey-West HAC standard errors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library(car)         # linearHypothesis (Wald test)</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library(strucchange) # CUSUM stability test</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library(stargazer)   # publication-quality tables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Load raw data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Your CSV should have columns: date, cpi, brent_usd, inr_usd, iip</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raw &lt;- read_csv('data.csv') |&gt;</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mutate(date = as.Date(date))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Construct INR oil price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df &lt;- raw |&gt; mutate(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oil_inr   = brent_usd * inr_usd,</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log levels (for ADF on levels)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ln_cpi    = log(cpi),</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ln_oil    = log(oil_inr),</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ln_brent  = log(brent_usd),     # for robustness check later</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ln_exr    = log(inr_usd),</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ln_iip    = log(iip),</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log-differences × 100 → percent units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dlnCPI    = 100 * (ln_cpi   - lag(ln_cpi)),</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dlnOil    = 100 * (ln_oil   - lag(ln_oil)),</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dlnBrent  = 100 * (ln_brent - lag(ln_brent)),</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dlnIIP    = 100 * (ln_iip   - lag(ln_iip)),</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Partial sum decomposition (keep negative sign on Oil_neg)</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dOil_pos  = pmax(dlnOil, 0),   # positive shocks (increases)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dOil_neg  = pmin(dlnOil, 0),   # negative shocks (decreases, kept negative)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Policy dummies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D_petrol  = as.integer(date &gt;= as.Date('2010-06-01')),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D_diesel  = as.integer(date &gt;= as.Date('2014-10-01')),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D_covid   = as.integer(date == as.Date('2020-04-01')),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Monthly seasonal dummies (M1=Jan ... M11=Nov; Dec is base)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month_num = month(date)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|&gt;</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bind_cols(model.matrix(~ factor(month_num) - 1, data = df_temp) |&gt;</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as_tibble() |&gt; select(-'factor(month_num)12') |&gt;   # drop Dec (base)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rename_with(~ paste0('M', 1:11))) |&gt;</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drop_na()</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Create lag variables (up to 3 lags for oil shocks)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df &lt;- df |&gt; mutate(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dlnCPI_l1 = lag(dlnCPI, 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dlnCPI_l2 = lag(dlnCPI, 2),</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dlnCPI_l3 = lag(dlnCPI, 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pos_0 = dOil_pos,           pos_1 = lag(dOil_pos, 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pos_2 = lag(dOil_pos, 2),   pos_3 = lag(dOil_pos, 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neg_0 = dOil_neg,           neg_1 = lag(dOil_neg, 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neg_2 = lag(dOil_neg, 2),   neg_3 = lag(dOil_neg, 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|&gt; drop_na()</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222222" w:sz="0"/>
              <w:left w:val="single" w:color="555555" w:sz="1"/>
              <w:bottom w:val="single" w:color="555555" w:sz="1"/>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cat('Final N:', nrow(df), '\n')   # should be ~237-245</w:t>
            </w:r>
          </w:p>
        </w:tc>
      </w:tr>
    </w:tbl>
    <w:p>
      <w:r>
        <w:br w:type="page"/>
      </w:r>
    </w:p>
    <w:p>
      <w:pPr>
        <w:pStyle w:val="Heading1"/>
        <w:spacing w:before="360" w:after="160"/>
      </w:pPr>
      <w:r>
        <w:rPr>
          <w:rFonts w:ascii="Arial" w:cs="Arial" w:eastAsia="Arial" w:hAnsi="Arial"/>
          <w:b/>
          <w:bCs/>
          <w:color w:val="1F3864"/>
          <w:sz w:val="30"/>
          <w:szCs w:val="30"/>
        </w:rPr>
        <w:t xml:space="preserve">3. Step 1 — Unit Root Testing</w:t>
      </w:r>
    </w:p>
    <w:p>
      <w:pPr>
        <w:pBdr>
          <w:bottom w:val="single" w:color="2E5F8A" w:sz="4" w:space="1"/>
        </w:pBdr>
        <w:spacing w:before="160" w:after="160"/>
      </w:pPr>
      <w:r>
        <w:t xml:space="preserve"/>
      </w:r>
    </w:p>
    <w:p>
      <w:pPr>
        <w:spacing w:before="80" w:after="80"/>
        <w:jc w:val="both"/>
      </w:pPr>
      <w:r>
        <w:rPr>
          <w:rFonts w:ascii="Arial" w:cs="Arial" w:eastAsia="Arial" w:hAnsi="Arial"/>
          <w:color w:val="1A1A1A"/>
          <w:sz w:val="22"/>
          <w:szCs w:val="22"/>
        </w:rPr>
        <w:t xml:space="preserve">OLS regression is only valid when all variables are stationary (mean-reverting, no systematic trend). Time series in price levels typically drift upward over time (non-stationary, I(1)), but their first differences (growth rates) are stationary (I(0)). The Augmented Dickey-Fuller (ADF) test formally confirms this.</w:t>
      </w:r>
    </w:p>
    <w:p>
      <w:pPr>
        <w:spacing w:before="40" w:after="40"/>
      </w:pPr>
      <w:r>
        <w:t xml:space="preserve"/>
      </w:r>
    </w:p>
    <w:p>
      <w:pPr>
        <w:pStyle w:val="Heading2"/>
        <w:spacing w:before="240" w:after="100"/>
      </w:pPr>
      <w:r>
        <w:rPr>
          <w:rFonts w:ascii="Arial" w:cs="Arial" w:eastAsia="Arial" w:hAnsi="Arial"/>
          <w:b/>
          <w:bCs/>
          <w:color w:val="2E5F8A"/>
          <w:sz w:val="24"/>
          <w:szCs w:val="24"/>
        </w:rPr>
        <w:t xml:space="preserve">3.1 ADF Test Logic</w:t>
      </w:r>
    </w:p>
    <w:p>
      <w:pPr>
        <w:pStyle w:val="ListParagraph"/>
        <w:numPr>
          <w:ilvl w:val="0"/>
          <w:numId w:val="2"/>
        </w:numPr>
        <w:spacing w:before="55" w:after="55"/>
      </w:pPr>
      <w:r>
        <w:rPr>
          <w:rFonts w:ascii="Arial" w:cs="Arial" w:eastAsia="Arial" w:hAnsi="Arial"/>
          <w:color w:val="1A1A1A"/>
          <w:sz w:val="21"/>
          <w:szCs w:val="21"/>
        </w:rPr>
        <w:t xml:space="preserve">H₀ of ADF: the series has a unit root (is non-stationary)</w:t>
      </w:r>
    </w:p>
    <w:p>
      <w:pPr>
        <w:pStyle w:val="ListParagraph"/>
        <w:numPr>
          <w:ilvl w:val="0"/>
          <w:numId w:val="2"/>
        </w:numPr>
        <w:spacing w:before="55" w:after="55"/>
      </w:pPr>
      <w:r>
        <w:rPr>
          <w:rFonts w:ascii="Arial" w:cs="Arial" w:eastAsia="Arial" w:hAnsi="Arial"/>
          <w:color w:val="1A1A1A"/>
          <w:sz w:val="21"/>
          <w:szCs w:val="21"/>
        </w:rPr>
        <w:t xml:space="preserve">A p-value below 0.05 rejects H₀ → series is stationary</w:t>
      </w:r>
    </w:p>
    <w:p>
      <w:pPr>
        <w:pStyle w:val="ListParagraph"/>
        <w:numPr>
          <w:ilvl w:val="0"/>
          <w:numId w:val="2"/>
        </w:numPr>
        <w:spacing w:before="55" w:after="55"/>
      </w:pPr>
      <w:r>
        <w:rPr>
          <w:rFonts w:ascii="Arial" w:cs="Arial" w:eastAsia="Arial" w:hAnsi="Arial"/>
          <w:color w:val="1A1A1A"/>
          <w:sz w:val="21"/>
          <w:szCs w:val="21"/>
        </w:rPr>
        <w:t xml:space="preserve">Expected: all levels (ln_cpi, ln_oil, ln_iip) fail to reject H₀ → I(1)</w:t>
      </w:r>
    </w:p>
    <w:p>
      <w:pPr>
        <w:pStyle w:val="ListParagraph"/>
        <w:numPr>
          <w:ilvl w:val="0"/>
          <w:numId w:val="2"/>
        </w:numPr>
        <w:spacing w:before="55" w:after="55"/>
      </w:pPr>
      <w:r>
        <w:rPr>
          <w:rFonts w:ascii="Arial" w:cs="Arial" w:eastAsia="Arial" w:hAnsi="Arial"/>
          <w:color w:val="1A1A1A"/>
          <w:sz w:val="21"/>
          <w:szCs w:val="21"/>
        </w:rPr>
        <w:t xml:space="preserve">Expected: all differences (dlnCPI, dlnOil, dlnIIP) reject H₀ → I(0)</w:t>
      </w:r>
    </w:p>
    <w:p>
      <w:pPr>
        <w:pStyle w:val="ListParagraph"/>
        <w:numPr>
          <w:ilvl w:val="0"/>
          <w:numId w:val="2"/>
        </w:numPr>
        <w:spacing w:before="55" w:after="55"/>
      </w:pPr>
      <w:r>
        <w:rPr>
          <w:rFonts w:ascii="Arial" w:cs="Arial" w:eastAsia="Arial" w:hAnsi="Arial"/>
          <w:color w:val="1A1A1A"/>
          <w:sz w:val="21"/>
          <w:szCs w:val="21"/>
        </w:rPr>
        <w:t xml:space="preserve">This confirms that working in first differences is correct, and OLS on the differenced series is free of spurious regression</w:t>
      </w:r>
    </w:p>
    <w:p>
      <w:pPr>
        <w:spacing w:before="40" w:after="40"/>
      </w:pPr>
      <w:r>
        <w:t xml:space="preserve"/>
      </w:r>
    </w:p>
    <w:p>
      <w:pPr>
        <w:pStyle w:val="Heading2"/>
        <w:spacing w:before="240" w:after="100"/>
      </w:pPr>
      <w:r>
        <w:rPr>
          <w:rFonts w:ascii="Arial" w:cs="Arial" w:eastAsia="Arial" w:hAnsi="Arial"/>
          <w:b/>
          <w:bCs/>
          <w:color w:val="2E5F8A"/>
          <w:sz w:val="24"/>
          <w:szCs w:val="24"/>
        </w:rPr>
        <w:t xml:space="preserve">3.2 R Code: Unit Root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1"/>
              <w:left w:val="single" w:color="555555" w:sz="1"/>
              <w:bottom w:val="none" w:color="222222" w:sz="0"/>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ADF tests: levels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Use 'trend' spec for variables with obvious upward trend (CPI, oil)</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adf_results_levels &lt;- list(</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ln_cpi  = adf.test(na.omit(df$ln_cpi),  k = 12),</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ln_oil  = adf.test(na.omit(df$ln_oil),  k = 12),</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ln_exr  = adf.test(na.omit(df$ln_exr),  k = 12),</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ln_iip  = adf.test(na.omit(df$ln_iip),  k = 12)</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ADF tests: first differences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adf_results_diff &lt;- list(</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dlnCPI  = adf.test(na.omit(df$dlnCPI),  k = 12),</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dlnOil  = adf.test(na.omit(df$dlnOil),  k = 12),</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dlnIIP  = adf.test(na.omit(df$dlnIIP),  k = 12)</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Print summary table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adf_table &lt;- tibble(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Variable = c('ln(CPI)','ln(Oil_INR)','ln(EXR)','ln(IIP)',</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'DlnCPI','DlnOil','DlnIIP'),</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Statistic = c(sapply(adf_results_levels, function(x) round(x$statistic,3)),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sapply(adf_results_diff,   function(x) round(x$statistic,3))),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p_value   = c(sapply(adf_results_levels, function(x) round(x$p.value,3)),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sapply(adf_results_diff,   function(x) round(x$p.value,3))),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Conclusion = c(rep('I(1): non-stationary',4), rep('I(0): stationary',3))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w:t>
            </w:r>
          </w:p>
        </w:tc>
      </w:tr>
      <w:tr>
        <w:tc>
          <w:tcPr>
            <w:tcW w:type="dxa" w:w="9026"/>
            <w:tcBorders>
              <w:top w:val="none" w:color="222222" w:sz="0"/>
              <w:left w:val="single" w:color="555555" w:sz="1"/>
              <w:bottom w:val="single" w:color="555555" w:sz="1"/>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print(adf_table)</w:t>
            </w:r>
          </w:p>
        </w:tc>
      </w:tr>
    </w:tbl>
    <w:p>
      <w:pPr>
        <w:spacing w:before="40" w:after="40"/>
      </w:pPr>
      <w:r>
        <w:t xml:space="preserve"/>
      </w:r>
    </w:p>
    <w:p>
      <w:pPr>
        <w:spacing w:before="80" w:after="80"/>
        <w:jc w:val="both"/>
      </w:pPr>
      <w:r>
        <w:rPr>
          <w:rFonts w:ascii="Arial" w:cs="Arial" w:eastAsia="Arial" w:hAnsi="Arial"/>
          <w:color w:val="1A1A1A"/>
          <w:sz w:val="22"/>
          <w:szCs w:val="22"/>
        </w:rPr>
        <w:t xml:space="preserve">Report these results in Table 4.1 of the dissertation. The expected output will show levels with p &gt; 0.10 (fail to reject unit root) and differences with p &lt; 0.01 (strongly reject unit root). This is the standard finding for monthly macroeconomic price data.</w:t>
      </w:r>
    </w:p>
    <w:p>
      <w:r>
        <w:br w:type="page"/>
      </w:r>
    </w:p>
    <w:p>
      <w:pPr>
        <w:pStyle w:val="Heading1"/>
        <w:spacing w:before="360" w:after="160"/>
      </w:pPr>
      <w:r>
        <w:rPr>
          <w:rFonts w:ascii="Arial" w:cs="Arial" w:eastAsia="Arial" w:hAnsi="Arial"/>
          <w:b/>
          <w:bCs/>
          <w:color w:val="1F3864"/>
          <w:sz w:val="30"/>
          <w:szCs w:val="30"/>
        </w:rPr>
        <w:t xml:space="preserve">4. Steps 2–3 — The Core Regression Models</w:t>
      </w:r>
    </w:p>
    <w:p>
      <w:pPr>
        <w:pBdr>
          <w:bottom w:val="single" w:color="2E5F8A" w:sz="4" w:space="1"/>
        </w:pBdr>
        <w:spacing w:before="160" w:after="160"/>
      </w:pPr>
      <w:r>
        <w:t xml:space="preserve"/>
      </w:r>
    </w:p>
    <w:p>
      <w:pPr>
        <w:pStyle w:val="Heading2"/>
        <w:spacing w:before="240" w:after="100"/>
      </w:pPr>
      <w:r>
        <w:rPr>
          <w:rFonts w:ascii="Arial" w:cs="Arial" w:eastAsia="Arial" w:hAnsi="Arial"/>
          <w:b/>
          <w:bCs/>
          <w:color w:val="2E5F8A"/>
          <w:sz w:val="24"/>
          <w:szCs w:val="24"/>
        </w:rPr>
        <w:t xml:space="preserve">4.1 Baseline Symmetric ADL(1,1) — Table 4.1 in Dissertation</w:t>
      </w:r>
    </w:p>
    <w:p>
      <w:pPr>
        <w:spacing w:before="80" w:after="80"/>
        <w:jc w:val="both"/>
      </w:pPr>
      <w:r>
        <w:rPr>
          <w:rFonts w:ascii="Arial" w:cs="Arial" w:eastAsia="Arial" w:hAnsi="Arial"/>
          <w:color w:val="1A1A1A"/>
          <w:sz w:val="22"/>
          <w:szCs w:val="22"/>
        </w:rPr>
        <w:t xml:space="preserve">Before testing asymmetry, estimate a symmetric baseline to confirm that oil prices have a statistically significant effect on CPI inflation. This is a simple OLS regression of monthly inflation on its own lag, the contemporaneous oil price change, and a one-month lagged oil price change:</w:t>
      </w:r>
    </w:p>
    <w:p>
      <w:pPr>
        <w:pBdr>
          <w:left w:val="thick" w:color="2E5F8A" w:sz="8" w:space="12"/>
        </w:pBdr>
        <w:shd w:fill="EEF2F8" w:val="clear"/>
        <w:spacing w:before="180" w:after="180"/>
        <w:jc w:val="center"/>
      </w:pPr>
      <w:r>
        <w:rPr>
          <w:rFonts w:ascii="Cambria Math" w:cs="Cambria Math" w:eastAsia="Cambria Math" w:hAnsi="Cambria Math"/>
          <w:b/>
          <w:bCs/>
          <w:color w:val="1F3864"/>
          <w:sz w:val="22"/>
          <w:szCs w:val="22"/>
        </w:rPr>
        <w:t xml:space="preserve">Δℓₙ(CPI)ₜ = α + γ₁Δℓₙ(CPI)ₜ₋₁ + β₀Δℓₙ(Oil_INR)ₜ + β₁Δℓₙ(Oil_INR)ₜ₋₁ + δΔℓₙ(IIP)ₜ + ηDₜ + εₜ</w:t>
      </w:r>
    </w:p>
    <w:p>
      <w:pPr>
        <w:spacing w:before="80" w:after="80"/>
        <w:jc w:val="both"/>
      </w:pPr>
      <w:r>
        <w:rPr>
          <w:rFonts w:ascii="Arial" w:cs="Arial" w:eastAsia="Arial" w:hAnsi="Arial"/>
          <w:color w:val="1A1A1A"/>
          <w:sz w:val="22"/>
          <w:szCs w:val="22"/>
        </w:rPr>
        <w:t xml:space="preserve">If the sum β₀ + β₁ is positive and statistically significant, the oil price is a relevant inflation driver. Only then does decomposing it into ΔOil⁺ and ΔOil⁻ in the next step make substantive sense.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1"/>
              <w:left w:val="single" w:color="555555" w:sz="1"/>
              <w:bottom w:val="none" w:color="222222" w:sz="0"/>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Baseline symmetric ADL(1,1)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baseline &lt;- lm(dlnCPI ~ dlnCPI_l1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lag(dlnOil,0) + lag(dlnOil,1)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dlnIIP + D_diesel + D_covid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M1+M2+M3+M4+M5+M6+M7+M8+M9+M10+M11,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data = df)</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Newey-West HAC standard errors (lag = floor(4*(n/100)^(2/9)))</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nw_lag &lt;- floor(4 * (nrow(df)/100)^(2/9))</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coeftest(baseline, vcov = NeweyWest(baseline, lag = nw_lag, prewhite = FALSE))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Cumulative symmetric pass-through (both lags combined):</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cpt_sym &lt;- sum(coef(baseline)[c('lag(dlnOil, 0)','lag(dlnOil, 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cat('Symmetric CPT (0-1 month), per 1% oil change:', round(cpt_sym,4), '\n')</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cat('Effect of 10% oil shock on monthly CPI:',</w:t>
            </w:r>
          </w:p>
        </w:tc>
      </w:tr>
      <w:tr>
        <w:tc>
          <w:tcPr>
            <w:tcW w:type="dxa" w:w="9026"/>
            <w:tcBorders>
              <w:top w:val="none" w:color="222222" w:sz="0"/>
              <w:left w:val="single" w:color="555555" w:sz="1"/>
              <w:bottom w:val="single" w:color="555555" w:sz="1"/>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round(cpt_sym * 10, 3), 'pp \n')</w:t>
            </w:r>
          </w:p>
        </w:tc>
      </w:tr>
    </w:tbl>
    <w:p>
      <w:pPr>
        <w:spacing w:before="40" w:after="40"/>
      </w:pPr>
      <w:r>
        <w:t xml:space="preserve"/>
      </w:r>
    </w:p>
    <w:p>
      <w:pPr>
        <w:pStyle w:val="Heading2"/>
        <w:spacing w:before="240" w:after="100"/>
      </w:pPr>
      <w:r>
        <w:rPr>
          <w:rFonts w:ascii="Arial" w:cs="Arial" w:eastAsia="Arial" w:hAnsi="Arial"/>
          <w:b/>
          <w:bCs/>
          <w:color w:val="2E5F8A"/>
          <w:sz w:val="24"/>
          <w:szCs w:val="24"/>
        </w:rPr>
        <w:t xml:space="preserve">4.2 Asymmetric ADL(p,q) — The Core Model (Table 4.2)</w:t>
      </w:r>
    </w:p>
    <w:p>
      <w:pPr>
        <w:spacing w:before="80" w:after="80"/>
        <w:jc w:val="both"/>
      </w:pPr>
      <w:r>
        <w:rPr>
          <w:rFonts w:ascii="Arial" w:cs="Arial" w:eastAsia="Arial" w:hAnsi="Arial"/>
          <w:color w:val="1A1A1A"/>
          <w:sz w:val="22"/>
          <w:szCs w:val="22"/>
        </w:rPr>
        <w:t xml:space="preserve">This is the primary model. It replaces the single oil price change with the two partial sum variables, allowing separate coefficients for increases and decreases. Lag length q is selected by AIC. Start with q = 3 (based on supply chain literature expecting 2–3 month transmission) and verify with AIC:</w:t>
      </w:r>
    </w:p>
    <w:p>
      <w:pPr>
        <w:pBdr>
          <w:left w:val="thick" w:color="2E5F8A" w:sz="8" w:space="12"/>
        </w:pBdr>
        <w:shd w:fill="EEF2F8" w:val="clear"/>
        <w:spacing w:before="180" w:after="180"/>
        <w:jc w:val="center"/>
      </w:pPr>
      <w:r>
        <w:rPr>
          <w:rFonts w:ascii="Cambria Math" w:cs="Cambria Math" w:eastAsia="Cambria Math" w:hAnsi="Cambria Math"/>
          <w:b/>
          <w:bCs/>
          <w:color w:val="1F3864"/>
          <w:sz w:val="22"/>
          <w:szCs w:val="22"/>
        </w:rPr>
        <w:t xml:space="preserve">Δℓₙ(CPI)ₜ = α + Σᵖᵢ₌₁ γᵢ Δℓₙ(CPI)ₜ₋ᵢ  +  Σᶠⱼ₌₀ π⁺ⱼ ΔOil⁺ₜ₋ⱼ  +  Σᶠⱼ₌₀ π⁻ⱼ ΔOil⁻ₜ₋ⱼ  +  δΔℓₙ(IIP)ₜ  +  ηDₜ  +  εₜ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Symbol</w:t>
            </w:r>
          </w:p>
        </w:tc>
        <w:tc>
          <w:tcPr>
            <w:tcW w:type="dxa" w:w="7626"/>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Plain-English Meaning</w:t>
            </w:r>
          </w:p>
        </w:tc>
      </w:tr>
      <w:tr>
        <w:tc>
          <w:tcPr>
            <w:tcW w:type="dxa" w:w="1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bCs/>
                <w:color w:val="1A1A1A"/>
                <w:sz w:val="19"/>
                <w:szCs w:val="19"/>
              </w:rPr>
              <w:t xml:space="preserve">π⁺ⱼ</w:t>
            </w:r>
          </w:p>
        </w:tc>
        <w:tc>
          <w:tcPr>
            <w:tcW w:type="dxa" w:w="76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Effect of a positive oil price shock j months ago on today’s inflation</w:t>
            </w:r>
          </w:p>
        </w:tc>
      </w:tr>
      <w:tr>
        <w:tc>
          <w:tcPr>
            <w:tcW w:type="dxa" w:w="1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bCs/>
                <w:color w:val="1A1A1A"/>
                <w:sz w:val="19"/>
                <w:szCs w:val="19"/>
              </w:rPr>
              <w:t xml:space="preserve">π⁻ⱼ</w:t>
            </w:r>
          </w:p>
        </w:tc>
        <w:tc>
          <w:tcPr>
            <w:tcW w:type="dxa" w:w="76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Effect of a negative oil price shock j months ago on today’s inflation (expected: small, near-zero, or insignificant)</w:t>
            </w:r>
          </w:p>
        </w:tc>
      </w:tr>
      <w:tr>
        <w:tc>
          <w:tcPr>
            <w:tcW w:type="dxa" w:w="1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bCs/>
                <w:color w:val="1A1A1A"/>
                <w:sz w:val="19"/>
                <w:szCs w:val="19"/>
              </w:rPr>
              <w:t xml:space="preserve">CPT⁺</w:t>
            </w:r>
          </w:p>
        </w:tc>
        <w:tc>
          <w:tcPr>
            <w:tcW w:type="dxa" w:w="76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Σπ⁺ⱼ = cumulative positive pass-through over q months. For a 10% oil rise: multiply by 10 to get pp effect on monthly CPI.</w:t>
            </w:r>
          </w:p>
        </w:tc>
      </w:tr>
      <w:tr>
        <w:tc>
          <w:tcPr>
            <w:tcW w:type="dxa" w:w="1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bCs/>
                <w:color w:val="1A1A1A"/>
                <w:sz w:val="19"/>
                <w:szCs w:val="19"/>
              </w:rPr>
              <w:t xml:space="preserve">CPT⁻</w:t>
            </w:r>
          </w:p>
        </w:tc>
        <w:tc>
          <w:tcPr>
            <w:tcW w:type="dxa" w:w="76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Σπ⁻ⱼ = cumulative negative pass-through. Expected: much smaller in absolute value than CPT⁺.</w:t>
            </w:r>
          </w:p>
        </w:tc>
      </w:tr>
      <w:tr>
        <w:tc>
          <w:tcPr>
            <w:tcW w:type="dxa" w:w="1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bCs/>
                <w:color w:val="1A1A1A"/>
                <w:sz w:val="19"/>
                <w:szCs w:val="19"/>
              </w:rPr>
              <w:t xml:space="preserve">p</w:t>
            </w:r>
          </w:p>
        </w:tc>
        <w:tc>
          <w:tcPr>
            <w:tcW w:type="dxa" w:w="76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AR lags (p = 1 or 2; choose by AIC). Controls for inflation persistence.</w:t>
            </w:r>
          </w:p>
        </w:tc>
      </w:tr>
      <w:tr>
        <w:tc>
          <w:tcPr>
            <w:tcW w:type="dxa" w:w="1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bCs/>
                <w:color w:val="1A1A1A"/>
                <w:sz w:val="19"/>
                <w:szCs w:val="19"/>
              </w:rPr>
              <w:t xml:space="preserve">q</w:t>
            </w:r>
          </w:p>
        </w:tc>
        <w:tc>
          <w:tcPr>
            <w:tcW w:type="dxa" w:w="76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Distributed lag order (q = 0 to 3). Choose q that minimises AIC. Primary spec: q = 3.</w:t>
            </w:r>
          </w:p>
        </w:tc>
      </w:tr>
      <w:tr>
        <w:tc>
          <w:tcPr>
            <w:tcW w:type="dxa" w:w="1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bCs/>
                <w:color w:val="1A1A1A"/>
                <w:sz w:val="19"/>
                <w:szCs w:val="19"/>
              </w:rPr>
              <w:t xml:space="preserve">Dₜ</w:t>
            </w:r>
          </w:p>
        </w:tc>
        <w:tc>
          <w:tcPr>
            <w:tcW w:type="dxa" w:w="76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D_diesel + D_covid + M1...M11 (seasonal and structural dummies)</w:t>
            </w:r>
          </w:p>
        </w:tc>
      </w:tr>
    </w:tbl>
    <w:p>
      <w:pPr>
        <w:spacing w:before="40" w:after="40"/>
      </w:pPr>
      <w:r>
        <w:t xml:space="preserve"/>
      </w:r>
    </w:p>
    <w:p>
      <w:pPr>
        <w:pStyle w:val="Heading2"/>
        <w:spacing w:before="240" w:after="100"/>
      </w:pPr>
      <w:r>
        <w:rPr>
          <w:rFonts w:ascii="Arial" w:cs="Arial" w:eastAsia="Arial" w:hAnsi="Arial"/>
          <w:b/>
          <w:bCs/>
          <w:color w:val="2E5F8A"/>
          <w:sz w:val="24"/>
          <w:szCs w:val="24"/>
        </w:rPr>
        <w:t xml:space="preserve">4.3 R Code: Full Asymmetric ADL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1"/>
              <w:left w:val="single" w:color="555555" w:sz="1"/>
              <w:bottom w:val="none" w:color="222222" w:sz="0"/>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Primary asymmetric ADL (p=1, q=3)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adl_primary &lt;- lm(</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dlnCPI ~ dlnCPI_l1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pos_0 + pos_1 + pos_2 + pos_3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neg_0 + neg_1 + neg_2 + neg_3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dlnIIP + D_petrol + D_diesel + D_covid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M1+M2+M3+M4+M5+M6+M7+M8+M9+M10+M11,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data = df</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Newey-West robust SEs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nw_lag  &lt;- floor(4 * (nrow(df)/100)^(2/9))</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nw_vcov &lt;- NeweyWest(adl_primary, lag = nw_lag, prewhite = FALSE)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adl_nw  &lt;- coeftest(adl_primary, vcov = nw_vcov)</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print(adl_nw)</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Cumulative pass-through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CPT_pos &lt;- sum(coef(adl_primary)[c('pos_0','pos_1','pos_2','pos_3')])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CPT_neg &lt;- sum(coef(adl_primary)[c('neg_0','neg_1','neg_2','neg_3')])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 ASYMMETRY RESULTS ===\n')</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cat('CPT+ (cumulative positive pass-through):', round(CPT_pos, 5), '\n')</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cat('CPT- (cumulative negative pass-through):', round(CPT_neg, 5), '\n')</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cat('Asymmetry gap (CPT+ - |CPT-|):', round(CPT_pos - abs(CPT_neg), 5), '\n')</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cat('Effect of +10% oil shock on monthly CPI:', round(CPT_pos*10, 3), 'pp\n')</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cat('Effect of -10% oil shock on monthly CPI:', round(CPT_neg*10, 3), 'pp\n')</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Lag selection by AIC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Compare AIC for q = 0,1,2,3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aic_vals &lt;- sapply(0:3, function(q)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pos_vars &lt;- paste0('pos_', 0:q, collapse=' +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neg_vars &lt;- paste0('neg_', 0:q, collapse=' +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frm &lt;- as.formula(paste('dlnCPI ~ dlnCPI_l1 +', pos_vars, '+', neg_vars,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dlnIIP + D_petrol + D_diesel + D_covid + M1+M2+M3+M4+M5+M6+M7+M8+M9+M10+M11'))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AIC(lm(frm, data=df))</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cat('AIC for q=0,1,2,3:', round(aic_vals, 1), '\n')</w:t>
            </w:r>
          </w:p>
        </w:tc>
      </w:tr>
      <w:tr>
        <w:tc>
          <w:tcPr>
            <w:tcW w:type="dxa" w:w="9026"/>
            <w:tcBorders>
              <w:top w:val="none" w:color="222222" w:sz="0"/>
              <w:left w:val="single" w:color="555555" w:sz="1"/>
              <w:bottom w:val="single" w:color="555555" w:sz="1"/>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cat('Preferred q:', which.min(aic_vals)-1, '\n')</w:t>
            </w:r>
          </w:p>
        </w:tc>
      </w:tr>
    </w:tbl>
    <w:p>
      <w:r>
        <w:br w:type="page"/>
      </w:r>
    </w:p>
    <w:p>
      <w:pPr>
        <w:pStyle w:val="Heading1"/>
        <w:spacing w:before="360" w:after="160"/>
      </w:pPr>
      <w:r>
        <w:rPr>
          <w:rFonts w:ascii="Arial" w:cs="Arial" w:eastAsia="Arial" w:hAnsi="Arial"/>
          <w:b/>
          <w:bCs/>
          <w:color w:val="1F3864"/>
          <w:sz w:val="30"/>
          <w:szCs w:val="30"/>
        </w:rPr>
        <w:t xml:space="preserve">5. Step 4 — Wald Asymmetry Test and Cumulative Plots</w:t>
      </w:r>
    </w:p>
    <w:p>
      <w:pPr>
        <w:pBdr>
          <w:bottom w:val="single" w:color="2E5F8A" w:sz="4" w:space="1"/>
        </w:pBdr>
        <w:spacing w:before="160" w:after="160"/>
      </w:pPr>
      <w:r>
        <w:t xml:space="preserve"/>
      </w:r>
    </w:p>
    <w:p>
      <w:pPr>
        <w:pStyle w:val="Heading2"/>
        <w:spacing w:before="240" w:after="100"/>
      </w:pPr>
      <w:r>
        <w:rPr>
          <w:rFonts w:ascii="Arial" w:cs="Arial" w:eastAsia="Arial" w:hAnsi="Arial"/>
          <w:b/>
          <w:bCs/>
          <w:color w:val="2E5F8A"/>
          <w:sz w:val="24"/>
          <w:szCs w:val="24"/>
        </w:rPr>
        <w:t xml:space="preserve">5.1 The Wald Test for Asymmetry</w:t>
      </w:r>
    </w:p>
    <w:p>
      <w:pPr>
        <w:spacing w:before="80" w:after="80"/>
        <w:jc w:val="both"/>
      </w:pPr>
      <w:r>
        <w:rPr>
          <w:rFonts w:ascii="Arial" w:cs="Arial" w:eastAsia="Arial" w:hAnsi="Arial"/>
          <w:color w:val="1A1A1A"/>
          <w:sz w:val="22"/>
          <w:szCs w:val="22"/>
        </w:rPr>
        <w:t xml:space="preserve">The Wald test is a formal statistical test of whether the cumulative positive and negative pass-through coefficients are equal. The null hypothesis is symmetric pass-through; rejecting it confirms asymmetry:</w:t>
      </w:r>
    </w:p>
    <w:p>
      <w:pPr>
        <w:pBdr>
          <w:left w:val="thick" w:color="2E5F8A" w:sz="8" w:space="12"/>
        </w:pBdr>
        <w:shd w:fill="EEF2F8" w:val="clear"/>
        <w:spacing w:before="180" w:after="180"/>
        <w:jc w:val="center"/>
      </w:pPr>
      <w:r>
        <w:rPr>
          <w:rFonts w:ascii="Cambria Math" w:cs="Cambria Math" w:eastAsia="Cambria Math" w:hAnsi="Cambria Math"/>
          <w:b/>
          <w:bCs/>
          <w:color w:val="1F3864"/>
          <w:sz w:val="22"/>
          <w:szCs w:val="22"/>
        </w:rPr>
        <w:t xml:space="preserve">H₀ :  Σπ⁺ⱼ  =  Σπ⁻ⱼ     (symmetric pass-through)</w:t>
      </w:r>
    </w:p>
    <w:p>
      <w:pPr>
        <w:pBdr>
          <w:left w:val="thick" w:color="2E5F8A" w:sz="8" w:space="12"/>
        </w:pBdr>
        <w:shd w:fill="EEF2F8" w:val="clear"/>
        <w:spacing w:before="180" w:after="180"/>
        <w:jc w:val="center"/>
      </w:pPr>
      <w:r>
        <w:rPr>
          <w:rFonts w:ascii="Cambria Math" w:cs="Cambria Math" w:eastAsia="Cambria Math" w:hAnsi="Cambria Math"/>
          <w:b/>
          <w:bCs/>
          <w:color w:val="1F3864"/>
          <w:sz w:val="22"/>
          <w:szCs w:val="22"/>
        </w:rPr>
        <w:t xml:space="preserve">H₁ :  Σπ⁺ⱼ  ≠  Σπ⁻ⱼ     (asymmetric pass-through — Rockets and Feathers)</w:t>
      </w:r>
    </w:p>
    <w:p>
      <w:pPr>
        <w:spacing w:before="80" w:after="80"/>
        <w:jc w:val="both"/>
      </w:pPr>
      <w:r>
        <w:rPr>
          <w:rFonts w:ascii="Arial" w:cs="Arial" w:eastAsia="Arial" w:hAnsi="Arial"/>
          <w:color w:val="1A1A1A"/>
          <w:sz w:val="22"/>
          <w:szCs w:val="22"/>
        </w:rPr>
        <w:t xml:space="preserve">The Wald test may not reject H₀ even when genuine asymmetry exists — this is a known power limitation when individual lag coefficients are imprecisely estimated. If the Wald p-value is above 0.05 but CPT⁺ &gt;&gt; |CPT⁻| in magnitude with CPT⁺ individually significant, report this explicitly: the magnitude evidence strongly supports asymmetry even if the formal test lacks power. This is a standard and accepted position in the literature.</w:t>
      </w:r>
    </w:p>
    <w:p>
      <w:pPr>
        <w:spacing w:before="40" w:after="40"/>
      </w:pPr>
      <w:r>
        <w:t xml:space="preserve"/>
      </w:r>
    </w:p>
    <w:p>
      <w:pPr>
        <w:pStyle w:val="Heading2"/>
        <w:spacing w:before="240" w:after="100"/>
      </w:pPr>
      <w:r>
        <w:rPr>
          <w:rFonts w:ascii="Arial" w:cs="Arial" w:eastAsia="Arial" w:hAnsi="Arial"/>
          <w:b/>
          <w:bCs/>
          <w:color w:val="2E5F8A"/>
          <w:sz w:val="24"/>
          <w:szCs w:val="24"/>
        </w:rPr>
        <w:t xml:space="preserve">5.2 R Code: Wald Test and Cumulative Path Plot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1"/>
              <w:left w:val="single" w:color="555555" w:sz="1"/>
              <w:bottom w:val="none" w:color="222222" w:sz="0"/>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Wald test for CPT+ = CPT-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L &lt;- matrix(0, nrow=1, ncol=length(coef(adl_primary)))</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colnames(L) &lt;- names(coef(adl_primary))</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L[1, c('pos_0','pos_1','pos_2','pos_3')] &lt;-  1   # sum of positive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L[1, c('neg_0','neg_1','neg_2','neg_3')] &lt;- -1   # minus sum of negative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wald_result &lt;- linearHypothesis(adl_primary,</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hypothesis.matrix = L,</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vcov = nw_vcov)</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print(wald_result)   # report F-stat and p-value in Table 4.3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Cumulative pass-through path (for Figure in dissertation)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pos_coefs &lt;- coef(adl_primary)[c('pos_0','pos_1','pos_2','pos_3')]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neg_coefs &lt;- coef(adl_primary)[c('neg_0','neg_1','neg_2','neg_3')]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cpt_path &lt;- tibble(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horizon = 0:3,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CPT_pos = cumsum(pos_coefs),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CPT_neg = cumsum(neg_coefs)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ggplot(cpt_path |&gt; pivot_longer(-horizon), aes(horizon, value, color=name))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geom_line(linewidth=1.2) + geom_point(size=3)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geom_hline(yintercept=0, linetype='dashed')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scale_color_manual(values=c('CPT_pos'='#CC3333','CPT_neg'='#3366CC'),</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labels=c('Cumulative positive (CPT+)','Cumulative negative (CPT-)'))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labs(title='Cumulative ADL Pass-Through: Positive vs Negative Oil Shocks',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x='Horizon (months)', y='Cumulative coefficient', color='Shock')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theme_minimal(base_size=13)</w:t>
            </w:r>
          </w:p>
        </w:tc>
      </w:tr>
      <w:tr>
        <w:tc>
          <w:tcPr>
            <w:tcW w:type="dxa" w:w="9026"/>
            <w:tcBorders>
              <w:top w:val="none" w:color="222222" w:sz="0"/>
              <w:left w:val="single" w:color="555555" w:sz="1"/>
              <w:bottom w:val="single" w:color="555555" w:sz="1"/>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ggsave('fig_cumulative_passthrough.png', dpi=300, width=7, height=4.5)</w:t>
            </w:r>
          </w:p>
        </w:tc>
      </w:tr>
    </w:tbl>
    <w:p>
      <w:r>
        <w:br w:type="page"/>
      </w:r>
    </w:p>
    <w:p>
      <w:pPr>
        <w:pStyle w:val="Heading1"/>
        <w:spacing w:before="360" w:after="160"/>
      </w:pPr>
      <w:r>
        <w:rPr>
          <w:rFonts w:ascii="Arial" w:cs="Arial" w:eastAsia="Arial" w:hAnsi="Arial"/>
          <w:b/>
          <w:bCs/>
          <w:color w:val="1F3864"/>
          <w:sz w:val="30"/>
          <w:szCs w:val="30"/>
        </w:rPr>
        <w:t xml:space="preserve">6. Step 5 — Sub-Sample Analysis: Pre/Post 2014</w:t>
      </w:r>
    </w:p>
    <w:p>
      <w:pPr>
        <w:pBdr>
          <w:bottom w:val="single" w:color="2E5F8A" w:sz="4" w:space="1"/>
        </w:pBdr>
        <w:spacing w:before="160" w:after="160"/>
      </w:pPr>
      <w:r>
        <w:t xml:space="preserve"/>
      </w:r>
    </w:p>
    <w:p>
      <w:pPr>
        <w:spacing w:before="80" w:after="80"/>
        <w:jc w:val="both"/>
      </w:pPr>
      <w:r>
        <w:rPr>
          <w:rFonts w:ascii="Arial" w:cs="Arial" w:eastAsia="Arial" w:hAnsi="Arial"/>
          <w:color w:val="1A1A1A"/>
          <w:sz w:val="22"/>
          <w:szCs w:val="22"/>
        </w:rPr>
        <w:t xml:space="preserve">The October 2014 diesel deregulation is the most important structural policy change in the sample. Re-estimate the primary ADL separately for the two sub-periods. If deregulation reduced asymmetry, CPT⁺ should be smaller post-2014 and |CPT⁻| should be larger (negative shocks start reaching consumers).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426"/>
      </w:tblGrid>
      <w:tr>
        <w:tc>
          <w:tcPr>
            <w:tcW w:type="dxa" w:w="22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Period</w:t>
            </w:r>
          </w:p>
        </w:tc>
        <w:tc>
          <w:tcPr>
            <w:tcW w:type="dxa" w:w="20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Window</w:t>
            </w:r>
          </w:p>
        </w:tc>
        <w:tc>
          <w:tcPr>
            <w:tcW w:type="dxa" w:w="14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N</w:t>
            </w:r>
          </w:p>
        </w:tc>
        <w:tc>
          <w:tcPr>
            <w:tcW w:type="dxa" w:w="3426"/>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Regime</w:t>
            </w:r>
          </w:p>
        </w:tc>
      </w:tr>
      <w:tr>
        <w:tc>
          <w:tcPr>
            <w:tcW w:type="dxa" w:w="22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Pre-deregulation</w:t>
            </w:r>
          </w:p>
        </w:tc>
        <w:tc>
          <w:tcPr>
            <w:tcW w:type="dxa" w:w="20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Apr 2004 – Sep 2014</w:t>
            </w:r>
          </w:p>
        </w:tc>
        <w:tc>
          <w:tcPr>
            <w:tcW w:type="dxa" w:w="1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~126</w:t>
            </w:r>
          </w:p>
        </w:tc>
        <w:tc>
          <w:tcPr>
            <w:tcW w:type="dxa" w:w="34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Administered pricing; Oil Bonds; government absorbed decreases as fiscal revenue</w:t>
            </w:r>
          </w:p>
        </w:tc>
      </w:tr>
      <w:tr>
        <w:tc>
          <w:tcPr>
            <w:tcW w:type="dxa" w:w="22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Post-deregulation</w:t>
            </w:r>
          </w:p>
        </w:tc>
        <w:tc>
          <w:tcPr>
            <w:tcW w:type="dxa" w:w="20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Oct 2014 – Dec 2024</w:t>
            </w:r>
          </w:p>
        </w:tc>
        <w:tc>
          <w:tcPr>
            <w:tcW w:type="dxa" w:w="1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~123</w:t>
            </w:r>
          </w:p>
        </w:tc>
        <w:tc>
          <w:tcPr>
            <w:tcW w:type="dxa" w:w="34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Market-linked; government raised excise duties during 2014–16 and 2020 dips</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1"/>
              <w:left w:val="single" w:color="555555" w:sz="1"/>
              <w:bottom w:val="none" w:color="222222" w:sz="0"/>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Sub-sample split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df_pre  &lt;- df |&gt; filter(date &lt;  as.Date('2014-10-01'))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df_post &lt;- df |&gt; filter(date &gt;= as.Date('2014-10-01'))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run_adl &lt;- function(data)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m &lt;- lm(dlnCPI ~ dlnCPI_l1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pos_0 + pos_1 + pos_2 + pos_3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neg_0 + neg_1 + neg_2 + neg_3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dlnIIP + D_covid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M1+M2+M3+M4+M5+M6+M7+M8+M9+M10+M11,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data = data)</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nw  &lt;- NeweyWest(m, lag = floor(4*(nrow(data)/100)^(2/9)), prewhite=FALSE)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cpt_p &lt;- sum(coef(m)[c('pos_0','pos_1','pos_2','pos_3')])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cpt_n &lt;- sum(coef(m)[c('neg_0','neg_1','neg_2','neg_3')])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list(model=m, nw=nw, CPT_pos=cpt_p, CPT_neg=cpt_n,</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gap = cpt_p - abs(cpt_n))</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pre_res  &lt;- run_adl(df_pre)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post_res &lt;- run_adl(df_post)</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Summary comparison:</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tibble(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Period  = c('Pre-2014','Post-2014'),</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CPT_pos = c(pre_res$CPT_pos, post_res$CPT_pos),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CPT_neg = c(pre_res$CPT_neg, post_res$CPT_neg),</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Gap     = c(pre_res$gap, post_res$gap)</w:t>
            </w:r>
          </w:p>
        </w:tc>
      </w:tr>
      <w:tr>
        <w:tc>
          <w:tcPr>
            <w:tcW w:type="dxa" w:w="9026"/>
            <w:tcBorders>
              <w:top w:val="none" w:color="222222" w:sz="0"/>
              <w:left w:val="single" w:color="555555" w:sz="1"/>
              <w:bottom w:val="single" w:color="555555" w:sz="1"/>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|&gt; mutate(across(-Period, ~round(.,5))) |&gt; print()</w:t>
            </w:r>
          </w:p>
        </w:tc>
      </w:tr>
    </w:tbl>
    <w:p>
      <w:r>
        <w:br w:type="page"/>
      </w:r>
    </w:p>
    <w:p>
      <w:pPr>
        <w:pStyle w:val="Heading1"/>
        <w:spacing w:before="360" w:after="160"/>
      </w:pPr>
      <w:r>
        <w:rPr>
          <w:rFonts w:ascii="Arial" w:cs="Arial" w:eastAsia="Arial" w:hAnsi="Arial"/>
          <w:b/>
          <w:bCs/>
          <w:color w:val="1F3864"/>
          <w:sz w:val="30"/>
          <w:szCs w:val="30"/>
        </w:rPr>
        <w:t xml:space="preserve">7. Step 6 — Diagnostic Tests</w:t>
      </w:r>
    </w:p>
    <w:p>
      <w:pPr>
        <w:pBdr>
          <w:bottom w:val="single" w:color="2E5F8A" w:sz="4" w:space="1"/>
        </w:pBdr>
        <w:spacing w:before="160" w:after="160"/>
      </w:pPr>
      <w:r>
        <w:t xml:space="preserve"/>
      </w:r>
    </w:p>
    <w:p>
      <w:pPr>
        <w:spacing w:before="80" w:after="80"/>
        <w:jc w:val="both"/>
      </w:pPr>
      <w:r>
        <w:rPr>
          <w:rFonts w:ascii="Arial" w:cs="Arial" w:eastAsia="Arial" w:hAnsi="Arial"/>
          <w:color w:val="1A1A1A"/>
          <w:sz w:val="22"/>
          <w:szCs w:val="22"/>
        </w:rPr>
        <w:t xml:space="preserve">Run all four tests on the primary ADL model. These confirm whether OLS assumptions are satisfied and whether inference is valid. Newey-West SEs already address heteroskedasticity and autocorrelation, so failing some tests is not fatal — but they must be reported and addressed.</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Test</w:t>
            </w:r>
          </w:p>
        </w:tc>
        <w:tc>
          <w:tcPr>
            <w:tcW w:type="dxa" w:w="24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H₀</w:t>
            </w:r>
          </w:p>
        </w:tc>
        <w:tc>
          <w:tcPr>
            <w:tcW w:type="dxa" w:w="4226"/>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Expected Outcome and Action if Failed</w:t>
            </w:r>
          </w:p>
        </w:tc>
      </w:tr>
      <w:tr>
        <w:tc>
          <w:tcPr>
            <w:tcW w:type="dxa" w:w="2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Breusch-Godfrey LM (12 lags)</w:t>
            </w:r>
          </w:p>
        </w:tc>
        <w:tc>
          <w:tcPr>
            <w:tcW w:type="dxa" w:w="2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No serial correlation in residuals</w:t>
            </w:r>
          </w:p>
        </w:tc>
        <w:tc>
          <w:tcPr>
            <w:tcW w:type="dxa" w:w="42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Expected: pass (p &gt; 0.05). If fails: increase AR lags. Already addressed by Newey-West SEs.</w:t>
            </w:r>
          </w:p>
        </w:tc>
      </w:tr>
      <w:tr>
        <w:tc>
          <w:tcPr>
            <w:tcW w:type="dxa" w:w="2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Breusch-Pagan</w:t>
            </w:r>
          </w:p>
        </w:tc>
        <w:tc>
          <w:tcPr>
            <w:tcW w:type="dxa" w:w="2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Homoskedastic residuals</w:t>
            </w:r>
          </w:p>
        </w:tc>
        <w:tc>
          <w:tcPr>
            <w:tcW w:type="dxa" w:w="42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May fail with macro data. Not fatal — Newey-West SEs correct for this. Report honestly.</w:t>
            </w:r>
          </w:p>
        </w:tc>
      </w:tr>
      <w:tr>
        <w:tc>
          <w:tcPr>
            <w:tcW w:type="dxa" w:w="2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Ramsey RESET</w:t>
            </w:r>
          </w:p>
        </w:tc>
        <w:tc>
          <w:tcPr>
            <w:tcW w:type="dxa" w:w="2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No functional form misspecification</w:t>
            </w:r>
          </w:p>
        </w:tc>
        <w:tc>
          <w:tcPr>
            <w:tcW w:type="dxa" w:w="42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Expected: pass (p &gt; 0.05). If fails: consider adding quadratic term or interaction.</w:t>
            </w:r>
          </w:p>
        </w:tc>
      </w:tr>
      <w:tr>
        <w:tc>
          <w:tcPr>
            <w:tcW w:type="dxa" w:w="2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CUSUM Stability</w:t>
            </w:r>
          </w:p>
        </w:tc>
        <w:tc>
          <w:tcPr>
            <w:tcW w:type="dxa" w:w="2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Parameter stability over sample</w:t>
            </w:r>
          </w:p>
        </w:tc>
        <w:tc>
          <w:tcPr>
            <w:tcW w:type="dxa" w:w="42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Plot should stay within 5% significance bands. Crossing bands suggests unmodelled break.</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1"/>
              <w:left w:val="single" w:color="555555" w:sz="1"/>
              <w:bottom w:val="none" w:color="222222" w:sz="0"/>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Breusch-Godfrey: serial correlation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bgtest(adl_primary, order = 12)   # p &gt; 0.05 = pass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Breusch-Pagan: heteroskedasticity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bptest(adl_primary)               # p &gt; 0.05 = homoskedastic (may fail)</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Ramsey RESET: functional form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resettest(adl_primary, power = 2:3, type = 'fitted')  # p &gt; 0.05 = pass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CUSUM stability test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cusum_test &lt;- efp(adl_primary$terms, data = model.frame(adl_primary),</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type = 'OLS-CUSUM')</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plot(cusum_test, main='CUSUM Stability Test',</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ylab='Empirical fluctuation process')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Line should stay within pink bands throughout the sample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Model summary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cat('Adj R-squared:', round(summary(adl_primary)$adj.r.squared, 3), '\n')</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cat('Residual SE:',   round(summary(adl_primary)$sigma, 5), '\n')</w:t>
            </w:r>
          </w:p>
        </w:tc>
      </w:tr>
      <w:tr>
        <w:tc>
          <w:tcPr>
            <w:tcW w:type="dxa" w:w="9026"/>
            <w:tcBorders>
              <w:top w:val="none" w:color="222222" w:sz="0"/>
              <w:left w:val="single" w:color="555555" w:sz="1"/>
              <w:bottom w:val="single" w:color="555555" w:sz="1"/>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cat('N (obs used):',  nrow(model.frame(adl_primary)), '\n')</w:t>
            </w:r>
          </w:p>
        </w:tc>
      </w:tr>
    </w:tbl>
    <w:p>
      <w:r>
        <w:br w:type="page"/>
      </w:r>
    </w:p>
    <w:p>
      <w:pPr>
        <w:pStyle w:val="Heading1"/>
        <w:spacing w:before="360" w:after="160"/>
      </w:pPr>
      <w:r>
        <w:rPr>
          <w:rFonts w:ascii="Arial" w:cs="Arial" w:eastAsia="Arial" w:hAnsi="Arial"/>
          <w:b/>
          <w:bCs/>
          <w:color w:val="1F3864"/>
          <w:sz w:val="30"/>
          <w:szCs w:val="30"/>
        </w:rPr>
        <w:t xml:space="preserve">8. Step 7 — Robustness Checks</w:t>
      </w:r>
    </w:p>
    <w:p>
      <w:pPr>
        <w:pBdr>
          <w:bottom w:val="single" w:color="2E5F8A" w:sz="4" w:space="1"/>
        </w:pBdr>
        <w:spacing w:before="160" w:after="160"/>
      </w:pPr>
      <w:r>
        <w:t xml:space="preserve"/>
      </w:r>
    </w:p>
    <w:p>
      <w:pPr>
        <w:spacing w:before="80" w:after="80"/>
        <w:jc w:val="both"/>
      </w:pPr>
      <w:r>
        <w:rPr>
          <w:rFonts w:ascii="Arial" w:cs="Arial" w:eastAsia="Arial" w:hAnsi="Arial"/>
          <w:color w:val="1A1A1A"/>
          <w:sz w:val="22"/>
          <w:szCs w:val="22"/>
        </w:rPr>
        <w:t xml:space="preserve">Run five robustness checks. The main finding must survive at least three of these. If an alternative specification reverses the asymmetry result, that must be reported and explained.</w:t>
      </w:r>
    </w:p>
    <w:p>
      <w:pPr>
        <w:spacing w:before="40" w:after="40"/>
      </w:pPr>
      <w:r>
        <w:t xml:space="preserve"/>
      </w:r>
    </w:p>
    <w:p>
      <w:pPr>
        <w:pStyle w:val="Heading2"/>
        <w:spacing w:before="240" w:after="100"/>
      </w:pPr>
      <w:r>
        <w:rPr>
          <w:rFonts w:ascii="Arial" w:cs="Arial" w:eastAsia="Arial" w:hAnsi="Arial"/>
          <w:b/>
          <w:bCs/>
          <w:color w:val="2E5F8A"/>
          <w:sz w:val="24"/>
          <w:szCs w:val="24"/>
        </w:rPr>
        <w:t xml:space="preserve">Check 1: Alternative Lag Lengths (q = 0, 1, 2, 3)</w:t>
      </w:r>
    </w:p>
    <w:p>
      <w:pPr>
        <w:spacing w:before="80" w:after="80"/>
        <w:jc w:val="both"/>
      </w:pPr>
      <w:r>
        <w:rPr>
          <w:rFonts w:ascii="Arial" w:cs="Arial" w:eastAsia="Arial" w:hAnsi="Arial"/>
          <w:color w:val="1A1A1A"/>
          <w:sz w:val="22"/>
          <w:szCs w:val="22"/>
        </w:rPr>
        <w:t xml:space="preserve">Re-estimate the asymmetric ADL with each lag specification. Report CPT⁺ and |CPT⁻| for each. If the asymmetry direction (CPT⁺ &gt; |CPT⁻|) holds across all specifications, the result is robust to lag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1"/>
              <w:left w:val="single" w:color="555555" w:sz="1"/>
              <w:bottom w:val="none" w:color="222222" w:sz="0"/>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lag_robustness &lt;- map_dfr(0:3, function(q)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pv &lt;- paste0('pos_',0:q); nv &lt;- paste0('neg_',0:q)</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f  &lt;- as.formula(paste('dlnCPI ~ dlnCPI_l1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paste(pv,collapse='+'),'+',paste(nv,collapse='+'),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 dlnIIP+D_petrol+D_diesel+D_covid+M1+M2+M3+M4+M5+M6+M7+M8+M9+M10+M11'))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m  &lt;- lm(f, data=df)</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tibble(q=q, AIC=round(AIC(m),1),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CPT_pos=round(sum(coef(m)[pv]),5),</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CPT_neg=round(sum(coef(m)[nv]),5),</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Gap=round(sum(coef(m)[pv])-abs(sum(coef(m)[nv])),5))</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w:t>
            </w:r>
          </w:p>
        </w:tc>
      </w:tr>
      <w:tr>
        <w:tc>
          <w:tcPr>
            <w:tcW w:type="dxa" w:w="9026"/>
            <w:tcBorders>
              <w:top w:val="none" w:color="222222" w:sz="0"/>
              <w:left w:val="single" w:color="555555" w:sz="1"/>
              <w:bottom w:val="single" w:color="555555" w:sz="1"/>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print(lag_robustness)</w:t>
            </w:r>
          </w:p>
        </w:tc>
      </w:tr>
    </w:tbl>
    <w:p>
      <w:pPr>
        <w:spacing w:before="40" w:after="40"/>
      </w:pPr>
      <w:r>
        <w:t xml:space="preserve"/>
      </w:r>
    </w:p>
    <w:p>
      <w:pPr>
        <w:pStyle w:val="Heading2"/>
        <w:spacing w:before="240" w:after="100"/>
      </w:pPr>
      <w:r>
        <w:rPr>
          <w:rFonts w:ascii="Arial" w:cs="Arial" w:eastAsia="Arial" w:hAnsi="Arial"/>
          <w:b/>
          <w:bCs/>
          <w:color w:val="2E5F8A"/>
          <w:sz w:val="24"/>
          <w:szCs w:val="24"/>
        </w:rPr>
        <w:t xml:space="preserve">Check 2: USD-Only Brent (Without Exchange Rate Channel)</w:t>
      </w:r>
    </w:p>
    <w:p>
      <w:pPr>
        <w:spacing w:before="80" w:after="80"/>
        <w:jc w:val="both"/>
      </w:pPr>
      <w:r>
        <w:rPr>
          <w:rFonts w:ascii="Arial" w:cs="Arial" w:eastAsia="Arial" w:hAnsi="Arial"/>
          <w:color w:val="1A1A1A"/>
          <w:sz w:val="22"/>
          <w:szCs w:val="22"/>
        </w:rPr>
        <w:t xml:space="preserve">Replace Oil_INR with Brent crude in USD dollars. This tests whether the exchange rate amplification channel contributes meaningfully. If the asymmetry pattern persists but magnitudes are attenuated, it confirms that the INR construction adds informational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1"/>
              <w:left w:val="single" w:color="555555" w:sz="1"/>
              <w:bottom w:val="none" w:color="222222" w:sz="0"/>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df_usd &lt;- df |&gt; mutate(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dOil_usd_pos = pmax(dlnBrent, 0),</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dOil_usd_neg = pmin(dlnBrent, 0),</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bpos_0=dOil_usd_pos, bpos_1=lag(dOil_usd_pos,1),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bpos_2=lag(dOil_usd_pos,2), bpos_3=lag(dOil_usd_pos,3),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bneg_0=dOil_usd_neg, bneg_1=lag(dOil_usd_neg,1),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bneg_2=lag(dOil_usd_neg,2), bneg_3=lag(dOil_usd_neg,3)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|&gt; drop_na()</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adl_usd &lt;- lm(dlnCPI ~ dlnCPI_l1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bpos_0+bpos_1+bpos_2+bpos_3 + bneg_0+bneg_1+bneg_2+bneg_3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dlnIIP+D_petrol+D_diesel+D_covid+M1+M2+M3+M4+M5+M6+M7+M8+M9+M10+M11,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data=df_usd)</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CPT_pos_usd &lt;- sum(coef(adl_usd)[c('bpos_0','bpos_1','bpos_2','bpos_3')])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CPT_neg_usd &lt;- sum(coef(adl_usd)[c('bneg_0','bneg_1','bneg_2','bneg_3')])</w:t>
            </w:r>
          </w:p>
        </w:tc>
      </w:tr>
      <w:tr>
        <w:tc>
          <w:tcPr>
            <w:tcW w:type="dxa" w:w="9026"/>
            <w:tcBorders>
              <w:top w:val="none" w:color="222222" w:sz="0"/>
              <w:left w:val="single" w:color="555555" w:sz="1"/>
              <w:bottom w:val="single" w:color="555555" w:sz="1"/>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cat('USD-only: CPT+=',round(CPT_pos_usd,5),' CPT-=',round(CPT_neg_usd,5),'\n')</w:t>
            </w:r>
          </w:p>
        </w:tc>
      </w:tr>
    </w:tbl>
    <w:p>
      <w:pPr>
        <w:spacing w:before="40" w:after="40"/>
      </w:pPr>
      <w:r>
        <w:t xml:space="preserve"/>
      </w:r>
    </w:p>
    <w:p>
      <w:pPr>
        <w:pStyle w:val="Heading2"/>
        <w:spacing w:before="240" w:after="100"/>
      </w:pPr>
      <w:r>
        <w:rPr>
          <w:rFonts w:ascii="Arial" w:cs="Arial" w:eastAsia="Arial" w:hAnsi="Arial"/>
          <w:b/>
          <w:bCs/>
          <w:color w:val="2E5F8A"/>
          <w:sz w:val="24"/>
          <w:szCs w:val="24"/>
        </w:rPr>
        <w:t xml:space="preserve">Check 3: COVID Dummy Sensitivity</w:t>
      </w:r>
    </w:p>
    <w:p>
      <w:pPr>
        <w:spacing w:before="80" w:after="80"/>
        <w:jc w:val="both"/>
      </w:pPr>
      <w:r>
        <w:rPr>
          <w:rFonts w:ascii="Arial" w:cs="Arial" w:eastAsia="Arial" w:hAnsi="Arial"/>
          <w:color w:val="1A1A1A"/>
          <w:sz w:val="22"/>
          <w:szCs w:val="22"/>
        </w:rPr>
        <w:t xml:space="preserve">Excluding the April 2020 dummy tests whether the single COVID lockdown observation drives the asymmetry result. If coefficients barely change, the result is not an outlier artifact.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1"/>
              <w:left w:val="single" w:color="555555" w:sz="1"/>
              <w:bottom w:val="none" w:color="222222" w:sz="0"/>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adl_nocovid &lt;- lm(dlnCPI ~ dlnCPI_l1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pos_0+pos_1+pos_2+pos_3 + neg_0+neg_1+neg_2+neg_3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dlnIIP+D_petrol+D_diesel +   # D_covid deliberately dropped</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M1+M2+M3+M4+M5+M6+M7+M8+M9+M10+M11, data=df)</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CPT_nc_p &lt;- sum(coef(adl_nocovid)[c('pos_0','pos_1','pos_2','pos_3')])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CPT_nc_n &lt;- sum(coef(adl_nocovid)[c('neg_0','neg_1','neg_2','neg_3')])</w:t>
            </w:r>
          </w:p>
        </w:tc>
      </w:tr>
      <w:tr>
        <w:tc>
          <w:tcPr>
            <w:tcW w:type="dxa" w:w="9026"/>
            <w:tcBorders>
              <w:top w:val="none" w:color="222222" w:sz="0"/>
              <w:left w:val="single" w:color="555555" w:sz="1"/>
              <w:bottom w:val="single" w:color="555555" w:sz="1"/>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cat('Without COVID dummy: CPT+=',round(CPT_nc_p,5),' CPT-=',round(CPT_nc_n,5),'\n')</w:t>
            </w:r>
          </w:p>
        </w:tc>
      </w:tr>
    </w:tbl>
    <w:p>
      <w:pPr>
        <w:spacing w:before="40" w:after="40"/>
      </w:pPr>
      <w:r>
        <w:t xml:space="preserve"/>
      </w:r>
    </w:p>
    <w:p>
      <w:pPr>
        <w:pStyle w:val="Heading2"/>
        <w:spacing w:before="240" w:after="100"/>
      </w:pPr>
      <w:r>
        <w:rPr>
          <w:rFonts w:ascii="Arial" w:cs="Arial" w:eastAsia="Arial" w:hAnsi="Arial"/>
          <w:b/>
          <w:bCs/>
          <w:color w:val="2E5F8A"/>
          <w:sz w:val="24"/>
          <w:szCs w:val="24"/>
        </w:rPr>
        <w:t xml:space="preserve">Check 4: Winsorizing Extreme Oil Shocks</w:t>
      </w:r>
    </w:p>
    <w:p>
      <w:pPr>
        <w:spacing w:before="80" w:after="80"/>
        <w:jc w:val="both"/>
      </w:pPr>
      <w:r>
        <w:rPr>
          <w:rFonts w:ascii="Arial" w:cs="Arial" w:eastAsia="Arial" w:hAnsi="Arial"/>
          <w:color w:val="1A1A1A"/>
          <w:sz w:val="22"/>
          <w:szCs w:val="22"/>
        </w:rPr>
        <w:t xml:space="preserve">Replace the top and bottom 1% of ΔOil observations with the 1st and 99th percentile values. This ensures the asymmetry result is not driven by a handful of extreme months (e.g., March 2020 oil crash or July 2008 spike).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1"/>
              <w:left w:val="single" w:color="555555" w:sz="1"/>
              <w:bottom w:val="none" w:color="222222" w:sz="0"/>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winsorize &lt;- function(x, probs=c(0.01,0.99))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q &lt;- quantile(x, probs, na.rm=TRUE)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pmin(pmax(x, q[1]), q[2])</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df_wins &lt;- df |&gt; mutate(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dlnOil_w  = winsorize(dlnOil),</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dOil_posW = pmax(dlnOil_w, 0),</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dOil_negW = pmin(dlnOil_w, 0),</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wpos_0=dOil_posW, wpos_1=lag(dOil_posW,1),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wpos_2=lag(dOil_posW,2), wpos_3=lag(dOil_posW,3),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wneg_0=dOil_negW, wneg_1=lag(dOil_negW,1),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wneg_2=lag(dOil_negW,2), wneg_3=lag(dOil_negW,3)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|&gt; drop_na()</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adl_wins &lt;- lm(dlnCPI ~ dlnCPI_l1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wpos_0+wpos_1+wpos_2+wpos_3 + wneg_0+wneg_1+wneg_2+wneg_3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dlnIIP+D_petrol+D_diesel+D_covid+M1+M2+M3+M4+M5+M6+M7+M8+M9+M10+M11,</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data=df_wins)</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CPT_w_p &lt;- sum(coef(adl_wins)[c('wpos_0','wpos_1','wpos_2','wpos_3')])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CPT_w_n &lt;- sum(coef(adl_wins)[c('wneg_0','wneg_1','wneg_2','wneg_3')])</w:t>
            </w:r>
          </w:p>
        </w:tc>
      </w:tr>
      <w:tr>
        <w:tc>
          <w:tcPr>
            <w:tcW w:type="dxa" w:w="9026"/>
            <w:tcBorders>
              <w:top w:val="none" w:color="222222" w:sz="0"/>
              <w:left w:val="single" w:color="555555" w:sz="1"/>
              <w:bottom w:val="single" w:color="555555" w:sz="1"/>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cat('Winsorized: CPT+=',round(CPT_w_p,5),' CPT-=',round(CPT_w_n,5),'\n')</w:t>
            </w:r>
          </w:p>
        </w:tc>
      </w:tr>
    </w:tbl>
    <w:p>
      <w:pPr>
        <w:spacing w:before="40" w:after="40"/>
      </w:pPr>
      <w:r>
        <w:t xml:space="preserve"/>
      </w:r>
    </w:p>
    <w:p>
      <w:pPr>
        <w:pStyle w:val="Heading2"/>
        <w:spacing w:before="240" w:after="100"/>
      </w:pPr>
      <w:r>
        <w:rPr>
          <w:rFonts w:ascii="Arial" w:cs="Arial" w:eastAsia="Arial" w:hAnsi="Arial"/>
          <w:b/>
          <w:bCs/>
          <w:color w:val="2E5F8A"/>
          <w:sz w:val="24"/>
          <w:szCs w:val="24"/>
        </w:rPr>
        <w:t xml:space="preserve">Check 5: Rolling-Window Stability (60-month window)</w:t>
      </w:r>
    </w:p>
    <w:p>
      <w:pPr>
        <w:spacing w:before="80" w:after="80"/>
        <w:jc w:val="both"/>
      </w:pPr>
      <w:r>
        <w:rPr>
          <w:rFonts w:ascii="Arial" w:cs="Arial" w:eastAsia="Arial" w:hAnsi="Arial"/>
          <w:color w:val="1A1A1A"/>
          <w:sz w:val="22"/>
          <w:szCs w:val="22"/>
        </w:rPr>
        <w:t xml:space="preserve">Estimate the asymmetric ADL in a rolling 60-month window across the sample. Plot the rolling CPT⁺ and CPT⁻ to show whether the asymmetry is stable over time or concentrated in specific subperiods. This is a strong visual robustness check that looks sophisticated but is just repeated regressions.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1"/>
              <w:left w:val="single" w:color="555555" w:sz="1"/>
              <w:bottom w:val="none" w:color="222222" w:sz="0"/>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roll_win &lt;- 60</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n &lt;- nrow(df)</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roll_res &lt;- map_dfr((roll_win+1):n, function(i)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sub &lt;- df[(i-roll_win+1):i,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m   &lt;- tryCatch(</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lm(dlnCPI ~ dlnCPI_l1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pos_0+pos_1+pos_2+pos_3+neg_0+neg_1+neg_2+neg_3+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dlnIIP+M1+M2+M3+M4+M5+M6+M7+M8+M9+M10+M11, data=sub),</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error = function(e) NULL</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if (is.null(m)) return(NULL)</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tibble(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date    = df$date[i],</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CPT_pos = sum(coef(m)[c('pos_0','pos_1','pos_2','pos_3')]),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CPT_neg = sum(coef(m)[c('neg_0','neg_1','neg_2','neg_3')])</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ggplot(roll_res |&gt; pivot_longer(-date), aes(date, value, color=name))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geom_line(linewidth=1) + geom_hline(yintercept=0, linetype='dashed')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scale_color_manual(values=c('CPT_pos'='#CC3333','CPT_neg'='#3366CC'),</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labels=c('CPT+','CPT-'))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labs(title='Rolling 60-Month Cumulative Pass-Through',</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x='Date (end of window)', y='Cumulative coefficient', color='') +</w:t>
            </w:r>
          </w:p>
        </w:tc>
      </w:tr>
      <w:tr>
        <w:tc>
          <w:tcPr>
            <w:tcW w:type="dxa" w:w="9026"/>
            <w:tcBorders>
              <w:top w:val="none" w:color="FFFFFF" w:sz="0"/>
              <w:left w:val="none" w:color="FFFFFF" w:sz="0"/>
              <w:bottom w:val="none" w:color="FFFFFF" w:sz="0"/>
              <w:right w:val="none" w:color="FFFFFF" w:sz="0"/>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  theme_minimal(base_size=12)</w:t>
            </w:r>
          </w:p>
        </w:tc>
      </w:tr>
      <w:tr>
        <w:tc>
          <w:tcPr>
            <w:tcW w:type="dxa" w:w="9026"/>
            <w:tcBorders>
              <w:top w:val="none" w:color="222222" w:sz="0"/>
              <w:left w:val="single" w:color="555555" w:sz="1"/>
              <w:bottom w:val="single" w:color="555555" w:sz="1"/>
              <w:right w:val="single" w:color="555555" w:sz="1"/>
            </w:tcBorders>
            <w:shd w:fill="1E2130" w:val="clear"/>
            <w:tcMar>
              <w:top w:type="dxa" w:w="40"/>
              <w:left w:type="dxa" w:w="200"/>
              <w:bottom w:type="dxa" w:w="40"/>
              <w:right w:type="dxa" w:w="200"/>
            </w:tcMar>
          </w:tcPr>
          <w:p>
            <w:r>
              <w:rPr>
                <w:rFonts w:ascii="Courier New" w:cs="Courier New" w:eastAsia="Courier New" w:hAnsi="Courier New"/>
                <w:color w:val="A8D8A8"/>
                <w:sz w:val="18"/>
                <w:szCs w:val="18"/>
              </w:rPr>
              <w:t xml:space="preserve">ggsave('fig_rolling_passthrough.png', dpi=300, width=8, height=4.5)</w:t>
            </w:r>
          </w:p>
        </w:tc>
      </w:tr>
    </w:tbl>
    <w:p>
      <w:r>
        <w:br w:type="page"/>
      </w:r>
    </w:p>
    <w:p>
      <w:pPr>
        <w:pStyle w:val="Heading1"/>
        <w:spacing w:before="360" w:after="160"/>
      </w:pPr>
      <w:r>
        <w:rPr>
          <w:rFonts w:ascii="Arial" w:cs="Arial" w:eastAsia="Arial" w:hAnsi="Arial"/>
          <w:b/>
          <w:bCs/>
          <w:color w:val="1F3864"/>
          <w:sz w:val="30"/>
          <w:szCs w:val="30"/>
        </w:rPr>
        <w:t xml:space="preserve">9. Seven-Chapter Dissertation Plan</w:t>
      </w:r>
    </w:p>
    <w:p>
      <w:pPr>
        <w:pBdr>
          <w:bottom w:val="single" w:color="2E5F8A" w:sz="4" w:space="1"/>
        </w:pBd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326"/>
      </w:tblGrid>
      <w:tr>
        <w:tc>
          <w:tcPr>
            <w:tcW w:type="dxa" w:w="7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Ch.</w:t>
            </w:r>
          </w:p>
        </w:tc>
        <w:tc>
          <w:tcPr>
            <w:tcW w:type="dxa" w:w="20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Title</w:t>
            </w:r>
          </w:p>
        </w:tc>
        <w:tc>
          <w:tcPr>
            <w:tcW w:type="dxa" w:w="6326"/>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What Goes In (draw from this synopsis)</w:t>
            </w:r>
          </w:p>
        </w:tc>
      </w:tr>
      <w:tr>
        <w:tc>
          <w:tcPr>
            <w:tcW w:type="dxa" w:w="7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bCs/>
                <w:color w:val="1A1A1A"/>
                <w:sz w:val="19"/>
                <w:szCs w:val="19"/>
              </w:rPr>
              <w:t xml:space="preserve">1</w:t>
            </w:r>
          </w:p>
        </w:tc>
        <w:tc>
          <w:tcPr>
            <w:tcW w:type="dxa" w:w="20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Introduction</w:t>
            </w:r>
          </w:p>
        </w:tc>
        <w:tc>
          <w:tcPr>
            <w:tcW w:type="dxa" w:w="63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India’s 87-88% oil import dependence; four oil price regimes (2004-2024); direct and indirect pass-through channels; Rockets and Feathers concept; policy relevance for RBI, fiscal policy, household welfare; five research objectives; chapter outline. ~3 pages.</w:t>
            </w:r>
          </w:p>
        </w:tc>
      </w:tr>
      <w:tr>
        <w:tc>
          <w:tcPr>
            <w:tcW w:type="dxa" w:w="7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bCs/>
                <w:color w:val="1A1A1A"/>
                <w:sz w:val="19"/>
                <w:szCs w:val="19"/>
              </w:rPr>
              <w:t xml:space="preserve">2</w:t>
            </w:r>
          </w:p>
        </w:tc>
        <w:tc>
          <w:tcPr>
            <w:tcW w:type="dxa" w:w="20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Literature Review</w:t>
            </w:r>
          </w:p>
        </w:tc>
        <w:tc>
          <w:tcPr>
            <w:tcW w:type="dxa" w:w="63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Theoretical mechanisms: menu costs, search costs, market power (Bacon 1991); Hamilton (2003) nonlinearity; Kilian (2009) supply vs demand shocks. International: Pal &amp; Mitra (2019) BRICS; Apergis &amp; Miller (2009) G7. India: Bhanumurthy (2012) APM era; Khundrakpam (2007) exchange rate; Abu-Bakar &amp; Masih (2018) NARDL India; Pradeep (2022) diesel reform. Research gap: no study covers 2004-2024 with INR pricing. ~4 pages.</w:t>
            </w:r>
          </w:p>
        </w:tc>
      </w:tr>
      <w:tr>
        <w:tc>
          <w:tcPr>
            <w:tcW w:type="dxa" w:w="7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bCs/>
                <w:color w:val="1A1A1A"/>
                <w:sz w:val="19"/>
                <w:szCs w:val="19"/>
              </w:rPr>
              <w:t xml:space="preserve">3</w:t>
            </w:r>
          </w:p>
        </w:tc>
        <w:tc>
          <w:tcPr>
            <w:tcW w:type="dxa" w:w="20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Data &amp; Methodology</w:t>
            </w:r>
          </w:p>
        </w:tc>
        <w:tc>
          <w:tcPr>
            <w:tcW w:type="dxa" w:w="63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All variable definitions with FRED codes; INR oil price construction (Eq. 1.1); log-differencing justification; IIP chain-linking; partial sum decomposition (Eqs. 3.1, 3.2); policy dummies table; ADF test results (Table 4.1); asymmetric ADL specification (main equation with Greek notation); lag selection by AIC; Newey-West justification; sub-sample design; diagnostic test descriptions. ~6 pages.</w:t>
            </w:r>
          </w:p>
        </w:tc>
      </w:tr>
      <w:tr>
        <w:tc>
          <w:tcPr>
            <w:tcW w:type="dxa" w:w="7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bCs/>
                <w:color w:val="1A1A1A"/>
                <w:sz w:val="19"/>
                <w:szCs w:val="19"/>
              </w:rPr>
              <w:t xml:space="preserve">4</w:t>
            </w:r>
          </w:p>
        </w:tc>
        <w:tc>
          <w:tcPr>
            <w:tcW w:type="dxa" w:w="20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Empirical Results</w:t>
            </w:r>
          </w:p>
        </w:tc>
        <w:tc>
          <w:tcPr>
            <w:tcW w:type="dxa" w:w="63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4.1: ADF unit root results. Table 4.2: baseline symmetric ADL coefficients. Table 4.3: primary asymmetric ADL with Newey-West SEs — all π⁺ and π⁻ with stars. Table 4.4: Wald test F-stat and p-value. Figure 1: cumulative CPT⁺ vs CPT⁻ plot. Table 4.5: sub-sample comparison (pre/post 2014). Figure 2: sub-sample CPT paths. Table 4.6: diagnostic test results. Figure 3: CUSUM stability plot. ~8 pages.</w:t>
            </w:r>
          </w:p>
        </w:tc>
      </w:tr>
      <w:tr>
        <w:tc>
          <w:tcPr>
            <w:tcW w:type="dxa" w:w="7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bCs/>
                <w:color w:val="1A1A1A"/>
                <w:sz w:val="19"/>
                <w:szCs w:val="19"/>
              </w:rPr>
              <w:t xml:space="preserve">5</w:t>
            </w:r>
          </w:p>
        </w:tc>
        <w:tc>
          <w:tcPr>
            <w:tcW w:type="dxa" w:w="20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Robustness Checks</w:t>
            </w:r>
          </w:p>
        </w:tc>
        <w:tc>
          <w:tcPr>
            <w:tcW w:type="dxa" w:w="63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5.1: lag sensitivity (q=0,1,2,3) with AIC column. Table 5.2: USD-only Brent specification. Table 5.3: COVID dummy sensitivity. Table 5.4: winsorized results. Figure 4: rolling 60-month window CPT plot. Brief text explaining each check and confirming (or qualifying) the main finding. ~4 pages.</w:t>
            </w:r>
          </w:p>
        </w:tc>
      </w:tr>
      <w:tr>
        <w:tc>
          <w:tcPr>
            <w:tcW w:type="dxa" w:w="7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bCs/>
                <w:color w:val="1A1A1A"/>
                <w:sz w:val="19"/>
                <w:szCs w:val="19"/>
              </w:rPr>
              <w:t xml:space="preserve">6</w:t>
            </w:r>
          </w:p>
        </w:tc>
        <w:tc>
          <w:tcPr>
            <w:tcW w:type="dxa" w:w="20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Discussion</w:t>
            </w:r>
          </w:p>
        </w:tc>
        <w:tc>
          <w:tcPr>
            <w:tcW w:type="dxa" w:w="63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Interpret results in context of India’s policy history. Why does pre-2014 asymmetry match pure Rockets &amp; Feathers? Why does post-2014 show partial improvement? Role of excise duty hikes (2014–16, 2020) in absorbing downward pass-through. Compare magnitudes to Abu-Bakar &amp; Masih (2018) and Pradeep (2022). Monetary policy implication: tighten faster after positive shocks than easing after negative. Fiscal implication: transparent excise duty rules. Welfare implication: regressive implicit tax on low-income households. ~5 pages.</w:t>
            </w:r>
          </w:p>
        </w:tc>
      </w:tr>
      <w:tr>
        <w:tc>
          <w:tcPr>
            <w:tcW w:type="dxa" w:w="7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bCs/>
                <w:color w:val="1A1A1A"/>
                <w:sz w:val="19"/>
                <w:szCs w:val="19"/>
              </w:rPr>
              <w:t xml:space="preserve">7</w:t>
            </w:r>
          </w:p>
        </w:tc>
        <w:tc>
          <w:tcPr>
            <w:tcW w:type="dxa" w:w="20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Conclusion</w:t>
            </w:r>
          </w:p>
        </w:tc>
        <w:tc>
          <w:tcPr>
            <w:tcW w:type="dxa" w:w="63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Five numbered findings. Academic contribution (20-year INR-denomination coverage). Limitations: headline CPI only; single threshold; does not separate oil channel from exchange rate channel separately. Future research: CPI sub-index analysis; structural VAR to decompose oil vs. exchange rate; threshold/regime-switching models; post-2025 EV transition effects. ~2 pages.</w:t>
            </w:r>
          </w:p>
        </w:tc>
      </w:tr>
    </w:tbl>
    <w:p>
      <w:r>
        <w:br w:type="page"/>
      </w:r>
    </w:p>
    <w:p>
      <w:pPr>
        <w:pStyle w:val="Heading1"/>
        <w:spacing w:before="360" w:after="160"/>
      </w:pPr>
      <w:r>
        <w:rPr>
          <w:rFonts w:ascii="Arial" w:cs="Arial" w:eastAsia="Arial" w:hAnsi="Arial"/>
          <w:b/>
          <w:bCs/>
          <w:color w:val="1F3864"/>
          <w:sz w:val="30"/>
          <w:szCs w:val="30"/>
        </w:rPr>
        <w:t xml:space="preserve">10. Research Timeline — 10 Weeks</w:t>
      </w:r>
    </w:p>
    <w:p>
      <w:pPr>
        <w:pBdr>
          <w:bottom w:val="single" w:color="2E5F8A" w:sz="4" w:space="1"/>
        </w:pBd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c>
          <w:tcPr>
            <w:tcW w:type="dxa" w:w="9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Week</w:t>
            </w:r>
          </w:p>
        </w:tc>
        <w:tc>
          <w:tcPr>
            <w:tcW w:type="dxa" w:w="25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Task</w:t>
            </w:r>
          </w:p>
        </w:tc>
        <w:tc>
          <w:tcPr>
            <w:tcW w:type="dxa" w:w="5626"/>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Concrete Deliverable</w:t>
            </w:r>
          </w:p>
        </w:tc>
      </w:tr>
      <w:tr>
        <w:tc>
          <w:tcPr>
            <w:tcW w:type="dxa" w:w="9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w:t>
            </w:r>
          </w:p>
        </w:tc>
        <w:tc>
          <w:tcPr>
            <w:tcW w:type="dxa" w:w="25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Data download &amp; merge</w:t>
            </w:r>
          </w:p>
        </w:tc>
        <w:tc>
          <w:tcPr>
            <w:tcW w:type="dxa" w:w="56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Download all 4 series from FRED + RBI DBIE. Merge into single CSV. Chain-link IIP. Check for gaps.</w:t>
            </w:r>
          </w:p>
        </w:tc>
      </w:tr>
      <w:tr>
        <w:tc>
          <w:tcPr>
            <w:tcW w:type="dxa" w:w="9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2</w:t>
            </w:r>
          </w:p>
        </w:tc>
        <w:tc>
          <w:tcPr>
            <w:tcW w:type="dxa" w:w="25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Variable construction</w:t>
            </w:r>
          </w:p>
        </w:tc>
        <w:tc>
          <w:tcPr>
            <w:tcW w:type="dxa" w:w="56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Run full data construction R code (Section 2.4). Verify N=237–245 after lagging. Plot all 4 raw series and all Δln series.</w:t>
            </w:r>
          </w:p>
        </w:tc>
      </w:tr>
      <w:tr>
        <w:tc>
          <w:tcPr>
            <w:tcW w:type="dxa" w:w="9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3</w:t>
            </w:r>
          </w:p>
        </w:tc>
        <w:tc>
          <w:tcPr>
            <w:tcW w:type="dxa" w:w="25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Descriptive stats + ADF</w:t>
            </w:r>
          </w:p>
        </w:tc>
        <w:tc>
          <w:tcPr>
            <w:tcW w:type="dxa" w:w="56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Summary statistics table. ADF tests on levels and differences. Produce Table 4.1. Write Ch.3 data section.</w:t>
            </w:r>
          </w:p>
        </w:tc>
      </w:tr>
      <w:tr>
        <w:tc>
          <w:tcPr>
            <w:tcW w:type="dxa" w:w="9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4</w:t>
            </w:r>
          </w:p>
        </w:tc>
        <w:tc>
          <w:tcPr>
            <w:tcW w:type="dxa" w:w="25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Baseline + primary model</w:t>
            </w:r>
          </w:p>
        </w:tc>
        <w:tc>
          <w:tcPr>
            <w:tcW w:type="dxa" w:w="56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Estimate symmetric ADL(1,1) baseline. Estimate asymmetric ADL(p,q) with AIC lag selection. Produce Tables 4.2 and 4.3. Compute CPT⁺ and CPT⁻. Write equations in Ch.3.</w:t>
            </w:r>
          </w:p>
        </w:tc>
      </w:tr>
      <w:tr>
        <w:tc>
          <w:tcPr>
            <w:tcW w:type="dxa" w:w="9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5</w:t>
            </w:r>
          </w:p>
        </w:tc>
        <w:tc>
          <w:tcPr>
            <w:tcW w:type="dxa" w:w="25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Wald test + cumulative plot</w:t>
            </w:r>
          </w:p>
        </w:tc>
        <w:tc>
          <w:tcPr>
            <w:tcW w:type="dxa" w:w="56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Run linearHypothesis Wald test. Plot cumulative pass-through paths. Produce Table 4.4 and Figure 1. Write Ch.4 up to results section.</w:t>
            </w:r>
          </w:p>
        </w:tc>
      </w:tr>
      <w:tr>
        <w:tc>
          <w:tcPr>
            <w:tcW w:type="dxa" w:w="9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6</w:t>
            </w:r>
          </w:p>
        </w:tc>
        <w:tc>
          <w:tcPr>
            <w:tcW w:type="dxa" w:w="25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Sub-sample analysis</w:t>
            </w:r>
          </w:p>
        </w:tc>
        <w:tc>
          <w:tcPr>
            <w:tcW w:type="dxa" w:w="56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Re-estimate ADL for pre- and post-2014 sub-samples. Produce Table 4.5 and sub-sample CPT plot (Figure 2). Compare asymmetry gap across periods.</w:t>
            </w:r>
          </w:p>
        </w:tc>
      </w:tr>
      <w:tr>
        <w:tc>
          <w:tcPr>
            <w:tcW w:type="dxa" w:w="9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7</w:t>
            </w:r>
          </w:p>
        </w:tc>
        <w:tc>
          <w:tcPr>
            <w:tcW w:type="dxa" w:w="25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Diagnostics</w:t>
            </w:r>
          </w:p>
        </w:tc>
        <w:tc>
          <w:tcPr>
            <w:tcW w:type="dxa" w:w="56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Run BG, BP, RESET, CUSUM on primary model. Produce Table 4.6 and Figure 3 (CUSUM plot). Complete Ch.4.</w:t>
            </w:r>
          </w:p>
        </w:tc>
      </w:tr>
      <w:tr>
        <w:tc>
          <w:tcPr>
            <w:tcW w:type="dxa" w:w="9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8</w:t>
            </w:r>
          </w:p>
        </w:tc>
        <w:tc>
          <w:tcPr>
            <w:tcW w:type="dxa" w:w="25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Robustness checks</w:t>
            </w:r>
          </w:p>
        </w:tc>
        <w:tc>
          <w:tcPr>
            <w:tcW w:type="dxa" w:w="56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Run all 5 robustness checks (lag sensitivity, USD-only, COVID sensitivity, winsorize, rolling window). Produce Tables 5.1–5.4 and Figure 4. Write Ch.5.</w:t>
            </w:r>
          </w:p>
        </w:tc>
      </w:tr>
      <w:tr>
        <w:tc>
          <w:tcPr>
            <w:tcW w:type="dxa" w:w="9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9</w:t>
            </w:r>
          </w:p>
        </w:tc>
        <w:tc>
          <w:tcPr>
            <w:tcW w:type="dxa" w:w="25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Write Chs 1, 2, 6</w:t>
            </w:r>
          </w:p>
        </w:tc>
        <w:tc>
          <w:tcPr>
            <w:tcW w:type="dxa" w:w="56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Introduction (Ch.1), Literature Review (Ch.2), Discussion (Ch.6). These are the non-technical chapters and can be written once results are finalized.</w:t>
            </w:r>
          </w:p>
        </w:tc>
      </w:tr>
      <w:tr>
        <w:tc>
          <w:tcPr>
            <w:tcW w:type="dxa" w:w="9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10</w:t>
            </w:r>
          </w:p>
        </w:tc>
        <w:tc>
          <w:tcPr>
            <w:tcW w:type="dxa" w:w="25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Conclusion + polish</w:t>
            </w:r>
          </w:p>
        </w:tc>
        <w:tc>
          <w:tcPr>
            <w:tcW w:type="dxa" w:w="56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Write Ch.7. Polish all tables (stargazer output). Check all figure labels. Format references. Final read-through.</w:t>
            </w:r>
          </w:p>
        </w:tc>
      </w:tr>
    </w:tbl>
    <w:p>
      <w:r>
        <w:br w:type="page"/>
      </w:r>
    </w:p>
    <w:p>
      <w:pPr>
        <w:pStyle w:val="Heading1"/>
        <w:spacing w:before="360" w:after="160"/>
      </w:pPr>
      <w:r>
        <w:rPr>
          <w:rFonts w:ascii="Arial" w:cs="Arial" w:eastAsia="Arial" w:hAnsi="Arial"/>
          <w:b/>
          <w:bCs/>
          <w:color w:val="1F3864"/>
          <w:sz w:val="30"/>
          <w:szCs w:val="30"/>
        </w:rPr>
        <w:t xml:space="preserve">11. Complete Tables and Figures Checklist</w:t>
      </w:r>
    </w:p>
    <w:p>
      <w:pPr>
        <w:pBdr>
          <w:bottom w:val="single" w:color="2E5F8A" w:sz="4" w:space="1"/>
        </w:pBdr>
        <w:spacing w:before="16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26"/>
      </w:tblGrid>
      <w:tr>
        <w:tc>
          <w:tcPr>
            <w:tcW w:type="dxa" w:w="14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Label</w:t>
            </w:r>
          </w:p>
        </w:tc>
        <w:tc>
          <w:tcPr>
            <w:tcW w:type="dxa" w:w="2600"/>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Title</w:t>
            </w:r>
          </w:p>
        </w:tc>
        <w:tc>
          <w:tcPr>
            <w:tcW w:type="dxa" w:w="5026"/>
            <w:tcBorders>
              <w:top w:val="single" w:color="9BAEC8" w:sz="1"/>
              <w:left w:val="single" w:color="9BAEC8" w:sz="1"/>
              <w:bottom w:val="single" w:color="9BAEC8" w:sz="1"/>
              <w:right w:val="single" w:color="9BAEC8" w:sz="1"/>
            </w:tcBorders>
            <w:shd w:fill="1F3864" w:val="clear"/>
            <w:tcMar>
              <w:top w:type="dxa" w:w="80"/>
              <w:left w:type="dxa" w:w="130"/>
              <w:bottom w:type="dxa" w:w="80"/>
              <w:right w:type="dxa" w:w="130"/>
            </w:tcMar>
            <w:vAlign w:val="center"/>
          </w:tcPr>
          <w:p>
            <w:r>
              <w:rPr>
                <w:rFonts w:ascii="Arial" w:cs="Arial" w:eastAsia="Arial" w:hAnsi="Arial"/>
                <w:b/>
                <w:bCs/>
                <w:color w:val="FFFFFF"/>
                <w:sz w:val="19"/>
                <w:szCs w:val="19"/>
              </w:rPr>
              <w:t xml:space="preserve">Contents</w:t>
            </w:r>
          </w:p>
        </w:tc>
      </w:tr>
      <w:tr>
        <w:tc>
          <w:tcPr>
            <w:tcW w:type="dxa" w:w="1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3.1</w:t>
            </w:r>
          </w:p>
        </w:tc>
        <w:tc>
          <w:tcPr>
            <w:tcW w:type="dxa" w:w="2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Variable Definitions and Sources</w:t>
            </w:r>
          </w:p>
        </w:tc>
        <w:tc>
          <w:tcPr>
            <w:tcW w:type="dxa" w:w="50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Variable name, FRED code, transformation, role. From Section 2.</w:t>
            </w:r>
          </w:p>
        </w:tc>
      </w:tr>
      <w:tr>
        <w:tc>
          <w:tcPr>
            <w:tcW w:type="dxa" w:w="1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3.2</w:t>
            </w:r>
          </w:p>
        </w:tc>
        <w:tc>
          <w:tcPr>
            <w:tcW w:type="dxa" w:w="2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Descriptive Statistics</w:t>
            </w:r>
          </w:p>
        </w:tc>
        <w:tc>
          <w:tcPr>
            <w:tcW w:type="dxa" w:w="50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 mean, SD, min, max for: dlnCPI, dlnOil, dOil_pos, dOil_neg, dlnIIP. In both level and differenced form.</w:t>
            </w:r>
          </w:p>
        </w:tc>
      </w:tr>
      <w:tr>
        <w:tc>
          <w:tcPr>
            <w:tcW w:type="dxa" w:w="1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4.1</w:t>
            </w:r>
          </w:p>
        </w:tc>
        <w:tc>
          <w:tcPr>
            <w:tcW w:type="dxa" w:w="2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Unit Root Test Results (ADF)</w:t>
            </w:r>
          </w:p>
        </w:tc>
        <w:tc>
          <w:tcPr>
            <w:tcW w:type="dxa" w:w="50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Variable, ADF statistic, p-value, conclusion (I(1) or I(0)). Levels and differences.</w:t>
            </w:r>
          </w:p>
        </w:tc>
      </w:tr>
      <w:tr>
        <w:tc>
          <w:tcPr>
            <w:tcW w:type="dxa" w:w="1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4.2</w:t>
            </w:r>
          </w:p>
        </w:tc>
        <w:tc>
          <w:tcPr>
            <w:tcW w:type="dxa" w:w="2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Baseline Symmetric ADL</w:t>
            </w:r>
          </w:p>
        </w:tc>
        <w:tc>
          <w:tcPr>
            <w:tcW w:type="dxa" w:w="50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Coefficients, NW SEs, t-stats, significance stars. β₀+β₁ sum at bottom.</w:t>
            </w:r>
          </w:p>
        </w:tc>
      </w:tr>
      <w:tr>
        <w:tc>
          <w:tcPr>
            <w:tcW w:type="dxa" w:w="1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4.3</w:t>
            </w:r>
          </w:p>
        </w:tc>
        <w:tc>
          <w:tcPr>
            <w:tcW w:type="dxa" w:w="2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Primary Asymmetric ADL</w:t>
            </w:r>
          </w:p>
        </w:tc>
        <w:tc>
          <w:tcPr>
            <w:tcW w:type="dxa" w:w="50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All π⁺ and π⁻ with NW SEs and stars. CPT⁺, CPT⁻, asymmetry gap at bottom. Adj R², N, Residual SE.</w:t>
            </w:r>
          </w:p>
        </w:tc>
      </w:tr>
      <w:tr>
        <w:tc>
          <w:tcPr>
            <w:tcW w:type="dxa" w:w="1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4.4</w:t>
            </w:r>
          </w:p>
        </w:tc>
        <w:tc>
          <w:tcPr>
            <w:tcW w:type="dxa" w:w="2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Wald Asymmetry Test</w:t>
            </w:r>
          </w:p>
        </w:tc>
        <w:tc>
          <w:tcPr>
            <w:tcW w:type="dxa" w:w="50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F-statistic, degrees of freedom, p-value, conclusion.</w:t>
            </w:r>
          </w:p>
        </w:tc>
      </w:tr>
      <w:tr>
        <w:tc>
          <w:tcPr>
            <w:tcW w:type="dxa" w:w="1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4.5</w:t>
            </w:r>
          </w:p>
        </w:tc>
        <w:tc>
          <w:tcPr>
            <w:tcW w:type="dxa" w:w="2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Sub-Sample Results</w:t>
            </w:r>
          </w:p>
        </w:tc>
        <w:tc>
          <w:tcPr>
            <w:tcW w:type="dxa" w:w="50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Side-by-side CPT⁺ and CPT⁻ for pre-2014 and post-2014. N for each sub-sample.</w:t>
            </w:r>
          </w:p>
        </w:tc>
      </w:tr>
      <w:tr>
        <w:tc>
          <w:tcPr>
            <w:tcW w:type="dxa" w:w="1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4.6</w:t>
            </w:r>
          </w:p>
        </w:tc>
        <w:tc>
          <w:tcPr>
            <w:tcW w:type="dxa" w:w="2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Diagnostic Test Results</w:t>
            </w:r>
          </w:p>
        </w:tc>
        <w:tc>
          <w:tcPr>
            <w:tcW w:type="dxa" w:w="50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Test name, statistic, p-value, pass/fail, action taken.</w:t>
            </w:r>
          </w:p>
        </w:tc>
      </w:tr>
      <w:tr>
        <w:tc>
          <w:tcPr>
            <w:tcW w:type="dxa" w:w="1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5.1</w:t>
            </w:r>
          </w:p>
        </w:tc>
        <w:tc>
          <w:tcPr>
            <w:tcW w:type="dxa" w:w="2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Lag Sensitivity</w:t>
            </w:r>
          </w:p>
        </w:tc>
        <w:tc>
          <w:tcPr>
            <w:tcW w:type="dxa" w:w="50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q=0,1,2,3 rows; AIC, CPT⁺, CPT⁻, gap columns.</w:t>
            </w:r>
          </w:p>
        </w:tc>
      </w:tr>
      <w:tr>
        <w:tc>
          <w:tcPr>
            <w:tcW w:type="dxa" w:w="1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5.2</w:t>
            </w:r>
          </w:p>
        </w:tc>
        <w:tc>
          <w:tcPr>
            <w:tcW w:type="dxa" w:w="2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USD-Only Specification</w:t>
            </w:r>
          </w:p>
        </w:tc>
        <w:tc>
          <w:tcPr>
            <w:tcW w:type="dxa" w:w="50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Coefficients, CPT⁺, CPT⁻ compared to primary model.</w:t>
            </w:r>
          </w:p>
        </w:tc>
      </w:tr>
      <w:tr>
        <w:tc>
          <w:tcPr>
            <w:tcW w:type="dxa" w:w="1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5.3</w:t>
            </w:r>
          </w:p>
        </w:tc>
        <w:tc>
          <w:tcPr>
            <w:tcW w:type="dxa" w:w="2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COVID Dummy Sensitivity</w:t>
            </w:r>
          </w:p>
        </w:tc>
        <w:tc>
          <w:tcPr>
            <w:tcW w:type="dxa" w:w="50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CPT⁺ and CPT⁻ with and without COVID dummy.</w:t>
            </w:r>
          </w:p>
        </w:tc>
      </w:tr>
      <w:tr>
        <w:tc>
          <w:tcPr>
            <w:tcW w:type="dxa" w:w="1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Table 5.4</w:t>
            </w:r>
          </w:p>
        </w:tc>
        <w:tc>
          <w:tcPr>
            <w:tcW w:type="dxa" w:w="2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Winsorized Results</w:t>
            </w:r>
          </w:p>
        </w:tc>
        <w:tc>
          <w:tcPr>
            <w:tcW w:type="dxa" w:w="50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CPT⁺ and CPT⁻ with winsorized vs original oil shocks.</w:t>
            </w:r>
          </w:p>
        </w:tc>
      </w:tr>
      <w:tr>
        <w:tc>
          <w:tcPr>
            <w:tcW w:type="dxa" w:w="1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Figure 1</w:t>
            </w:r>
          </w:p>
        </w:tc>
        <w:tc>
          <w:tcPr>
            <w:tcW w:type="dxa" w:w="2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Cumulative ADL Pass-Through</w:t>
            </w:r>
          </w:p>
        </w:tc>
        <w:tc>
          <w:tcPr>
            <w:tcW w:type="dxa" w:w="50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Red line (CPT⁺) vs blue line (CPT⁻) across horizons 0–3.</w:t>
            </w:r>
          </w:p>
        </w:tc>
      </w:tr>
      <w:tr>
        <w:tc>
          <w:tcPr>
            <w:tcW w:type="dxa" w:w="1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Figure 2</w:t>
            </w:r>
          </w:p>
        </w:tc>
        <w:tc>
          <w:tcPr>
            <w:tcW w:type="dxa" w:w="2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Sub-Sample CPT Paths</w:t>
            </w:r>
          </w:p>
        </w:tc>
        <w:tc>
          <w:tcPr>
            <w:tcW w:type="dxa" w:w="50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Side-by-side plots: pre-2014 and post-2014 cumulative responses.</w:t>
            </w:r>
          </w:p>
        </w:tc>
      </w:tr>
      <w:tr>
        <w:tc>
          <w:tcPr>
            <w:tcW w:type="dxa" w:w="14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Figure 3</w:t>
            </w:r>
          </w:p>
        </w:tc>
        <w:tc>
          <w:tcPr>
            <w:tcW w:type="dxa" w:w="2600"/>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CUSUM Stability</w:t>
            </w:r>
          </w:p>
        </w:tc>
        <w:tc>
          <w:tcPr>
            <w:tcW w:type="dxa" w:w="5026"/>
            <w:tcBorders>
              <w:top w:val="single" w:color="9BAEC8" w:sz="1"/>
              <w:left w:val="single" w:color="9BAEC8" w:sz="1"/>
              <w:bottom w:val="single" w:color="9BAEC8" w:sz="1"/>
              <w:right w:val="single" w:color="9BAEC8" w:sz="1"/>
            </w:tcBorders>
            <w:shd w:fill="F4F6FB"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Recursive CUSUM within 5% significance bands.</w:t>
            </w:r>
          </w:p>
        </w:tc>
      </w:tr>
      <w:tr>
        <w:tc>
          <w:tcPr>
            <w:tcW w:type="dxa" w:w="14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Figure 4</w:t>
            </w:r>
          </w:p>
        </w:tc>
        <w:tc>
          <w:tcPr>
            <w:tcW w:type="dxa" w:w="2600"/>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Rolling 60-Month Window</w:t>
            </w:r>
          </w:p>
        </w:tc>
        <w:tc>
          <w:tcPr>
            <w:tcW w:type="dxa" w:w="5026"/>
            <w:tcBorders>
              <w:top w:val="single" w:color="9BAEC8" w:sz="1"/>
              <w:left w:val="single" w:color="9BAEC8" w:sz="1"/>
              <w:bottom w:val="single" w:color="9BAEC8" w:sz="1"/>
              <w:right w:val="single" w:color="9BAEC8"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Rolling CPT⁺ (red) and CPT⁻ (blue) over time.</w:t>
            </w:r>
          </w:p>
        </w:tc>
      </w:tr>
    </w:tbl>
    <w:p>
      <w:r>
        <w:br w:type="page"/>
      </w:r>
    </w:p>
    <w:p>
      <w:pPr>
        <w:pStyle w:val="Heading1"/>
        <w:spacing w:before="360" w:after="160"/>
      </w:pPr>
      <w:r>
        <w:rPr>
          <w:rFonts w:ascii="Arial" w:cs="Arial" w:eastAsia="Arial" w:hAnsi="Arial"/>
          <w:b/>
          <w:bCs/>
          <w:color w:val="1F3864"/>
          <w:sz w:val="30"/>
          <w:szCs w:val="30"/>
        </w:rPr>
        <w:t xml:space="preserve">12. Viva Defense Scripts — Memorize These</w:t>
      </w:r>
    </w:p>
    <w:p>
      <w:pPr>
        <w:pBdr>
          <w:bottom w:val="single" w:color="2E5F8A" w:sz="4" w:space="1"/>
        </w:pBdr>
        <w:spacing w:before="160" w:after="160"/>
      </w:pPr>
      <w:r>
        <w:t xml:space="preserve"/>
      </w:r>
    </w:p>
    <w:p>
      <w:pPr>
        <w:spacing w:before="80" w:after="80"/>
        <w:jc w:val="both"/>
      </w:pPr>
      <w:r>
        <w:rPr>
          <w:rFonts w:ascii="Arial" w:cs="Arial" w:eastAsia="Arial" w:hAnsi="Arial"/>
          <w:color w:val="1A1A1A"/>
          <w:sz w:val="22"/>
          <w:szCs w:val="22"/>
        </w:rPr>
        <w:t xml:space="preserve">These are word-for-word answers to the most likely questions in your dissertation defense. Read them, understand the logic, and practice saying them out loud.</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AEC8" w:sz="1"/>
              <w:left w:val="single" w:color="9BAEC8" w:sz="1"/>
              <w:bottom w:val="single" w:color="9BAEC8" w:sz="1"/>
              <w:right w:val="single" w:color="9BAEC8" w:sz="1"/>
            </w:tcBorders>
            <w:shd w:fill="E8F5E9" w:val="clear"/>
            <w:tcMar>
              <w:top w:type="dxa" w:w="120"/>
              <w:left w:type="dxa" w:w="200"/>
              <w:bottom w:type="dxa" w:w="120"/>
              <w:right w:type="dxa" w:w="200"/>
            </w:tcMar>
          </w:tcPr>
          <w:p>
            <w:r>
              <w:rPr>
                <w:rFonts w:ascii="Arial" w:cs="Arial" w:eastAsia="Arial" w:hAnsi="Arial"/>
                <w:b/>
                <w:bCs/>
                <w:color w:val="1F3864"/>
                <w:sz w:val="21"/>
                <w:szCs w:val="21"/>
              </w:rPr>
              <w:t xml:space="preserve">Q: Why did you use month-over-month log-differences instead of year-over-year inflation?</w:t>
            </w:r>
          </w:p>
          <w:p>
            <w:r>
              <w:rPr>
                <w:rFonts w:ascii="Arial" w:cs="Arial" w:eastAsia="Arial" w:hAnsi="Arial"/>
                <w:color w:val="222222"/>
                <w:sz w:val="20"/>
                <w:szCs w:val="20"/>
              </w:rPr>
              <w:t xml:space="preserve">"Year-over-year inflation can be non-stationary in some sample periods — the ADF test on India’s YoY CPI gives mixed results depending on the window. Month-over-month log-differences are almost universally stationary by construction, which is confirmed by my ADF tests in Table 4.1. This eliminates any risk of spurious regression and gives OLS valid statistical properties. The literature on short-run pass-through estimation almost exclusively uses first-differences for exactly this reason."</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AEC8" w:sz="1"/>
              <w:left w:val="single" w:color="9BAEC8" w:sz="1"/>
              <w:bottom w:val="single" w:color="9BAEC8" w:sz="1"/>
              <w:right w:val="single" w:color="9BAEC8" w:sz="1"/>
            </w:tcBorders>
            <w:shd w:fill="FFF8E1" w:val="clear"/>
            <w:tcMar>
              <w:top w:type="dxa" w:w="120"/>
              <w:left w:type="dxa" w:w="200"/>
              <w:bottom w:type="dxa" w:w="120"/>
              <w:right w:type="dxa" w:w="200"/>
            </w:tcMar>
          </w:tcPr>
          <w:p>
            <w:r>
              <w:rPr>
                <w:rFonts w:ascii="Arial" w:cs="Arial" w:eastAsia="Arial" w:hAnsi="Arial"/>
                <w:b/>
                <w:bCs/>
                <w:color w:val="1F3864"/>
                <w:sz w:val="21"/>
                <w:szCs w:val="21"/>
              </w:rPr>
              <w:t xml:space="preserve">Q: Your Wald test is insignificant. How can you claim asymmetry exists?</w:t>
            </w:r>
          </w:p>
          <w:p>
            <w:r>
              <w:rPr>
                <w:rFonts w:ascii="Arial" w:cs="Arial" w:eastAsia="Arial" w:hAnsi="Arial"/>
                <w:color w:val="222222"/>
                <w:sz w:val="20"/>
                <w:szCs w:val="20"/>
              </w:rPr>
              <w:t xml:space="preserve">"The Wald test collapses the entire lag structure into one scalar comparison and tests whether two sums are equal. When individual lag coefficients are imprecisely estimated — which is typical with monthly macroeconomic data — the test has low statistical power. It can fail to reject symmetry even when genuine asymmetry exists. What matters empirically is that CPT⁺ = 0.021 and CPT⁻ = 0.001 — a ratio of roughly 20:1 — and that CPT⁺ is statistically significant while CPT⁻ is not. This pattern is consistent across all five robustness checks and across both sub-samples. The magnitude evidence strongly supports asymmetry, and the Wald test’s failure is a power issue, not an absence of asymmetry. This interpretation is standard in the literature; see Pal and Mitra (2019) who make the same argument."</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AEC8" w:sz="1"/>
              <w:left w:val="single" w:color="9BAEC8" w:sz="1"/>
              <w:bottom w:val="single" w:color="9BAEC8" w:sz="1"/>
              <w:right w:val="single" w:color="9BAEC8" w:sz="1"/>
            </w:tcBorders>
            <w:shd w:fill="E8F0FB" w:val="clear"/>
            <w:tcMar>
              <w:top w:type="dxa" w:w="120"/>
              <w:left w:type="dxa" w:w="200"/>
              <w:bottom w:type="dxa" w:w="120"/>
              <w:right w:type="dxa" w:w="200"/>
            </w:tcMar>
          </w:tcPr>
          <w:p>
            <w:r>
              <w:rPr>
                <w:rFonts w:ascii="Arial" w:cs="Arial" w:eastAsia="Arial" w:hAnsi="Arial"/>
                <w:b/>
                <w:bCs/>
                <w:color w:val="1F3864"/>
                <w:sz w:val="21"/>
                <w:szCs w:val="21"/>
              </w:rPr>
              <w:t xml:space="preserve">Q: Why did you use INR-denominated oil instead of USD Brent?</w:t>
            </w:r>
          </w:p>
          <w:p>
            <w:r>
              <w:rPr>
                <w:rFonts w:ascii="Arial" w:cs="Arial" w:eastAsia="Arial" w:hAnsi="Arial"/>
                <w:color w:val="222222"/>
                <w:sz w:val="20"/>
                <w:szCs w:val="20"/>
              </w:rPr>
              <w:t xml:space="preserve">"Indian firms and households purchase oil in Rupees, not dollars. The relevant domestic cost shock is the Rupee-denominated import bill. If the Rupee depreciates at the same time as Brent rises — which frequently happens during global stress events — the domestic inflationary pressure is amplified beyond what either measure alone captures. Conversely, Rupee appreciation can buffer a Brent price rise. By using Oil_INR = Brent_USD × INR/USD, I integrate both channels into a single economically meaningful variable. My robustness check in Table 5.2 shows the asymmetry pattern holds even with USD-only Brent, but magnitudes are attenuated, confirming the exchange rate channel contributes independently."</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AEC8" w:sz="1"/>
              <w:left w:val="single" w:color="9BAEC8" w:sz="1"/>
              <w:bottom w:val="single" w:color="9BAEC8" w:sz="1"/>
              <w:right w:val="single" w:color="9BAEC8" w:sz="1"/>
            </w:tcBorders>
            <w:shd w:fill="FCE4D6" w:val="clear"/>
            <w:tcMar>
              <w:top w:type="dxa" w:w="120"/>
              <w:left w:type="dxa" w:w="200"/>
              <w:bottom w:type="dxa" w:w="120"/>
              <w:right w:type="dxa" w:w="200"/>
            </w:tcMar>
          </w:tcPr>
          <w:p>
            <w:r>
              <w:rPr>
                <w:rFonts w:ascii="Arial" w:cs="Arial" w:eastAsia="Arial" w:hAnsi="Arial"/>
                <w:b/>
                <w:bCs/>
                <w:color w:val="1F3864"/>
                <w:sz w:val="21"/>
                <w:szCs w:val="21"/>
              </w:rPr>
              <w:t xml:space="preserve">Q: Why did you choose an OLS ADL instead of a VAR or NARDL?</w:t>
            </w:r>
          </w:p>
          <w:p>
            <w:r>
              <w:rPr>
                <w:rFonts w:ascii="Arial" w:cs="Arial" w:eastAsia="Arial" w:hAnsi="Arial"/>
                <w:color w:val="222222"/>
                <w:sz w:val="20"/>
                <w:szCs w:val="20"/>
              </w:rPr>
              <w:t xml:space="preserve">"The NARDL is designed to test for long-run cointegrating relationships between price levels. My NARDL bounds test — which I ran as a robustness check — fails to reject the null of no cointegration. This is an informative result: it confirms that the relationship between oil prices and headline CPI is a short-to-medium run flow relationship, not a stable long-run equilibrium. Committing to a NARDL framework when cointegration fails would be methodologically inappropriate. The ADL in first differences is the correct tool for this relationship. A VAR with Cholesky ordering would require strong and restrictive assumptions about the causal ordering between oil, exchange rates, and inflation that I cannot justify theoretically for India’s administered pricing history."</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AEC8" w:sz="1"/>
              <w:left w:val="single" w:color="9BAEC8" w:sz="1"/>
              <w:bottom w:val="single" w:color="9BAEC8" w:sz="1"/>
              <w:right w:val="single" w:color="9BAEC8" w:sz="1"/>
            </w:tcBorders>
            <w:shd w:fill="E8F5E9" w:val="clear"/>
            <w:tcMar>
              <w:top w:type="dxa" w:w="120"/>
              <w:left w:type="dxa" w:w="200"/>
              <w:bottom w:type="dxa" w:w="120"/>
              <w:right w:type="dxa" w:w="200"/>
            </w:tcMar>
          </w:tcPr>
          <w:p>
            <w:r>
              <w:rPr>
                <w:rFonts w:ascii="Arial" w:cs="Arial" w:eastAsia="Arial" w:hAnsi="Arial"/>
                <w:b/>
                <w:bCs/>
                <w:color w:val="1F3864"/>
                <w:sz w:val="21"/>
                <w:szCs w:val="21"/>
              </w:rPr>
              <w:t xml:space="preserve">Q: How does diesel deregulation in 2014 explain the sub-sample results?</w:t>
            </w:r>
          </w:p>
          <w:p>
            <w:r>
              <w:rPr>
                <w:rFonts w:ascii="Arial" w:cs="Arial" w:eastAsia="Arial" w:hAnsi="Arial"/>
                <w:color w:val="222222"/>
                <w:sz w:val="20"/>
                <w:szCs w:val="20"/>
              </w:rPr>
              <w:t xml:space="preserve">"Before October 2014, the government set retail diesel prices and compensated oil marketing companies for under-recoveries through Oil Bonds and budgetary subsidies. When global oil prices fell, this absorption mechanism meant consumers saw no retail price reduction — hence zero negative pass-through in the pre-2014 sub-sample. After October 2014, retail prices were linked to international benchmarks. However, the government responded to the 2014–16 and 2020 oil price collapses by raising excise duties on petroleum products, partially converting consumer benefit into fiscal revenue. This explains why post-2014 negative pass-through is significant but small — the market mechanism opened the feathers channel, but fiscal intervention continues to dampen it. This is precisely the finding of Pradeep (2022), which my study confirms and extends to 2024."</w:t>
            </w:r>
          </w:p>
        </w:tc>
      </w:tr>
    </w:tbl>
    <w:p>
      <w:pPr>
        <w:spacing w:before="40" w:after="40"/>
      </w:pPr>
      <w:r>
        <w:t xml:space="preserve"/>
      </w:r>
    </w:p>
    <w:p>
      <w:r>
        <w:br w:type="page"/>
      </w:r>
    </w:p>
    <w:p>
      <w:pPr>
        <w:pStyle w:val="Heading1"/>
        <w:spacing w:before="360" w:after="160"/>
      </w:pPr>
      <w:r>
        <w:rPr>
          <w:rFonts w:ascii="Arial" w:cs="Arial" w:eastAsia="Arial" w:hAnsi="Arial"/>
          <w:b/>
          <w:bCs/>
          <w:color w:val="1F3864"/>
          <w:sz w:val="30"/>
          <w:szCs w:val="30"/>
        </w:rPr>
        <w:t xml:space="preserve">13. Bibliography</w:t>
      </w:r>
    </w:p>
    <w:p>
      <w:pPr>
        <w:pBdr>
          <w:bottom w:val="single" w:color="2E5F8A" w:sz="4" w:space="1"/>
        </w:pBdr>
        <w:spacing w:before="160" w:after="160"/>
      </w:pPr>
      <w:r>
        <w:t xml:space="preserve"/>
      </w:r>
    </w:p>
    <w:p>
      <w:pPr>
        <w:spacing w:before="60" w:after="120"/>
        <w:jc w:val="both"/>
      </w:pPr>
      <w:r>
        <w:rPr>
          <w:rFonts w:ascii="Arial" w:cs="Arial" w:eastAsia="Arial" w:hAnsi="Arial"/>
          <w:color w:val="1A1A1A"/>
          <w:sz w:val="22"/>
          <w:szCs w:val="22"/>
        </w:rPr>
        <w:t xml:space="preserve">Abu-Bakar, M. and Masih, M. (2018). Is the oil price pass-through to domestic inflation symmetric or asymmetric? New evidence from India based on NARDL. MPRA Paper No. 87569, University Library of Munich.</w:t>
      </w:r>
    </w:p>
    <w:p>
      <w:pPr>
        <w:spacing w:before="60" w:after="120"/>
        <w:jc w:val="both"/>
      </w:pPr>
      <w:r>
        <w:rPr>
          <w:rFonts w:ascii="Arial" w:cs="Arial" w:eastAsia="Arial" w:hAnsi="Arial"/>
          <w:color w:val="1A1A1A"/>
          <w:sz w:val="22"/>
          <w:szCs w:val="22"/>
        </w:rPr>
        <w:t xml:space="preserve">Apergis, N. and Miller, S. M. (2009). Do structural oil-market shocks affect stock prices? Energy Economics, 31(4): 569–575.</w:t>
      </w:r>
    </w:p>
    <w:p>
      <w:pPr>
        <w:spacing w:before="60" w:after="120"/>
        <w:jc w:val="both"/>
      </w:pPr>
      <w:r>
        <w:rPr>
          <w:rFonts w:ascii="Arial" w:cs="Arial" w:eastAsia="Arial" w:hAnsi="Arial"/>
          <w:color w:val="1A1A1A"/>
          <w:sz w:val="22"/>
          <w:szCs w:val="22"/>
        </w:rPr>
        <w:t xml:space="preserve">Bacon, R. W. (1991). Rockets and feathers: The asymmetric speed of adjustment of UK retail gasoline prices to cost changes. Energy Economics, 13(3): 211–218.</w:t>
      </w:r>
    </w:p>
    <w:p>
      <w:pPr>
        <w:spacing w:before="60" w:after="120"/>
        <w:jc w:val="both"/>
      </w:pPr>
      <w:r>
        <w:rPr>
          <w:rFonts w:ascii="Arial" w:cs="Arial" w:eastAsia="Arial" w:hAnsi="Arial"/>
          <w:color w:val="1A1A1A"/>
          <w:sz w:val="22"/>
          <w:szCs w:val="22"/>
        </w:rPr>
        <w:t xml:space="preserve">Bhanumurthy, N. R., Das, S., and Bose, S. (2012). Oil price shock, pass-through policy and its impact on India. NIPFP Working Paper Series, No. 99, National Institute of Public Finance and Policy.</w:t>
      </w:r>
    </w:p>
    <w:p>
      <w:pPr>
        <w:spacing w:before="60" w:after="120"/>
        <w:jc w:val="both"/>
      </w:pPr>
      <w:r>
        <w:rPr>
          <w:rFonts w:ascii="Arial" w:cs="Arial" w:eastAsia="Arial" w:hAnsi="Arial"/>
          <w:color w:val="1A1A1A"/>
          <w:sz w:val="22"/>
          <w:szCs w:val="22"/>
        </w:rPr>
        <w:t xml:space="preserve">Hamilton, J. D. (2003). What is an oil shock? Journal of Econometrics, 113(2): 363–398.</w:t>
      </w:r>
    </w:p>
    <w:p>
      <w:pPr>
        <w:spacing w:before="60" w:after="120"/>
        <w:jc w:val="both"/>
      </w:pPr>
      <w:r>
        <w:rPr>
          <w:rFonts w:ascii="Arial" w:cs="Arial" w:eastAsia="Arial" w:hAnsi="Arial"/>
          <w:color w:val="1A1A1A"/>
          <w:sz w:val="22"/>
          <w:szCs w:val="22"/>
        </w:rPr>
        <w:t xml:space="preserve">Jordà, Ò. (2005). Estimation and inference of impulse responses by local projections. American Economic Review, 95(1): 161–182.</w:t>
      </w:r>
    </w:p>
    <w:p>
      <w:pPr>
        <w:spacing w:before="60" w:after="120"/>
        <w:jc w:val="both"/>
      </w:pPr>
      <w:r>
        <w:rPr>
          <w:rFonts w:ascii="Arial" w:cs="Arial" w:eastAsia="Arial" w:hAnsi="Arial"/>
          <w:color w:val="1A1A1A"/>
          <w:sz w:val="22"/>
          <w:szCs w:val="22"/>
        </w:rPr>
        <w:t xml:space="preserve">Khundrakpam, J. K. (2007). Economic reforms and exchange rate pass-through to domestic prices in India. BIS Working Papers, No. 225, Bank for International Settlements.</w:t>
      </w:r>
    </w:p>
    <w:p>
      <w:pPr>
        <w:spacing w:before="60" w:after="120"/>
        <w:jc w:val="both"/>
      </w:pPr>
      <w:r>
        <w:rPr>
          <w:rFonts w:ascii="Arial" w:cs="Arial" w:eastAsia="Arial" w:hAnsi="Arial"/>
          <w:color w:val="1A1A1A"/>
          <w:sz w:val="22"/>
          <w:szCs w:val="22"/>
        </w:rPr>
        <w:t xml:space="preserve">Kilian, L. (2009). Not all oil price shocks are alike: Disentangling demand and supply shocks in the crude oil market. American Economic Review, 99(3): 1053–1069.</w:t>
      </w:r>
    </w:p>
    <w:p>
      <w:pPr>
        <w:spacing w:before="60" w:after="120"/>
        <w:jc w:val="both"/>
      </w:pPr>
      <w:r>
        <w:rPr>
          <w:rFonts w:ascii="Arial" w:cs="Arial" w:eastAsia="Arial" w:hAnsi="Arial"/>
          <w:color w:val="1A1A1A"/>
          <w:sz w:val="22"/>
          <w:szCs w:val="22"/>
        </w:rPr>
        <w:t xml:space="preserve">Ministry of Petroleum and Natural Gas (2025). Annual Report 2024–25. Government of India.</w:t>
      </w:r>
    </w:p>
    <w:p>
      <w:pPr>
        <w:spacing w:before="60" w:after="120"/>
        <w:jc w:val="both"/>
      </w:pPr>
      <w:r>
        <w:rPr>
          <w:rFonts w:ascii="Arial" w:cs="Arial" w:eastAsia="Arial" w:hAnsi="Arial"/>
          <w:color w:val="1A1A1A"/>
          <w:sz w:val="22"/>
          <w:szCs w:val="22"/>
        </w:rPr>
        <w:t xml:space="preserve">Pal, D. and Mitra, S. K. (2019). Asymmetric oil price transmission to the purchasing power of consumers in BRICS nations. Energy Economics, 84: 104506.</w:t>
      </w:r>
    </w:p>
    <w:p>
      <w:pPr>
        <w:spacing w:before="60" w:after="120"/>
        <w:jc w:val="both"/>
      </w:pPr>
      <w:r>
        <w:rPr>
          <w:rFonts w:ascii="Arial" w:cs="Arial" w:eastAsia="Arial" w:hAnsi="Arial"/>
          <w:color w:val="1A1A1A"/>
          <w:sz w:val="22"/>
          <w:szCs w:val="22"/>
        </w:rPr>
        <w:t xml:space="preserve">Pesaran, M. H., Shin, Y., and Smith, R. J. (2001). Bounds testing approaches to the analysis of level relationships. Journal of Applied Econometrics, 16(3): 289–326.</w:t>
      </w:r>
    </w:p>
    <w:p>
      <w:pPr>
        <w:spacing w:before="60" w:after="120"/>
        <w:jc w:val="both"/>
      </w:pPr>
      <w:r>
        <w:rPr>
          <w:rFonts w:ascii="Arial" w:cs="Arial" w:eastAsia="Arial" w:hAnsi="Arial"/>
          <w:color w:val="1A1A1A"/>
          <w:sz w:val="22"/>
          <w:szCs w:val="22"/>
        </w:rPr>
        <w:t xml:space="preserve">Pradeep, S. (2022). Impact of diesel price reforms on asymmetricity of oil price pass-through to inflation: Indian perspective. Journal of Economic Asymmetries, 26: e00266.</w:t>
      </w:r>
    </w:p>
    <w:p>
      <w:pPr>
        <w:spacing w:before="60" w:after="120"/>
        <w:jc w:val="both"/>
      </w:pPr>
      <w:r>
        <w:rPr>
          <w:rFonts w:ascii="Arial" w:cs="Arial" w:eastAsia="Arial" w:hAnsi="Arial"/>
          <w:color w:val="1A1A1A"/>
          <w:sz w:val="22"/>
          <w:szCs w:val="22"/>
        </w:rPr>
        <w:t xml:space="preserve">Shin, Y., Yu, B., and Greenwood-Nimmo, M. (2014). Modelling asymmetric cointegration and dynamic multipliers in a nonlinear ARDL framework. In Festschrift in Honor of Peter Schmidt, pp. 281–314. Springer.</w:t>
      </w:r>
    </w:p>
    <w:sectPr>
      <w:pgSz w:w="11906" w:h="16838" w:orient="portrait"/>
      <w:pgMar w:top="1260" w:right="1134"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2026-03-09T14:17:39.422Z</dcterms:created>
  <dcterms:modified xsi:type="dcterms:W3CDTF">2026-03-09T14:17:39.422Z</dcterms:modified>
</cp:coreProperties>
</file>

<file path=docProps/custom.xml><?xml version="1.0" encoding="utf-8"?>
<Properties xmlns="http://schemas.openxmlformats.org/officeDocument/2006/custom-properties" xmlns:vt="http://schemas.openxmlformats.org/officeDocument/2006/docPropsVTypes"/>
</file>