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02504" w:rsidRDefault="00000000" w:rsidP="009711AA">
      <w:pPr>
        <w:spacing w:after="0" w:line="259" w:lineRule="auto"/>
        <w:ind w:left="45" w:hanging="10"/>
        <w:jc w:val="center"/>
      </w:pPr>
      <w:r>
        <w:rPr>
          <w:sz w:val="34"/>
        </w:rPr>
        <w:t>From crude oil to consumer inflation:</w:t>
      </w:r>
    </w:p>
    <w:p w:rsidR="00502504" w:rsidRDefault="00000000" w:rsidP="009711AA">
      <w:pPr>
        <w:spacing w:after="0" w:line="259" w:lineRule="auto"/>
        <w:ind w:left="45" w:right="57" w:hanging="10"/>
        <w:jc w:val="center"/>
      </w:pPr>
      <w:r>
        <w:rPr>
          <w:sz w:val="34"/>
        </w:rPr>
        <w:t>transmission and attenuation across India’s price system</w:t>
      </w:r>
    </w:p>
    <w:p w:rsidR="00502504" w:rsidRDefault="00000000" w:rsidP="009711AA">
      <w:pPr>
        <w:spacing w:after="0" w:line="265" w:lineRule="auto"/>
        <w:ind w:left="10" w:right="22" w:hanging="10"/>
        <w:jc w:val="center"/>
      </w:pPr>
      <w:r>
        <w:rPr>
          <w:sz w:val="24"/>
        </w:rPr>
        <w:t>Aniket Pandey</w:t>
      </w:r>
    </w:p>
    <w:p w:rsidR="00502504" w:rsidRDefault="00000000" w:rsidP="009711AA">
      <w:pPr>
        <w:spacing w:after="0" w:line="265" w:lineRule="auto"/>
        <w:ind w:left="10" w:right="31" w:hanging="10"/>
        <w:jc w:val="center"/>
      </w:pPr>
      <w:r>
        <w:rPr>
          <w:sz w:val="24"/>
        </w:rPr>
        <w:t>April 2026</w:t>
      </w:r>
    </w:p>
    <w:p w:rsidR="00502504" w:rsidRDefault="00000000" w:rsidP="009711AA">
      <w:pPr>
        <w:spacing w:after="0" w:line="259" w:lineRule="auto"/>
        <w:ind w:left="0" w:right="22"/>
        <w:jc w:val="center"/>
      </w:pPr>
      <w:r>
        <w:rPr>
          <w:sz w:val="20"/>
        </w:rPr>
        <w:t>Abstract</w:t>
      </w:r>
    </w:p>
    <w:p w:rsidR="00721905" w:rsidRDefault="00721905" w:rsidP="009711AA">
      <w:pPr>
        <w:spacing w:after="0"/>
        <w:ind w:left="1" w:right="23"/>
      </w:pPr>
      <w:r w:rsidRPr="00721905">
        <w:t xml:space="preserve">India sources over four-fifths of the crude oil it consumes from abroad. Nevertheless, the external cost shock appears to only transmit unevenly into domestic prices. This paper conceptualizes oil pass-through as a multi-tiered mechanism. It tracks its propagation through four price strata: the headline wholesale price index, producer prices at the pump for retail petrol, wholesale/retail price indices that are most sensitive to fuel expenditures, and the overarching consumer price index. Our base estimates adapt the short-run asymmetric autoregressive distributed lag technique and use Newey–West standard errors, fit to pre–post chain-weighted monthly series reaching back to 1983 for the headline WPI and to 1995 for the fuel and power component. A suite of complementary nonlinear ARDL models in the levels are presented in an appendix. Three patterns steadily emerge. Pass-through into the headline WPI is both statistically distinguishable but very small (cumulative ~0.030 in response to positive oil price shocks); it is roughly </w:t>
      </w:r>
      <w:proofErr w:type="gramStart"/>
      <w:r w:rsidRPr="00721905">
        <w:t>an</w:t>
      </w:r>
      <w:proofErr w:type="gramEnd"/>
      <w:r w:rsidRPr="00721905">
        <w:t xml:space="preserve"> magnitude higher at the pump and in fuel-sensitive prices, and notably tapers well before entering the CPI, where the response is indistinguishable from zero. A pre/post 2010 split reveals material headline pass-through has been more pronounced in the deregulated era post the turn of the millennium, roughly coinciding with the era of more liberalized, rules-based, administered pricing of motor fuels. Short-run asymmetry is largely elusive. The results are interpreted as pointing to the sequential absorption and institutionalization of the shock by pricing and market basket institutions.</w:t>
      </w:r>
    </w:p>
    <w:p w:rsidR="00502504" w:rsidRDefault="00000000" w:rsidP="009711AA">
      <w:pPr>
        <w:spacing w:after="0"/>
        <w:ind w:left="1" w:right="23"/>
      </w:pPr>
      <w:r>
        <w:t>Keywords: oil price pass-through; imported inflation; India; wholesale inflation; consumer inflation; retail fuel pricing; deregulation; asymmetry.</w:t>
      </w:r>
    </w:p>
    <w:p w:rsidR="00502504" w:rsidRDefault="00000000" w:rsidP="009711AA">
      <w:pPr>
        <w:pStyle w:val="Heading1"/>
        <w:spacing w:after="0"/>
        <w:ind w:left="431" w:hanging="430"/>
      </w:pPr>
      <w:r>
        <w:t>Introduction</w:t>
      </w:r>
    </w:p>
    <w:p w:rsidR="006E14F4" w:rsidRPr="006E14F4" w:rsidRDefault="006E14F4" w:rsidP="009711AA">
      <w:pPr>
        <w:pStyle w:val="NormalWeb"/>
        <w:spacing w:after="0" w:afterAutospacing="0"/>
        <w:jc w:val="both"/>
        <w:rPr>
          <w:rFonts w:ascii="Calibri" w:hAnsi="Calibri" w:cs="Calibri"/>
          <w:sz w:val="22"/>
          <w:szCs w:val="22"/>
        </w:rPr>
      </w:pPr>
      <w:r w:rsidRPr="006E14F4">
        <w:rPr>
          <w:rFonts w:ascii="Calibri" w:hAnsi="Calibri" w:cs="Calibri"/>
          <w:sz w:val="22"/>
          <w:szCs w:val="22"/>
        </w:rPr>
        <w:t>India depends on imports for crude oil structurally. In 2023–24, nearly 87% of the</w:t>
      </w:r>
      <w:r w:rsidRPr="006E14F4">
        <w:rPr>
          <w:rFonts w:ascii="Calibri" w:hAnsi="Calibri" w:cs="Calibri"/>
          <w:sz w:val="22"/>
          <w:szCs w:val="22"/>
        </w:rPr>
        <w:t xml:space="preserve"> </w:t>
      </w:r>
      <w:r w:rsidRPr="006E14F4">
        <w:rPr>
          <w:rFonts w:ascii="Calibri" w:hAnsi="Calibri" w:cs="Calibri"/>
          <w:sz w:val="22"/>
          <w:szCs w:val="22"/>
        </w:rPr>
        <w:t>crude requirements came from external sources. As a result, the rupee value of a barrel of Brent serves as one of the most readily observable external cost shocks that the domestic price system absorbs within a given month (Petroleum Planning and Analysis Cell, 2024). The policy question that follows is simple and as old as the hills: when crude prices move, how much of that movement reaches down to the inflation rate that households face?</w:t>
      </w:r>
    </w:p>
    <w:p w:rsidR="006E14F4" w:rsidRPr="006E14F4" w:rsidRDefault="006E14F4" w:rsidP="009711AA">
      <w:pPr>
        <w:pStyle w:val="NormalWeb"/>
        <w:spacing w:after="0" w:afterAutospacing="0"/>
        <w:jc w:val="both"/>
        <w:rPr>
          <w:rFonts w:ascii="Calibri" w:hAnsi="Calibri" w:cs="Calibri"/>
          <w:sz w:val="22"/>
          <w:szCs w:val="22"/>
        </w:rPr>
      </w:pPr>
      <w:r w:rsidRPr="006E14F4">
        <w:rPr>
          <w:rFonts w:ascii="Calibri" w:hAnsi="Calibri" w:cs="Calibri"/>
          <w:sz w:val="22"/>
          <w:szCs w:val="22"/>
        </w:rPr>
        <w:t xml:space="preserve">The relevant indices in existing recent work on India are shaped to answer this question one at a time. Some recent papers exclusively focus on WPI (Bhoi et al., 2012; Suresh et al., 2026). Others keep their sights trained on certain CPI subgroups or the general index itself (Abu-Bakar and Masih, 2018; Sek, 2019). A further strand tends to the retail fuel pricing channel, documenting its emergence after petrol deregulation in 2010 and diesel deregulation in October 2014 (Pradeep, 2022; </w:t>
      </w:r>
      <w:proofErr w:type="spellStart"/>
      <w:r w:rsidRPr="006E14F4">
        <w:rPr>
          <w:rFonts w:ascii="Calibri" w:hAnsi="Calibri" w:cs="Calibri"/>
          <w:sz w:val="22"/>
          <w:szCs w:val="22"/>
        </w:rPr>
        <w:t>Deheri</w:t>
      </w:r>
      <w:proofErr w:type="spellEnd"/>
      <w:r w:rsidRPr="006E14F4">
        <w:rPr>
          <w:rFonts w:ascii="Calibri" w:hAnsi="Calibri" w:cs="Calibri"/>
          <w:sz w:val="22"/>
          <w:szCs w:val="22"/>
        </w:rPr>
        <w:t xml:space="preserve"> and Carmel, 2024). The existing literature reviewed above is not a list of mutually exclusive propositions. Each of these lines gives us something valuable to take forward. Yet, put together, they still leave an important gap. India’s pricing institutions conceivably operate as simple causal chain (international price → exchange rate → import domestic price → wholesale price → retail currency price → CPI). Within a single design, the literature has scarcely traced that chain end to end. Hence in policy discussion, two seemingly contradictory urgencies co-exist:</w:t>
      </w:r>
      <w:r w:rsidRPr="006E14F4">
        <w:rPr>
          <w:rFonts w:ascii="Calibri" w:hAnsi="Calibri" w:cs="Calibri"/>
          <w:sz w:val="22"/>
          <w:szCs w:val="22"/>
        </w:rPr>
        <w:t xml:space="preserve"> </w:t>
      </w:r>
      <w:r w:rsidRPr="006E14F4">
        <w:rPr>
          <w:rFonts w:ascii="Calibri" w:hAnsi="Calibri" w:cs="Calibri"/>
          <w:sz w:val="22"/>
          <w:szCs w:val="22"/>
        </w:rPr>
        <w:t xml:space="preserve">oil shocks pass through to WPI, but they hardly shift the </w:t>
      </w:r>
      <w:r w:rsidRPr="006E14F4">
        <w:rPr>
          <w:rFonts w:ascii="Calibri" w:hAnsi="Calibri" w:cs="Calibri"/>
          <w:sz w:val="22"/>
          <w:szCs w:val="22"/>
        </w:rPr>
        <w:lastRenderedPageBreak/>
        <w:t>price index. Both are correct, just not for the same part of the chain. The real item that we still do not understand, then, is where the mechanism breaks down.</w:t>
      </w:r>
    </w:p>
    <w:p w:rsidR="00502504" w:rsidRPr="006E14F4" w:rsidRDefault="006E14F4" w:rsidP="009711AA">
      <w:pPr>
        <w:pStyle w:val="NormalWeb"/>
        <w:spacing w:after="0" w:afterAutospacing="0" w:line="276" w:lineRule="auto"/>
        <w:jc w:val="both"/>
        <w:rPr>
          <w:rFonts w:ascii="Calibri" w:hAnsi="Calibri" w:cs="Calibri"/>
          <w:sz w:val="22"/>
          <w:szCs w:val="22"/>
        </w:rPr>
      </w:pPr>
      <w:r w:rsidRPr="006E14F4">
        <w:rPr>
          <w:rFonts w:ascii="Calibri" w:hAnsi="Calibri" w:cs="Calibri"/>
          <w:sz w:val="22"/>
          <w:szCs w:val="22"/>
        </w:rPr>
        <w:t>The paper answers this question by estimating price pass-through at four levels of the price system. The headline WPI series is constructed by chaining together four official base years (1981-82, 1993-94, 2004-05, 2011-12) into a single 528-observation monthly series spanning from April 1982 to March 2026, which is the longest historically consistent wholesale inflation horizon available for India as of now. The WPI Fuel and Power subindex is chained across three base years and is operational from April 1994 to March 2026. The retail fuel layer is the PPAC monthly Delhi retail selling price for petrol from August 2004 and onwards. The consumer endpoint is the headline CPI on the All-India 2010=100 base. The CPI Fuel and Light subgroup is also used as a shorter bridge series. Due to the CPI rebase after 2011, this bridge series is considered as supplementary evidence.</w:t>
      </w:r>
    </w:p>
    <w:p w:rsidR="009711AA" w:rsidRDefault="009711AA" w:rsidP="009711AA">
      <w:pPr>
        <w:spacing w:after="0" w:line="276" w:lineRule="auto"/>
      </w:pPr>
      <w:r w:rsidRPr="009711AA">
        <w:t xml:space="preserve">While developing this empirical strategy, we intentionally opted to define our research narrowly and limit the specifications to short-run asymmetrical models of the order of autoregressive distributed lag (ADL) in log differences. Each model comprised up to twelve of its lags, zero to six </w:t>
      </w:r>
      <w:proofErr w:type="spellStart"/>
      <w:r w:rsidRPr="009711AA">
        <w:t>lags</w:t>
      </w:r>
      <w:proofErr w:type="spellEnd"/>
      <w:r w:rsidRPr="009711AA">
        <w:t xml:space="preserve"> of the positive and negative oil change components, fixed month effects, and Newey-West HAC standard errors. Cumulative passthrough is presented as the sum of the positive (CPT+) and negative (CPT−) passthrough coefficients, and we report Wald tests for each of the sums as well as for the symmetry restriction CPT+ = CPT−. Finite sample inference is undertaken using a circular block bootstrap method based on a restricted-residuals, symmetry test. Along with this, we document a non-linear ARDL methodology in levels, which </w:t>
      </w:r>
      <w:proofErr w:type="spellStart"/>
      <w:r w:rsidRPr="009711AA">
        <w:t>Pesaran</w:t>
      </w:r>
      <w:proofErr w:type="spellEnd"/>
      <w:r w:rsidRPr="009711AA">
        <w:t xml:space="preserve"> et al. (2001) and Shin et al. (2014) have demonstrated, and we present this in the appendix as supplementary long-run evidence, as opposed to designating this as the core identification strategy of the paper.</w:t>
      </w:r>
    </w:p>
    <w:p w:rsidR="009711AA" w:rsidRDefault="00000000" w:rsidP="009711AA">
      <w:pPr>
        <w:spacing w:after="0"/>
        <w:ind w:left="1" w:right="23" w:firstLine="262"/>
      </w:pPr>
      <w:r>
        <w:t>The results support a clear layered reading. In the long historical sample, headline wholesale inflation responds to rupee oil shocks with CPT</w:t>
      </w:r>
      <w:r>
        <w:rPr>
          <w:rFonts w:ascii="Cambria" w:eastAsia="Cambria" w:hAnsi="Cambria" w:cs="Cambria"/>
          <w:vertAlign w:val="superscript"/>
        </w:rPr>
        <w:t xml:space="preserve">+ </w:t>
      </w:r>
      <w:r>
        <w:rPr>
          <w:rFonts w:ascii="Cambria" w:eastAsia="Cambria" w:hAnsi="Cambria" w:cs="Cambria"/>
        </w:rPr>
        <w:t xml:space="preserve">= </w:t>
      </w:r>
      <w:r>
        <w:t>0</w:t>
      </w:r>
      <w:r>
        <w:rPr>
          <w:rFonts w:ascii="Cambria" w:eastAsia="Cambria" w:hAnsi="Cambria" w:cs="Cambria"/>
          <w:i/>
        </w:rPr>
        <w:t>.</w:t>
      </w:r>
      <w:r>
        <w:t>030 (</w:t>
      </w:r>
      <w:r>
        <w:rPr>
          <w:i/>
        </w:rPr>
        <w:t xml:space="preserve">p </w:t>
      </w:r>
      <w:r>
        <w:rPr>
          <w:rFonts w:ascii="Cambria" w:eastAsia="Cambria" w:hAnsi="Cambria" w:cs="Cambria"/>
        </w:rPr>
        <w:t xml:space="preserve">= </w:t>
      </w:r>
      <w:r>
        <w:t>0</w:t>
      </w:r>
      <w:r>
        <w:rPr>
          <w:rFonts w:ascii="Cambria" w:eastAsia="Cambria" w:hAnsi="Cambria" w:cs="Cambria"/>
          <w:i/>
        </w:rPr>
        <w:t>.</w:t>
      </w:r>
      <w:r>
        <w:t>024) and CPT</w:t>
      </w:r>
      <w:r>
        <w:rPr>
          <w:rFonts w:ascii="Cambria" w:eastAsia="Cambria" w:hAnsi="Cambria" w:cs="Cambria"/>
          <w:vertAlign w:val="superscript"/>
        </w:rPr>
        <w:t xml:space="preserve">− </w:t>
      </w:r>
      <w:r>
        <w:rPr>
          <w:rFonts w:ascii="Cambria" w:eastAsia="Cambria" w:hAnsi="Cambria" w:cs="Cambria"/>
        </w:rPr>
        <w:t xml:space="preserve">= </w:t>
      </w:r>
      <w:r>
        <w:t>0</w:t>
      </w:r>
      <w:r>
        <w:rPr>
          <w:rFonts w:ascii="Cambria" w:eastAsia="Cambria" w:hAnsi="Cambria" w:cs="Cambria"/>
          <w:i/>
        </w:rPr>
        <w:t>.</w:t>
      </w:r>
      <w:r>
        <w:t>037 (</w:t>
      </w:r>
      <w:r>
        <w:rPr>
          <w:i/>
        </w:rPr>
        <w:t xml:space="preserve">p </w:t>
      </w:r>
      <w:r>
        <w:rPr>
          <w:rFonts w:ascii="Cambria" w:eastAsia="Cambria" w:hAnsi="Cambria" w:cs="Cambria"/>
        </w:rPr>
        <w:t xml:space="preserve">= </w:t>
      </w:r>
      <w:r>
        <w:t>0</w:t>
      </w:r>
      <w:r>
        <w:rPr>
          <w:rFonts w:ascii="Cambria" w:eastAsia="Cambria" w:hAnsi="Cambria" w:cs="Cambria"/>
          <w:i/>
        </w:rPr>
        <w:t>.</w:t>
      </w:r>
      <w:r>
        <w:t xml:space="preserve">001). These coefficients are small but precisely estimated, and asymmetry is not rejected (asymptotic </w:t>
      </w:r>
      <w:r>
        <w:rPr>
          <w:i/>
        </w:rPr>
        <w:t xml:space="preserve">p </w:t>
      </w:r>
      <w:r>
        <w:rPr>
          <w:rFonts w:ascii="Cambria" w:eastAsia="Cambria" w:hAnsi="Cambria" w:cs="Cambria"/>
        </w:rPr>
        <w:t xml:space="preserve">= </w:t>
      </w:r>
      <w:r>
        <w:t>0</w:t>
      </w:r>
      <w:r>
        <w:rPr>
          <w:rFonts w:ascii="Cambria" w:eastAsia="Cambria" w:hAnsi="Cambria" w:cs="Cambria"/>
          <w:i/>
        </w:rPr>
        <w:t>.</w:t>
      </w:r>
      <w:r>
        <w:t xml:space="preserve">673, bootstrap </w:t>
      </w:r>
      <w:r>
        <w:rPr>
          <w:i/>
        </w:rPr>
        <w:t xml:space="preserve">p </w:t>
      </w:r>
      <w:r>
        <w:rPr>
          <w:rFonts w:ascii="Cambria" w:eastAsia="Cambria" w:hAnsi="Cambria" w:cs="Cambria"/>
        </w:rPr>
        <w:t xml:space="preserve">= </w:t>
      </w:r>
      <w:r>
        <w:t>0</w:t>
      </w:r>
      <w:r>
        <w:rPr>
          <w:rFonts w:ascii="Cambria" w:eastAsia="Cambria" w:hAnsi="Cambria" w:cs="Cambria"/>
          <w:i/>
        </w:rPr>
        <w:t>.</w:t>
      </w:r>
      <w:r>
        <w:t>746). Pre/post-2010 splits show that most of the headline signal is concentrated in the post-deregulation period, where CPT</w:t>
      </w:r>
      <w:r>
        <w:rPr>
          <w:rFonts w:ascii="Cambria" w:eastAsia="Cambria" w:hAnsi="Cambria" w:cs="Cambria"/>
          <w:vertAlign w:val="superscript"/>
        </w:rPr>
        <w:t xml:space="preserve">+ </w:t>
      </w:r>
      <w:r>
        <w:t>rises to 0</w:t>
      </w:r>
      <w:r>
        <w:rPr>
          <w:rFonts w:ascii="Cambria" w:eastAsia="Cambria" w:hAnsi="Cambria" w:cs="Cambria"/>
          <w:i/>
        </w:rPr>
        <w:t>.</w:t>
      </w:r>
      <w:r>
        <w:t>074 and CPT</w:t>
      </w:r>
      <w:r>
        <w:rPr>
          <w:rFonts w:ascii="Cambria" w:eastAsia="Cambria" w:hAnsi="Cambria" w:cs="Cambria"/>
          <w:vertAlign w:val="superscript"/>
        </w:rPr>
        <w:t xml:space="preserve">− </w:t>
      </w:r>
      <w:r>
        <w:t>to 0</w:t>
      </w:r>
      <w:r>
        <w:rPr>
          <w:rFonts w:ascii="Cambria" w:eastAsia="Cambria" w:hAnsi="Cambria" w:cs="Cambria"/>
          <w:i/>
        </w:rPr>
        <w:t>.</w:t>
      </w:r>
      <w:r>
        <w:t>081. At the fuel-sensitive layer, the magnitudes change substantially. WPI Fuel and Power has CPT</w:t>
      </w:r>
      <w:r>
        <w:rPr>
          <w:rFonts w:ascii="Cambria" w:eastAsia="Cambria" w:hAnsi="Cambria" w:cs="Cambria"/>
          <w:vertAlign w:val="superscript"/>
        </w:rPr>
        <w:t>+</w:t>
      </w:r>
      <w:r>
        <w:rPr>
          <w:rFonts w:ascii="Cambria" w:eastAsia="Cambria" w:hAnsi="Cambria" w:cs="Cambria"/>
        </w:rPr>
        <w:t xml:space="preserve">= </w:t>
      </w:r>
      <w:r>
        <w:t>0</w:t>
      </w:r>
      <w:r>
        <w:rPr>
          <w:rFonts w:ascii="Cambria" w:eastAsia="Cambria" w:hAnsi="Cambria" w:cs="Cambria"/>
          <w:i/>
        </w:rPr>
        <w:t>.</w:t>
      </w:r>
      <w:r>
        <w:t>287 and CPT</w:t>
      </w:r>
      <w:r>
        <w:rPr>
          <w:rFonts w:ascii="Cambria" w:eastAsia="Cambria" w:hAnsi="Cambria" w:cs="Cambria"/>
          <w:vertAlign w:val="superscript"/>
        </w:rPr>
        <w:t xml:space="preserve">− </w:t>
      </w:r>
      <w:r>
        <w:rPr>
          <w:rFonts w:ascii="Cambria" w:eastAsia="Cambria" w:hAnsi="Cambria" w:cs="Cambria"/>
        </w:rPr>
        <w:t xml:space="preserve">= </w:t>
      </w:r>
      <w:r>
        <w:t>0</w:t>
      </w:r>
      <w:r>
        <w:rPr>
          <w:rFonts w:ascii="Cambria" w:eastAsia="Cambria" w:hAnsi="Cambria" w:cs="Cambria"/>
          <w:i/>
        </w:rPr>
        <w:t>.</w:t>
      </w:r>
      <w:r>
        <w:t xml:space="preserve">268, both with </w:t>
      </w:r>
      <w:r>
        <w:rPr>
          <w:i/>
        </w:rPr>
        <w:t xml:space="preserve">p </w:t>
      </w:r>
      <w:r>
        <w:rPr>
          <w:rFonts w:ascii="Cambria" w:eastAsia="Cambria" w:hAnsi="Cambria" w:cs="Cambria"/>
          <w:i/>
        </w:rPr>
        <w:t xml:space="preserve">&lt; </w:t>
      </w:r>
      <w:r>
        <w:t>0</w:t>
      </w:r>
      <w:r>
        <w:rPr>
          <w:rFonts w:ascii="Cambria" w:eastAsia="Cambria" w:hAnsi="Cambria" w:cs="Cambria"/>
          <w:i/>
        </w:rPr>
        <w:t>.</w:t>
      </w:r>
      <w:r>
        <w:t>001. PPAC retail petrol responds even more strongly, with CPT</w:t>
      </w:r>
      <w:r>
        <w:rPr>
          <w:rFonts w:ascii="Cambria" w:eastAsia="Cambria" w:hAnsi="Cambria" w:cs="Cambria"/>
          <w:vertAlign w:val="superscript"/>
        </w:rPr>
        <w:t>+</w:t>
      </w:r>
      <w:r>
        <w:rPr>
          <w:rFonts w:ascii="Cambria" w:eastAsia="Cambria" w:hAnsi="Cambria" w:cs="Cambria"/>
        </w:rPr>
        <w:t xml:space="preserve">= </w:t>
      </w:r>
      <w:r>
        <w:t>0</w:t>
      </w:r>
      <w:r>
        <w:rPr>
          <w:rFonts w:ascii="Cambria" w:eastAsia="Cambria" w:hAnsi="Cambria" w:cs="Cambria"/>
          <w:i/>
        </w:rPr>
        <w:t>.</w:t>
      </w:r>
      <w:r>
        <w:t>346 and CPT</w:t>
      </w:r>
      <w:r>
        <w:rPr>
          <w:rFonts w:ascii="Cambria" w:eastAsia="Cambria" w:hAnsi="Cambria" w:cs="Cambria"/>
          <w:vertAlign w:val="superscript"/>
        </w:rPr>
        <w:t xml:space="preserve">− </w:t>
      </w:r>
      <w:r>
        <w:rPr>
          <w:rFonts w:ascii="Cambria" w:eastAsia="Cambria" w:hAnsi="Cambria" w:cs="Cambria"/>
        </w:rPr>
        <w:t xml:space="preserve">= </w:t>
      </w:r>
      <w:r>
        <w:t>0</w:t>
      </w:r>
      <w:r>
        <w:rPr>
          <w:rFonts w:ascii="Cambria" w:eastAsia="Cambria" w:hAnsi="Cambria" w:cs="Cambria"/>
          <w:i/>
        </w:rPr>
        <w:t>.</w:t>
      </w:r>
      <w:r>
        <w:t>191 on a 245-month sample beginning in August 2004. By contrast, once the shock reaches headline CPI, the cumulative effect is very small: CPT</w:t>
      </w:r>
      <w:r>
        <w:rPr>
          <w:rFonts w:ascii="Cambria" w:eastAsia="Cambria" w:hAnsi="Cambria" w:cs="Cambria"/>
          <w:vertAlign w:val="superscript"/>
        </w:rPr>
        <w:t>+</w:t>
      </w:r>
      <w:r>
        <w:rPr>
          <w:rFonts w:ascii="Cambria" w:eastAsia="Cambria" w:hAnsi="Cambria" w:cs="Cambria"/>
        </w:rPr>
        <w:t xml:space="preserve">= </w:t>
      </w:r>
      <w:r>
        <w:t>0</w:t>
      </w:r>
      <w:r>
        <w:rPr>
          <w:rFonts w:ascii="Cambria" w:eastAsia="Cambria" w:hAnsi="Cambria" w:cs="Cambria"/>
          <w:i/>
        </w:rPr>
        <w:t>.</w:t>
      </w:r>
      <w:r>
        <w:t xml:space="preserve">021 with </w:t>
      </w:r>
      <w:r>
        <w:rPr>
          <w:i/>
        </w:rPr>
        <w:t>p</w:t>
      </w:r>
      <w:r>
        <w:rPr>
          <w:rFonts w:ascii="Cambria" w:eastAsia="Cambria" w:hAnsi="Cambria" w:cs="Cambria"/>
        </w:rPr>
        <w:t xml:space="preserve">= </w:t>
      </w:r>
      <w:r>
        <w:t>0</w:t>
      </w:r>
      <w:r>
        <w:rPr>
          <w:rFonts w:ascii="Cambria" w:eastAsia="Cambria" w:hAnsi="Cambria" w:cs="Cambria"/>
          <w:i/>
        </w:rPr>
        <w:t>.</w:t>
      </w:r>
      <w:r>
        <w:t>122, while CPT</w:t>
      </w:r>
      <w:r>
        <w:rPr>
          <w:rFonts w:ascii="Cambria" w:eastAsia="Cambria" w:hAnsi="Cambria" w:cs="Cambria"/>
          <w:vertAlign w:val="superscript"/>
        </w:rPr>
        <w:t xml:space="preserve">− </w:t>
      </w:r>
      <w:r>
        <w:t>is effectively zero (</w:t>
      </w:r>
      <w:r>
        <w:rPr>
          <w:i/>
        </w:rPr>
        <w:t>p</w:t>
      </w:r>
      <w:r>
        <w:rPr>
          <w:rFonts w:ascii="Cambria" w:eastAsia="Cambria" w:hAnsi="Cambria" w:cs="Cambria"/>
        </w:rPr>
        <w:t xml:space="preserve">= </w:t>
      </w:r>
      <w:r>
        <w:t>0</w:t>
      </w:r>
      <w:r>
        <w:rPr>
          <w:rFonts w:ascii="Cambria" w:eastAsia="Cambria" w:hAnsi="Cambria" w:cs="Cambria"/>
          <w:i/>
        </w:rPr>
        <w:t>.</w:t>
      </w:r>
      <w:r>
        <w:t>94). In other words, much of the upstream movement is absorbed before it reaches the consumer aggregate.</w:t>
      </w:r>
    </w:p>
    <w:p w:rsidR="009711AA" w:rsidRDefault="009711AA" w:rsidP="009711AA">
      <w:pPr>
        <w:spacing w:after="0" w:line="276" w:lineRule="auto"/>
        <w:ind w:left="1" w:right="23"/>
      </w:pPr>
      <w:r>
        <w:t xml:space="preserve">            </w:t>
      </w:r>
      <w:r>
        <w:t>This paper has three main contributions. First, it offers an integrated map of the attenuation and survival oil-price signal, providing a more holistic understanding than the existing literature that views WPI and CPI as competing answers to the same problem. Second, the main pass-through estimate has a 43-year window and this is anchored by the long historical wholesale sample. This is a significant contribution to the literature on India as it is common to see studies that conclude in the 2010s. Third, the paper provides a new lens to the asymmetry question. While short-run asymmetry is tested, and is an empirical feature of the data, it in fact the most robust feature. The empirical feature of asymmetry in this data is the more stable result of attenuation across layers. This contribution is more about integration and comparative mapping than it is about a novel approach and the argument is constructed in this manner.</w:t>
      </w:r>
    </w:p>
    <w:p w:rsidR="00502504" w:rsidRDefault="009711AA" w:rsidP="009711AA">
      <w:pPr>
        <w:spacing w:after="0" w:line="276" w:lineRule="auto"/>
        <w:ind w:left="1" w:right="23"/>
      </w:pPr>
      <w:r>
        <w:t xml:space="preserve">     </w:t>
      </w:r>
      <w:r>
        <w:t xml:space="preserve">The remainder of the paper is structured as follows: Section 2 outlines the institutional background and situates the paper in the literature. Section 3 provides the data and discusses the empirical </w:t>
      </w:r>
      <w:r>
        <w:lastRenderedPageBreak/>
        <w:t>approach. Section 4 offers the historical wholesale findings. Section 5 discusses the mechanism as well as omission and attenuation across the four layers. Section 6 covers the robustness checks and provides a summary of the results from the NARDL appendix.</w:t>
      </w:r>
      <w:r>
        <w:t xml:space="preserve"> </w:t>
      </w:r>
      <w:r>
        <w:t>Section 7 offers the main policy interpretation as a conclusion.</w:t>
      </w:r>
    </w:p>
    <w:p w:rsidR="001A093E" w:rsidRDefault="001A093E" w:rsidP="009711AA">
      <w:pPr>
        <w:spacing w:after="0" w:line="276" w:lineRule="auto"/>
        <w:ind w:left="1" w:right="23"/>
      </w:pPr>
    </w:p>
    <w:p w:rsidR="00502504" w:rsidRDefault="00000000" w:rsidP="009711AA">
      <w:pPr>
        <w:pStyle w:val="Heading1"/>
        <w:spacing w:after="0"/>
        <w:ind w:left="431" w:hanging="430"/>
      </w:pPr>
      <w:r>
        <w:t>Institutional background and focused literature</w:t>
      </w:r>
    </w:p>
    <w:p w:rsidR="00502504" w:rsidRDefault="001A093E" w:rsidP="001A093E">
      <w:r w:rsidRPr="001A093E">
        <w:t>There are two features of India's economy that define how oil crises affect inflation in the economy. First, look at the foreign exchange market. Oil is priced in dollars, and subsequently, India pays for oil in dollars. Therefore, the price of oil in rupees is equal to the price of oil in dollars times the rupee to dollar exchange rate. A depreciating rupee results in higher inflation, while a constant price of oil in dollars results in the same effect in a world where the price of oil is increasing. Second, the structure of pricing in India also impacts the refinements in the oil. India operated a price mechanism that first regulated the price of oil and subsided the price oil. The petrol price changed in June 2010, and the price of diesel changed in October 2014.</w:t>
      </w:r>
    </w:p>
    <w:p w:rsidR="00502504" w:rsidRDefault="001A093E" w:rsidP="009711AA">
      <w:pPr>
        <w:spacing w:after="0"/>
        <w:ind w:left="1" w:right="23" w:firstLine="262"/>
      </w:pPr>
      <w:r w:rsidRPr="001A093E">
        <w:t xml:space="preserve">When considered together, these characteristics are supportive of a tiered throughput. Within a more market-oriented retail fuel environment, an oil shock is expected to be fully transmitted through to petrol and diesel prices fairly promptly; to then multiply through to fuel-intensive components of the wholesale and consumer indices; and to top it off and flow through to headline inflation depending on the fuel share of the relevant basket and co-movement of non-fuel items. Within a more controlled environment, the shock is expected to be almost entirely blocked at the retail stage and release its energy gradually through subsidy/tax adjustments. The </w:t>
      </w:r>
      <w:proofErr w:type="gramStart"/>
      <w:r w:rsidRPr="001A093E">
        <w:t>pre</w:t>
      </w:r>
      <w:proofErr w:type="gramEnd"/>
      <w:r w:rsidRPr="001A093E">
        <w:t xml:space="preserve"> and post-2010 subsamples thus provide a neat institutional benchmark against which the question of deregulation facilitating a more open pass-through chain might be assessed.</w:t>
      </w:r>
    </w:p>
    <w:p w:rsidR="00A816F1" w:rsidRPr="00A816F1" w:rsidRDefault="00A816F1" w:rsidP="00A816F1">
      <w:pPr>
        <w:spacing w:after="0"/>
        <w:ind w:left="1" w:right="23" w:firstLine="270"/>
      </w:pPr>
      <w:r w:rsidRPr="00A816F1">
        <w:t xml:space="preserve">The existing literature on oil pass-through in India provides some preliminary insights into this institutional setting. Early research used linear VAR and cointegration techniques to find that, in general, WPI pass-through coefficients were low but statistically significant (Bhoi et al., 2012; </w:t>
      </w:r>
      <w:proofErr w:type="spellStart"/>
      <w:r w:rsidRPr="00A816F1">
        <w:t>Bhanumurthy</w:t>
      </w:r>
      <w:proofErr w:type="spellEnd"/>
      <w:r w:rsidRPr="00A816F1">
        <w:t xml:space="preserve"> et al., 2012). Building on this, a second set of studies employed NARDL models to examine the presence of asymmetric pass-through. Chattopadhyay and Mitra (2015) and Pal and Mitra (2016) found evidence of asymmetries in oil product prices, with asymmetries being more pronounced in cases where market-based pricing was prevalent. Pandey and </w:t>
      </w:r>
      <w:proofErr w:type="spellStart"/>
      <w:r w:rsidRPr="00A816F1">
        <w:t>Shettigar</w:t>
      </w:r>
      <w:proofErr w:type="spellEnd"/>
      <w:r w:rsidRPr="00A816F1">
        <w:t xml:space="preserve"> (2019) estimated partial pass-through coefficients from crude to retail fuel prices for the earlier post-deregulation period. Pradeep (2022) examined the diesel deregulation and, post-reform, found evidence of stronger asymmetric pass-through to both the disaggregated wholesale and consumer prices. </w:t>
      </w:r>
      <w:proofErr w:type="spellStart"/>
      <w:r w:rsidRPr="00A816F1">
        <w:t>Deheri</w:t>
      </w:r>
      <w:proofErr w:type="spellEnd"/>
      <w:r w:rsidRPr="00A816F1">
        <w:t xml:space="preserve"> and Carmel (2024) also confirmed asymmetric pass-through from the crude to retail fuel. In addition to these studies, there are two other research projects that are particularly pertinent to our current application. Suresh et al. (2026) estimated a NARDL model for Indian wholesale fuel prices, finding that while asymmetry prevailed in the long-run, the short-run asymmetry was relatively weak—a pattern that qualitatively aligns with our supplementary appendix findings. Sek (2019) presented cross-country panel estimates that revealed that the pass-through gap between the WPI and CPI is wider in fuel-importing economies.</w:t>
      </w:r>
    </w:p>
    <w:p w:rsidR="00502504" w:rsidRDefault="00502504" w:rsidP="009711AA">
      <w:pPr>
        <w:spacing w:after="0"/>
        <w:ind w:left="1" w:right="23" w:firstLine="270"/>
      </w:pPr>
    </w:p>
    <w:p w:rsidR="00A816F1" w:rsidRDefault="00A816F1" w:rsidP="00A816F1">
      <w:pPr>
        <w:spacing w:after="0"/>
        <w:ind w:left="1" w:right="23" w:firstLine="262"/>
      </w:pPr>
      <w:r>
        <w:lastRenderedPageBreak/>
        <w:t xml:space="preserve">What the literature still needs is a single empirical architecture that follows the complete chain from crude to headline CPI using uniform monthly data. Most papers write and estimate one pass-through family (NARDL, SVAR, or VECM), for one inflation metric, and one aspect of the transmission process. The literature has occasionally referred to the difference between headline and fuel-sensitive indices, but transition across these layers is seldom the primary focus of inference. The existing SVAR work of </w:t>
      </w:r>
      <w:proofErr w:type="spellStart"/>
      <w:r>
        <w:t>Sadath</w:t>
      </w:r>
      <w:proofErr w:type="spellEnd"/>
      <w:r>
        <w:t xml:space="preserve"> and Acharya (2021) comes closest to a layered macro framing, though their paper is more concerned with output dynamics than with pricing mechanisms. This paper’s contribution is thus more architectural than methodological. We retain the short-run asymmetric ADL as our primary workhorse, relegate the NARDL to the appendix, and take the difference between sub-sample estimates of pass-through rates across layers as our main substantive result.</w:t>
      </w:r>
    </w:p>
    <w:p w:rsidR="00502504" w:rsidRDefault="00A816F1" w:rsidP="009711AA">
      <w:pPr>
        <w:spacing w:after="0"/>
        <w:ind w:left="1" w:right="23" w:firstLine="262"/>
      </w:pPr>
      <w:r>
        <w:t>A methodological point is in order. Some pass-through papers in the Indian context have treated headline WPI as a proxy for upstream or input-cost inflation, headline CPI as a proxy for demand-driven, household-facing inflation, and the implied difference in pass through between the two as a market test of the producer pricing vs. consumer pricing model. This paper does not raise those questions in exactly that manner because we do not treat WPI as a proxy for one form of inflation and CPI as a proxy for another. They are in a counting sense different. WPI gives more weight to inputs with a short pipeline to final demand and to globally traded goods and is therefore more informative if the question is how soon an oil price rise enters the price system or the degree to which early pressure comes from imported input prices. CPI gives more weight to goods and services facing the consumer at the retail level and is therefore a better guide to the cost for the typical Indian household. They are not perfect measures of either type of inflation but good approximations in a world with a few dozen goods and services subject to administrative price setting. Studying them jointly, as we do here, still allows deduction along these lines.</w:t>
      </w:r>
    </w:p>
    <w:p w:rsidR="00502504" w:rsidRDefault="00000000" w:rsidP="009711AA">
      <w:pPr>
        <w:pStyle w:val="Heading1"/>
        <w:spacing w:after="0"/>
        <w:ind w:left="431" w:hanging="430"/>
      </w:pPr>
      <w:r>
        <w:t>Data and empirical strategy</w:t>
      </w:r>
    </w:p>
    <w:p w:rsidR="00502504" w:rsidRDefault="00091037" w:rsidP="009711AA">
      <w:pPr>
        <w:spacing w:after="0"/>
        <w:ind w:left="1" w:right="23"/>
      </w:pPr>
      <w:r w:rsidRPr="00091037">
        <w:t xml:space="preserve">The dataset is built on a monthly time frame. Rupee per US dollar is INR/USD. Brent crude in US dollars per barrel comes from the World Bank Commodity Markets Pink Sheet. The INR/USD spot rate comes from FRED (series EXINUS). The rupee oil price is constructed as the product of Brent and EXR. The inflation series is the Wholesale Price Index (WPI) based in India.1 Both headline WPI and the WPI Fuel and Power subindex are constructed by chain linking the four official OEA base series (1981–82, 1993–94, 2004–05 and 2011–12) from the Office of the Economic Adviser (OEA) under the Department for Promotion of Industry and Internal Trade on the Indian Ministry of Commerce. All series are re-based to 2011–12 = 100. The eight official linking factors and the 1982 linking factor are the linking factors. Headline WPI with Fuel and Power thus forms the current month’s and last three months’ official series (2011–12 = 100) as well as the implementing month’s series. The retail fuel layer is </w:t>
      </w:r>
      <w:proofErr w:type="spellStart"/>
      <w:r w:rsidRPr="00091037">
        <w:t>PPAC.ucing</w:t>
      </w:r>
      <w:proofErr w:type="spellEnd"/>
      <w:r w:rsidRPr="00091037">
        <w:t xml:space="preserve"> date for fuel. The monthly PPAC is the public sector Enterprise Planning and Analysis Cell’s (2016) release on Trends in International Prices of Selected Petroleum Products. The retail fuel layer is the PPAC monthly Delhi retail selling price for petrol. The monthly supplier price of major-oil-company-owned stations for all of India is the relevant pricing date. The oil component CPI sub index is the CPI Fuel and Light subgroup starting with the 2011–12 series. The consumer endpoint is the All-India headline CPI series. After inner joins on common dates, the active estimation samples (i.e. setting</w:t>
      </w:r>
      <w:r>
        <w:t>s</w:t>
      </w:r>
      <w:r w:rsidRPr="00091037">
        <w:t xml:space="preserve"> endpoints to null to gain </w:t>
      </w:r>
      <w:r w:rsidRPr="00091037">
        <w:lastRenderedPageBreak/>
        <w:t xml:space="preserve">consistent beginning and ending dates) cover roughly 43 years for headline WPI, 31 years for WPI Fuel and Power, and 20 years for the PPAC and CPI specifications. Table 1 </w:t>
      </w:r>
      <w:proofErr w:type="spellStart"/>
      <w:r w:rsidRPr="00091037">
        <w:t>summarises</w:t>
      </w:r>
      <w:proofErr w:type="spellEnd"/>
      <w:r w:rsidRPr="00091037">
        <w:t xml:space="preserve"> the series</w:t>
      </w:r>
      <w:r w:rsidR="00000000">
        <w:t>.</w:t>
      </w:r>
    </w:p>
    <w:p w:rsidR="00502504" w:rsidRDefault="00000000" w:rsidP="009711AA">
      <w:pPr>
        <w:spacing w:after="0"/>
        <w:ind w:left="1" w:right="23" w:firstLine="262"/>
      </w:pPr>
      <w:r>
        <w:t>All series are converted to month-on-month log differences. Let ∆</w:t>
      </w:r>
      <w:proofErr w:type="spellStart"/>
      <w:r>
        <w:rPr>
          <w:i/>
        </w:rPr>
        <w:t>y</w:t>
      </w:r>
      <w:r>
        <w:rPr>
          <w:i/>
          <w:vertAlign w:val="subscript"/>
        </w:rPr>
        <w:t>t</w:t>
      </w:r>
      <w:proofErr w:type="spellEnd"/>
      <w:r>
        <w:rPr>
          <w:i/>
          <w:vertAlign w:val="subscript"/>
        </w:rPr>
        <w:t xml:space="preserve"> </w:t>
      </w:r>
      <w:r>
        <w:rPr>
          <w:rFonts w:ascii="Cambria" w:eastAsia="Cambria" w:hAnsi="Cambria" w:cs="Cambria"/>
        </w:rPr>
        <w:t xml:space="preserve">= </w:t>
      </w:r>
      <w:proofErr w:type="spellStart"/>
      <w:r>
        <w:t>ln</w:t>
      </w:r>
      <w:r>
        <w:rPr>
          <w:i/>
        </w:rPr>
        <w:t>Y</w:t>
      </w:r>
      <w:r>
        <w:rPr>
          <w:i/>
          <w:vertAlign w:val="subscript"/>
        </w:rPr>
        <w:t>t</w:t>
      </w:r>
      <w:proofErr w:type="spellEnd"/>
      <w:r>
        <w:rPr>
          <w:i/>
          <w:vertAlign w:val="subscript"/>
        </w:rPr>
        <w:t xml:space="preserve"> </w:t>
      </w:r>
      <w:r>
        <w:rPr>
          <w:rFonts w:ascii="Cambria" w:eastAsia="Cambria" w:hAnsi="Cambria" w:cs="Cambria"/>
        </w:rPr>
        <w:t xml:space="preserve">− </w:t>
      </w:r>
      <w:r>
        <w:t>ln</w:t>
      </w:r>
      <w:r>
        <w:rPr>
          <w:i/>
        </w:rPr>
        <w:t>Y</w:t>
      </w:r>
      <w:r>
        <w:rPr>
          <w:i/>
          <w:vertAlign w:val="subscript"/>
        </w:rPr>
        <w:t>t</w:t>
      </w:r>
      <w:r>
        <w:rPr>
          <w:rFonts w:ascii="Cambria" w:eastAsia="Cambria" w:hAnsi="Cambria" w:cs="Cambria"/>
          <w:vertAlign w:val="subscript"/>
        </w:rPr>
        <w:t>−</w:t>
      </w:r>
      <w:r>
        <w:rPr>
          <w:vertAlign w:val="subscript"/>
        </w:rPr>
        <w:t xml:space="preserve">1 </w:t>
      </w:r>
      <w:r>
        <w:t>and ∆</w:t>
      </w:r>
      <w:proofErr w:type="spellStart"/>
      <w:r>
        <w:rPr>
          <w:i/>
        </w:rPr>
        <w:t>x</w:t>
      </w:r>
      <w:r>
        <w:rPr>
          <w:i/>
          <w:vertAlign w:val="subscript"/>
        </w:rPr>
        <w:t>t</w:t>
      </w:r>
      <w:proofErr w:type="spellEnd"/>
      <w:r>
        <w:rPr>
          <w:i/>
          <w:vertAlign w:val="subscript"/>
        </w:rPr>
        <w:t xml:space="preserve"> </w:t>
      </w:r>
      <w:r>
        <w:rPr>
          <w:rFonts w:ascii="Cambria" w:eastAsia="Cambria" w:hAnsi="Cambria" w:cs="Cambria"/>
        </w:rPr>
        <w:t xml:space="preserve">= </w:t>
      </w:r>
      <w:proofErr w:type="spellStart"/>
      <w:r>
        <w:t>ln</w:t>
      </w:r>
      <w:r>
        <w:rPr>
          <w:i/>
        </w:rPr>
        <w:t>X</w:t>
      </w:r>
      <w:r>
        <w:rPr>
          <w:i/>
          <w:vertAlign w:val="subscript"/>
        </w:rPr>
        <w:t>t</w:t>
      </w:r>
      <w:proofErr w:type="spellEnd"/>
      <w:r>
        <w:rPr>
          <w:i/>
          <w:vertAlign w:val="subscript"/>
        </w:rPr>
        <w:t xml:space="preserve"> </w:t>
      </w:r>
      <w:r>
        <w:rPr>
          <w:rFonts w:ascii="Cambria" w:eastAsia="Cambria" w:hAnsi="Cambria" w:cs="Cambria"/>
        </w:rPr>
        <w:t>−</w:t>
      </w:r>
      <w:r>
        <w:t>ln</w:t>
      </w:r>
      <w:r>
        <w:rPr>
          <w:i/>
        </w:rPr>
        <w:t>X</w:t>
      </w:r>
      <w:r>
        <w:rPr>
          <w:i/>
          <w:vertAlign w:val="subscript"/>
        </w:rPr>
        <w:t>t</w:t>
      </w:r>
      <w:r>
        <w:rPr>
          <w:rFonts w:ascii="Cambria" w:eastAsia="Cambria" w:hAnsi="Cambria" w:cs="Cambria"/>
          <w:vertAlign w:val="subscript"/>
        </w:rPr>
        <w:t>−</w:t>
      </w:r>
      <w:r>
        <w:rPr>
          <w:vertAlign w:val="subscript"/>
        </w:rPr>
        <w:t xml:space="preserve">1 </w:t>
      </w:r>
      <w:r>
        <w:t xml:space="preserve">where </w:t>
      </w:r>
      <w:proofErr w:type="spellStart"/>
      <w:r>
        <w:rPr>
          <w:i/>
        </w:rPr>
        <w:t>X</w:t>
      </w:r>
      <w:r>
        <w:rPr>
          <w:i/>
          <w:vertAlign w:val="subscript"/>
        </w:rPr>
        <w:t>t</w:t>
      </w:r>
      <w:proofErr w:type="spellEnd"/>
      <w:r>
        <w:rPr>
          <w:i/>
          <w:vertAlign w:val="subscript"/>
        </w:rPr>
        <w:t xml:space="preserve"> </w:t>
      </w:r>
      <w:r>
        <w:t>denotes the relevant oil measure. The asymmetric oil change is decomposed into a positive and a negative part:</w:t>
      </w:r>
    </w:p>
    <w:p w:rsidR="00502504" w:rsidRDefault="00000000" w:rsidP="009711AA">
      <w:pPr>
        <w:tabs>
          <w:tab w:val="center" w:pos="3456"/>
          <w:tab w:val="center" w:pos="5621"/>
          <w:tab w:val="right" w:pos="9080"/>
        </w:tabs>
        <w:spacing w:after="0" w:line="259" w:lineRule="auto"/>
        <w:ind w:left="0"/>
        <w:jc w:val="left"/>
      </w:pPr>
      <w:r>
        <w:tab/>
      </w:r>
      <w:r>
        <w:rPr>
          <w:noProof/>
        </w:rPr>
        <w:drawing>
          <wp:inline distT="0" distB="0" distL="0" distR="0">
            <wp:extent cx="1045464" cy="155448"/>
            <wp:effectExtent l="0" t="0" r="0" b="0"/>
            <wp:docPr id="28711" name="Picture 28711"/>
            <wp:cNvGraphicFramePr/>
            <a:graphic xmlns:a="http://schemas.openxmlformats.org/drawingml/2006/main">
              <a:graphicData uri="http://schemas.openxmlformats.org/drawingml/2006/picture">
                <pic:pic xmlns:pic="http://schemas.openxmlformats.org/drawingml/2006/picture">
                  <pic:nvPicPr>
                    <pic:cNvPr id="28711" name="Picture 28711"/>
                    <pic:cNvPicPr/>
                  </pic:nvPicPr>
                  <pic:blipFill>
                    <a:blip r:embed="rId7"/>
                    <a:stretch>
                      <a:fillRect/>
                    </a:stretch>
                  </pic:blipFill>
                  <pic:spPr>
                    <a:xfrm>
                      <a:off x="0" y="0"/>
                      <a:ext cx="1045464" cy="155448"/>
                    </a:xfrm>
                    <a:prstGeom prst="rect">
                      <a:avLst/>
                    </a:prstGeom>
                  </pic:spPr>
                </pic:pic>
              </a:graphicData>
            </a:graphic>
          </wp:inline>
        </w:drawing>
      </w:r>
      <w:r>
        <w:rPr>
          <w:rFonts w:ascii="Cambria" w:eastAsia="Cambria" w:hAnsi="Cambria" w:cs="Cambria"/>
          <w:i/>
        </w:rPr>
        <w:t>,</w:t>
      </w:r>
      <w:r>
        <w:rPr>
          <w:rFonts w:ascii="Cambria" w:eastAsia="Cambria" w:hAnsi="Cambria" w:cs="Cambria"/>
          <w:i/>
        </w:rPr>
        <w:tab/>
      </w:r>
      <w:r>
        <w:rPr>
          <w:noProof/>
        </w:rPr>
        <w:drawing>
          <wp:inline distT="0" distB="0" distL="0" distR="0">
            <wp:extent cx="1024128" cy="143256"/>
            <wp:effectExtent l="0" t="0" r="0" b="0"/>
            <wp:docPr id="28710" name="Picture 28710"/>
            <wp:cNvGraphicFramePr/>
            <a:graphic xmlns:a="http://schemas.openxmlformats.org/drawingml/2006/main">
              <a:graphicData uri="http://schemas.openxmlformats.org/drawingml/2006/picture">
                <pic:pic xmlns:pic="http://schemas.openxmlformats.org/drawingml/2006/picture">
                  <pic:nvPicPr>
                    <pic:cNvPr id="28710" name="Picture 28710"/>
                    <pic:cNvPicPr/>
                  </pic:nvPicPr>
                  <pic:blipFill>
                    <a:blip r:embed="rId8"/>
                    <a:stretch>
                      <a:fillRect/>
                    </a:stretch>
                  </pic:blipFill>
                  <pic:spPr>
                    <a:xfrm>
                      <a:off x="0" y="0"/>
                      <a:ext cx="1024128" cy="143256"/>
                    </a:xfrm>
                    <a:prstGeom prst="rect">
                      <a:avLst/>
                    </a:prstGeom>
                  </pic:spPr>
                </pic:pic>
              </a:graphicData>
            </a:graphic>
          </wp:inline>
        </w:drawing>
      </w:r>
      <w:r>
        <w:rPr>
          <w:rFonts w:ascii="Cambria" w:eastAsia="Cambria" w:hAnsi="Cambria" w:cs="Cambria"/>
          <w:i/>
        </w:rPr>
        <w:t>.</w:t>
      </w:r>
      <w:r>
        <w:rPr>
          <w:rFonts w:ascii="Cambria" w:eastAsia="Cambria" w:hAnsi="Cambria" w:cs="Cambria"/>
          <w:i/>
        </w:rPr>
        <w:tab/>
      </w:r>
      <w:r>
        <w:t>(1)</w:t>
      </w:r>
    </w:p>
    <w:p w:rsidR="00502504" w:rsidRDefault="00000000" w:rsidP="009711AA">
      <w:pPr>
        <w:spacing w:after="0"/>
        <w:ind w:left="1" w:right="23"/>
      </w:pPr>
      <w:r>
        <w:t>The main estimating equation is the short-run asymmetric ADL</w:t>
      </w:r>
    </w:p>
    <w:p w:rsidR="00502504" w:rsidRDefault="00000000" w:rsidP="009711AA">
      <w:pPr>
        <w:tabs>
          <w:tab w:val="center" w:pos="4517"/>
          <w:tab w:val="right" w:pos="9080"/>
        </w:tabs>
        <w:spacing w:after="0" w:line="259" w:lineRule="auto"/>
        <w:ind w:left="0"/>
        <w:jc w:val="left"/>
      </w:pPr>
      <w:r>
        <w:tab/>
      </w:r>
      <w:r>
        <w:rPr>
          <w:noProof/>
        </w:rPr>
        <w:drawing>
          <wp:inline distT="0" distB="0" distL="0" distR="0">
            <wp:extent cx="3739896" cy="280416"/>
            <wp:effectExtent l="0" t="0" r="0" b="0"/>
            <wp:docPr id="28712" name="Picture 28712"/>
            <wp:cNvGraphicFramePr/>
            <a:graphic xmlns:a="http://schemas.openxmlformats.org/drawingml/2006/main">
              <a:graphicData uri="http://schemas.openxmlformats.org/drawingml/2006/picture">
                <pic:pic xmlns:pic="http://schemas.openxmlformats.org/drawingml/2006/picture">
                  <pic:nvPicPr>
                    <pic:cNvPr id="28712" name="Picture 28712"/>
                    <pic:cNvPicPr/>
                  </pic:nvPicPr>
                  <pic:blipFill>
                    <a:blip r:embed="rId9"/>
                    <a:stretch>
                      <a:fillRect/>
                    </a:stretch>
                  </pic:blipFill>
                  <pic:spPr>
                    <a:xfrm>
                      <a:off x="0" y="0"/>
                      <a:ext cx="3739896" cy="280416"/>
                    </a:xfrm>
                    <a:prstGeom prst="rect">
                      <a:avLst/>
                    </a:prstGeom>
                  </pic:spPr>
                </pic:pic>
              </a:graphicData>
            </a:graphic>
          </wp:inline>
        </w:drawing>
      </w:r>
      <w:r>
        <w:rPr>
          <w:rFonts w:ascii="Cambria" w:eastAsia="Cambria" w:hAnsi="Cambria" w:cs="Cambria"/>
          <w:i/>
        </w:rPr>
        <w:t>,</w:t>
      </w:r>
      <w:r>
        <w:rPr>
          <w:rFonts w:ascii="Cambria" w:eastAsia="Cambria" w:hAnsi="Cambria" w:cs="Cambria"/>
          <w:i/>
        </w:rPr>
        <w:tab/>
      </w:r>
      <w:r>
        <w:t>(2)</w:t>
      </w:r>
    </w:p>
    <w:p w:rsidR="00502504" w:rsidRDefault="00000000" w:rsidP="009711AA">
      <w:pPr>
        <w:tabs>
          <w:tab w:val="center" w:pos="2604"/>
          <w:tab w:val="center" w:pos="3760"/>
          <w:tab w:val="center" w:pos="5058"/>
        </w:tabs>
        <w:spacing w:after="0" w:line="259" w:lineRule="auto"/>
        <w:ind w:left="0"/>
        <w:jc w:val="left"/>
      </w:pPr>
      <w:r>
        <w:tab/>
      </w:r>
      <w:proofErr w:type="spellStart"/>
      <w:r>
        <w:rPr>
          <w:i/>
          <w:sz w:val="16"/>
        </w:rPr>
        <w:t>i</w:t>
      </w:r>
      <w:proofErr w:type="spellEnd"/>
      <w:r>
        <w:rPr>
          <w:rFonts w:ascii="Cambria" w:eastAsia="Cambria" w:hAnsi="Cambria" w:cs="Cambria"/>
          <w:sz w:val="16"/>
        </w:rPr>
        <w:t>=</w:t>
      </w:r>
      <w:r>
        <w:rPr>
          <w:sz w:val="16"/>
        </w:rPr>
        <w:t>1</w:t>
      </w:r>
      <w:r>
        <w:rPr>
          <w:sz w:val="16"/>
        </w:rPr>
        <w:tab/>
      </w:r>
      <w:r>
        <w:rPr>
          <w:i/>
          <w:sz w:val="16"/>
        </w:rPr>
        <w:t>j</w:t>
      </w:r>
      <w:r>
        <w:rPr>
          <w:rFonts w:ascii="Cambria" w:eastAsia="Cambria" w:hAnsi="Cambria" w:cs="Cambria"/>
          <w:sz w:val="16"/>
        </w:rPr>
        <w:t>=</w:t>
      </w:r>
      <w:r>
        <w:rPr>
          <w:sz w:val="16"/>
        </w:rPr>
        <w:t>0</w:t>
      </w:r>
      <w:r>
        <w:rPr>
          <w:sz w:val="16"/>
        </w:rPr>
        <w:tab/>
      </w:r>
      <w:r>
        <w:rPr>
          <w:i/>
          <w:sz w:val="16"/>
        </w:rPr>
        <w:t>j</w:t>
      </w:r>
      <w:r>
        <w:rPr>
          <w:rFonts w:ascii="Cambria" w:eastAsia="Cambria" w:hAnsi="Cambria" w:cs="Cambria"/>
          <w:sz w:val="16"/>
        </w:rPr>
        <w:t>=</w:t>
      </w:r>
      <w:r>
        <w:rPr>
          <w:sz w:val="16"/>
        </w:rPr>
        <w:t>0</w:t>
      </w:r>
    </w:p>
    <w:p w:rsidR="00502504" w:rsidRDefault="00000000" w:rsidP="009711AA">
      <w:pPr>
        <w:spacing w:after="0" w:line="248" w:lineRule="auto"/>
        <w:ind w:left="10" w:right="28" w:hanging="10"/>
        <w:jc w:val="center"/>
      </w:pPr>
      <w:r>
        <w:rPr>
          <w:sz w:val="20"/>
        </w:rPr>
        <w:t>Table 1: Series, sources, transformations, and sample spans.</w:t>
      </w:r>
    </w:p>
    <w:tbl>
      <w:tblPr>
        <w:tblStyle w:val="TableGrid"/>
        <w:tblW w:w="7668" w:type="dxa"/>
        <w:tblInd w:w="695" w:type="dxa"/>
        <w:tblCellMar>
          <w:top w:w="28" w:type="dxa"/>
          <w:left w:w="0" w:type="dxa"/>
          <w:bottom w:w="0" w:type="dxa"/>
          <w:right w:w="115" w:type="dxa"/>
        </w:tblCellMar>
        <w:tblLook w:val="04A0" w:firstRow="1" w:lastRow="0" w:firstColumn="1" w:lastColumn="0" w:noHBand="0" w:noVBand="1"/>
      </w:tblPr>
      <w:tblGrid>
        <w:gridCol w:w="2166"/>
        <w:gridCol w:w="2654"/>
        <w:gridCol w:w="1067"/>
        <w:gridCol w:w="1781"/>
      </w:tblGrid>
      <w:tr w:rsidR="00502504">
        <w:trPr>
          <w:trHeight w:val="336"/>
        </w:trPr>
        <w:tc>
          <w:tcPr>
            <w:tcW w:w="2167" w:type="dxa"/>
            <w:tcBorders>
              <w:top w:val="single" w:sz="7" w:space="0" w:color="000000"/>
              <w:left w:val="nil"/>
              <w:bottom w:val="single" w:sz="4" w:space="0" w:color="000000"/>
              <w:right w:val="nil"/>
            </w:tcBorders>
          </w:tcPr>
          <w:p w:rsidR="00502504" w:rsidRDefault="00000000" w:rsidP="009711AA">
            <w:pPr>
              <w:spacing w:after="0" w:line="259" w:lineRule="auto"/>
              <w:ind w:left="80"/>
              <w:jc w:val="left"/>
            </w:pPr>
            <w:r>
              <w:rPr>
                <w:sz w:val="18"/>
              </w:rPr>
              <w:t>Series</w:t>
            </w:r>
          </w:p>
        </w:tc>
        <w:tc>
          <w:tcPr>
            <w:tcW w:w="2654" w:type="dxa"/>
            <w:tcBorders>
              <w:top w:val="single" w:sz="7" w:space="0" w:color="000000"/>
              <w:left w:val="nil"/>
              <w:bottom w:val="single" w:sz="4" w:space="0" w:color="000000"/>
              <w:right w:val="nil"/>
            </w:tcBorders>
          </w:tcPr>
          <w:p w:rsidR="00502504" w:rsidRDefault="00000000" w:rsidP="009711AA">
            <w:pPr>
              <w:spacing w:after="0" w:line="259" w:lineRule="auto"/>
              <w:ind w:left="0"/>
              <w:jc w:val="left"/>
            </w:pPr>
            <w:r>
              <w:rPr>
                <w:sz w:val="18"/>
              </w:rPr>
              <w:t>Source</w:t>
            </w:r>
          </w:p>
        </w:tc>
        <w:tc>
          <w:tcPr>
            <w:tcW w:w="1067" w:type="dxa"/>
            <w:tcBorders>
              <w:top w:val="single" w:sz="7" w:space="0" w:color="000000"/>
              <w:left w:val="nil"/>
              <w:bottom w:val="single" w:sz="4" w:space="0" w:color="000000"/>
              <w:right w:val="nil"/>
            </w:tcBorders>
          </w:tcPr>
          <w:p w:rsidR="00502504" w:rsidRDefault="00000000" w:rsidP="009711AA">
            <w:pPr>
              <w:spacing w:after="0" w:line="259" w:lineRule="auto"/>
              <w:ind w:left="0"/>
              <w:jc w:val="left"/>
            </w:pPr>
            <w:r>
              <w:rPr>
                <w:sz w:val="18"/>
              </w:rPr>
              <w:t>Transform.</w:t>
            </w:r>
          </w:p>
        </w:tc>
        <w:tc>
          <w:tcPr>
            <w:tcW w:w="1781" w:type="dxa"/>
            <w:tcBorders>
              <w:top w:val="single" w:sz="7" w:space="0" w:color="000000"/>
              <w:left w:val="nil"/>
              <w:bottom w:val="single" w:sz="4" w:space="0" w:color="000000"/>
              <w:right w:val="nil"/>
            </w:tcBorders>
          </w:tcPr>
          <w:p w:rsidR="00502504" w:rsidRDefault="00000000" w:rsidP="009711AA">
            <w:pPr>
              <w:spacing w:after="0" w:line="259" w:lineRule="auto"/>
              <w:ind w:left="0"/>
              <w:jc w:val="left"/>
            </w:pPr>
            <w:r>
              <w:rPr>
                <w:sz w:val="18"/>
              </w:rPr>
              <w:t>Active sample</w:t>
            </w:r>
          </w:p>
        </w:tc>
      </w:tr>
      <w:tr w:rsidR="00502504">
        <w:trPr>
          <w:trHeight w:val="292"/>
        </w:trPr>
        <w:tc>
          <w:tcPr>
            <w:tcW w:w="2167" w:type="dxa"/>
            <w:tcBorders>
              <w:top w:val="single" w:sz="4" w:space="0" w:color="000000"/>
              <w:left w:val="nil"/>
              <w:bottom w:val="nil"/>
              <w:right w:val="nil"/>
            </w:tcBorders>
          </w:tcPr>
          <w:p w:rsidR="00502504" w:rsidRDefault="00000000" w:rsidP="009711AA">
            <w:pPr>
              <w:spacing w:after="0" w:line="259" w:lineRule="auto"/>
              <w:ind w:left="80"/>
              <w:jc w:val="left"/>
            </w:pPr>
            <w:r>
              <w:rPr>
                <w:sz w:val="18"/>
              </w:rPr>
              <w:t>Brent crude (USD/</w:t>
            </w:r>
            <w:proofErr w:type="spellStart"/>
            <w:r>
              <w:rPr>
                <w:sz w:val="18"/>
              </w:rPr>
              <w:t>bbl</w:t>
            </w:r>
            <w:proofErr w:type="spellEnd"/>
            <w:r>
              <w:rPr>
                <w:sz w:val="18"/>
              </w:rPr>
              <w:t>)</w:t>
            </w:r>
          </w:p>
        </w:tc>
        <w:tc>
          <w:tcPr>
            <w:tcW w:w="2654" w:type="dxa"/>
            <w:tcBorders>
              <w:top w:val="single" w:sz="4" w:space="0" w:color="000000"/>
              <w:left w:val="nil"/>
              <w:bottom w:val="nil"/>
              <w:right w:val="nil"/>
            </w:tcBorders>
          </w:tcPr>
          <w:p w:rsidR="00502504" w:rsidRDefault="00000000" w:rsidP="009711AA">
            <w:pPr>
              <w:spacing w:after="0" w:line="259" w:lineRule="auto"/>
              <w:ind w:left="0"/>
              <w:jc w:val="left"/>
            </w:pPr>
            <w:r>
              <w:rPr>
                <w:sz w:val="18"/>
              </w:rPr>
              <w:t>World Bank Pink Sheet</w:t>
            </w:r>
          </w:p>
        </w:tc>
        <w:tc>
          <w:tcPr>
            <w:tcW w:w="1067" w:type="dxa"/>
            <w:tcBorders>
              <w:top w:val="single" w:sz="4" w:space="0" w:color="000000"/>
              <w:left w:val="nil"/>
              <w:bottom w:val="nil"/>
              <w:right w:val="nil"/>
            </w:tcBorders>
          </w:tcPr>
          <w:p w:rsidR="00502504" w:rsidRDefault="00000000" w:rsidP="009711AA">
            <w:pPr>
              <w:spacing w:after="0" w:line="259" w:lineRule="auto"/>
              <w:ind w:left="0"/>
              <w:jc w:val="left"/>
            </w:pPr>
            <w:r>
              <w:rPr>
                <w:sz w:val="18"/>
              </w:rPr>
              <w:t>∆ln</w:t>
            </w:r>
          </w:p>
        </w:tc>
        <w:tc>
          <w:tcPr>
            <w:tcW w:w="1781" w:type="dxa"/>
            <w:tcBorders>
              <w:top w:val="single" w:sz="4" w:space="0" w:color="000000"/>
              <w:left w:val="nil"/>
              <w:bottom w:val="nil"/>
              <w:right w:val="nil"/>
            </w:tcBorders>
          </w:tcPr>
          <w:p w:rsidR="00502504" w:rsidRDefault="00000000" w:rsidP="009711AA">
            <w:pPr>
              <w:spacing w:after="0" w:line="259" w:lineRule="auto"/>
              <w:ind w:left="0"/>
              <w:jc w:val="left"/>
            </w:pPr>
            <w:r>
              <w:rPr>
                <w:sz w:val="18"/>
              </w:rPr>
              <w:t>1983-05 to 2026-03</w:t>
            </w:r>
          </w:p>
        </w:tc>
      </w:tr>
      <w:tr w:rsidR="00502504">
        <w:trPr>
          <w:trHeight w:val="213"/>
        </w:trPr>
        <w:tc>
          <w:tcPr>
            <w:tcW w:w="2167" w:type="dxa"/>
            <w:tcBorders>
              <w:top w:val="nil"/>
              <w:left w:val="nil"/>
              <w:bottom w:val="nil"/>
              <w:right w:val="nil"/>
            </w:tcBorders>
          </w:tcPr>
          <w:p w:rsidR="00502504" w:rsidRDefault="00000000" w:rsidP="009711AA">
            <w:pPr>
              <w:spacing w:after="0" w:line="259" w:lineRule="auto"/>
              <w:ind w:left="80"/>
              <w:jc w:val="left"/>
            </w:pPr>
            <w:r>
              <w:rPr>
                <w:sz w:val="18"/>
              </w:rPr>
              <w:t>INR/USD spot rate</w:t>
            </w:r>
          </w:p>
        </w:tc>
        <w:tc>
          <w:tcPr>
            <w:tcW w:w="2654" w:type="dxa"/>
            <w:tcBorders>
              <w:top w:val="nil"/>
              <w:left w:val="nil"/>
              <w:bottom w:val="nil"/>
              <w:right w:val="nil"/>
            </w:tcBorders>
          </w:tcPr>
          <w:p w:rsidR="00502504" w:rsidRDefault="00000000" w:rsidP="009711AA">
            <w:pPr>
              <w:spacing w:after="0" w:line="259" w:lineRule="auto"/>
              <w:ind w:left="0"/>
              <w:jc w:val="left"/>
            </w:pPr>
            <w:r>
              <w:rPr>
                <w:sz w:val="18"/>
              </w:rPr>
              <w:t>FRED EXINUS</w:t>
            </w:r>
          </w:p>
        </w:tc>
        <w:tc>
          <w:tcPr>
            <w:tcW w:w="1067" w:type="dxa"/>
            <w:tcBorders>
              <w:top w:val="nil"/>
              <w:left w:val="nil"/>
              <w:bottom w:val="nil"/>
              <w:right w:val="nil"/>
            </w:tcBorders>
          </w:tcPr>
          <w:p w:rsidR="00502504" w:rsidRDefault="00000000" w:rsidP="009711AA">
            <w:pPr>
              <w:spacing w:after="0" w:line="259" w:lineRule="auto"/>
              <w:ind w:left="0"/>
              <w:jc w:val="left"/>
            </w:pPr>
            <w:r>
              <w:rPr>
                <w:sz w:val="18"/>
              </w:rPr>
              <w:t>∆ln</w:t>
            </w:r>
          </w:p>
        </w:tc>
        <w:tc>
          <w:tcPr>
            <w:tcW w:w="1781" w:type="dxa"/>
            <w:tcBorders>
              <w:top w:val="nil"/>
              <w:left w:val="nil"/>
              <w:bottom w:val="nil"/>
              <w:right w:val="nil"/>
            </w:tcBorders>
          </w:tcPr>
          <w:p w:rsidR="00502504" w:rsidRDefault="00000000" w:rsidP="009711AA">
            <w:pPr>
              <w:spacing w:after="0" w:line="259" w:lineRule="auto"/>
              <w:ind w:left="0"/>
              <w:jc w:val="left"/>
            </w:pPr>
            <w:r>
              <w:rPr>
                <w:sz w:val="18"/>
              </w:rPr>
              <w:t>1983-05 to 2026-03</w:t>
            </w:r>
          </w:p>
        </w:tc>
      </w:tr>
      <w:tr w:rsidR="00502504">
        <w:trPr>
          <w:trHeight w:val="226"/>
        </w:trPr>
        <w:tc>
          <w:tcPr>
            <w:tcW w:w="2167" w:type="dxa"/>
            <w:tcBorders>
              <w:top w:val="nil"/>
              <w:left w:val="nil"/>
              <w:bottom w:val="nil"/>
              <w:right w:val="nil"/>
            </w:tcBorders>
          </w:tcPr>
          <w:p w:rsidR="00502504" w:rsidRDefault="00000000" w:rsidP="009711AA">
            <w:pPr>
              <w:spacing w:after="0" w:line="259" w:lineRule="auto"/>
              <w:ind w:left="80"/>
              <w:jc w:val="left"/>
            </w:pPr>
            <w:r>
              <w:rPr>
                <w:sz w:val="18"/>
              </w:rPr>
              <w:t>Rupee oil price</w:t>
            </w:r>
          </w:p>
        </w:tc>
        <w:tc>
          <w:tcPr>
            <w:tcW w:w="2654" w:type="dxa"/>
            <w:tcBorders>
              <w:top w:val="nil"/>
              <w:left w:val="nil"/>
              <w:bottom w:val="nil"/>
              <w:right w:val="nil"/>
            </w:tcBorders>
          </w:tcPr>
          <w:p w:rsidR="00502504" w:rsidRDefault="00000000" w:rsidP="009711AA">
            <w:pPr>
              <w:spacing w:after="0" w:line="259" w:lineRule="auto"/>
              <w:ind w:left="0"/>
              <w:jc w:val="left"/>
            </w:pPr>
            <w:r>
              <w:rPr>
                <w:sz w:val="18"/>
              </w:rPr>
              <w:t xml:space="preserve">Brent </w:t>
            </w:r>
            <w:r>
              <w:rPr>
                <w:rFonts w:ascii="Cambria" w:eastAsia="Cambria" w:hAnsi="Cambria" w:cs="Cambria"/>
                <w:sz w:val="18"/>
              </w:rPr>
              <w:t xml:space="preserve">× </w:t>
            </w:r>
            <w:r>
              <w:rPr>
                <w:sz w:val="18"/>
              </w:rPr>
              <w:t>EXR (constructed)</w:t>
            </w:r>
          </w:p>
        </w:tc>
        <w:tc>
          <w:tcPr>
            <w:tcW w:w="1067" w:type="dxa"/>
            <w:tcBorders>
              <w:top w:val="nil"/>
              <w:left w:val="nil"/>
              <w:bottom w:val="nil"/>
              <w:right w:val="nil"/>
            </w:tcBorders>
          </w:tcPr>
          <w:p w:rsidR="00502504" w:rsidRDefault="00000000" w:rsidP="009711AA">
            <w:pPr>
              <w:spacing w:after="0" w:line="259" w:lineRule="auto"/>
              <w:ind w:left="0"/>
              <w:jc w:val="left"/>
            </w:pPr>
            <w:r>
              <w:rPr>
                <w:sz w:val="18"/>
              </w:rPr>
              <w:t>∆ln</w:t>
            </w:r>
          </w:p>
        </w:tc>
        <w:tc>
          <w:tcPr>
            <w:tcW w:w="1781" w:type="dxa"/>
            <w:tcBorders>
              <w:top w:val="nil"/>
              <w:left w:val="nil"/>
              <w:bottom w:val="nil"/>
              <w:right w:val="nil"/>
            </w:tcBorders>
          </w:tcPr>
          <w:p w:rsidR="00502504" w:rsidRDefault="00000000" w:rsidP="009711AA">
            <w:pPr>
              <w:spacing w:after="0" w:line="259" w:lineRule="auto"/>
              <w:ind w:left="0"/>
              <w:jc w:val="left"/>
            </w:pPr>
            <w:r>
              <w:rPr>
                <w:sz w:val="18"/>
              </w:rPr>
              <w:t>1983-05 to 2026-03</w:t>
            </w:r>
          </w:p>
        </w:tc>
      </w:tr>
      <w:tr w:rsidR="00502504">
        <w:trPr>
          <w:trHeight w:val="437"/>
        </w:trPr>
        <w:tc>
          <w:tcPr>
            <w:tcW w:w="2167" w:type="dxa"/>
            <w:tcBorders>
              <w:top w:val="nil"/>
              <w:left w:val="nil"/>
              <w:bottom w:val="nil"/>
              <w:right w:val="nil"/>
            </w:tcBorders>
          </w:tcPr>
          <w:p w:rsidR="00502504" w:rsidRDefault="00000000" w:rsidP="009711AA">
            <w:pPr>
              <w:spacing w:after="0" w:line="259" w:lineRule="auto"/>
              <w:ind w:left="80"/>
              <w:jc w:val="left"/>
            </w:pPr>
            <w:r>
              <w:rPr>
                <w:sz w:val="18"/>
              </w:rPr>
              <w:t>Headline WPI (2011-12 =</w:t>
            </w:r>
          </w:p>
          <w:p w:rsidR="00502504" w:rsidRDefault="00000000" w:rsidP="009711AA">
            <w:pPr>
              <w:spacing w:after="0" w:line="259" w:lineRule="auto"/>
              <w:ind w:left="66"/>
              <w:jc w:val="left"/>
            </w:pPr>
            <w:r>
              <w:rPr>
                <w:sz w:val="18"/>
              </w:rPr>
              <w:t>100)</w:t>
            </w:r>
          </w:p>
        </w:tc>
        <w:tc>
          <w:tcPr>
            <w:tcW w:w="2654" w:type="dxa"/>
            <w:tcBorders>
              <w:top w:val="nil"/>
              <w:left w:val="nil"/>
              <w:bottom w:val="nil"/>
              <w:right w:val="nil"/>
            </w:tcBorders>
          </w:tcPr>
          <w:p w:rsidR="00502504" w:rsidRDefault="00000000" w:rsidP="009711AA">
            <w:pPr>
              <w:spacing w:after="0" w:line="259" w:lineRule="auto"/>
              <w:ind w:left="0"/>
              <w:jc w:val="left"/>
            </w:pPr>
            <w:r>
              <w:rPr>
                <w:sz w:val="18"/>
              </w:rPr>
              <w:t>OEA, chained across four bases</w:t>
            </w:r>
          </w:p>
        </w:tc>
        <w:tc>
          <w:tcPr>
            <w:tcW w:w="1067" w:type="dxa"/>
            <w:tcBorders>
              <w:top w:val="nil"/>
              <w:left w:val="nil"/>
              <w:bottom w:val="nil"/>
              <w:right w:val="nil"/>
            </w:tcBorders>
          </w:tcPr>
          <w:p w:rsidR="00502504" w:rsidRDefault="00000000" w:rsidP="009711AA">
            <w:pPr>
              <w:spacing w:after="0" w:line="259" w:lineRule="auto"/>
              <w:ind w:left="0"/>
              <w:jc w:val="left"/>
            </w:pPr>
            <w:r>
              <w:rPr>
                <w:sz w:val="18"/>
              </w:rPr>
              <w:t>∆ln</w:t>
            </w:r>
          </w:p>
        </w:tc>
        <w:tc>
          <w:tcPr>
            <w:tcW w:w="1781" w:type="dxa"/>
            <w:tcBorders>
              <w:top w:val="nil"/>
              <w:left w:val="nil"/>
              <w:bottom w:val="nil"/>
              <w:right w:val="nil"/>
            </w:tcBorders>
          </w:tcPr>
          <w:p w:rsidR="00502504" w:rsidRDefault="00000000" w:rsidP="009711AA">
            <w:pPr>
              <w:spacing w:after="0" w:line="259" w:lineRule="auto"/>
              <w:ind w:left="0"/>
              <w:jc w:val="left"/>
            </w:pPr>
            <w:r>
              <w:rPr>
                <w:sz w:val="18"/>
              </w:rPr>
              <w:t>1983-05 to 2026-03</w:t>
            </w:r>
          </w:p>
        </w:tc>
      </w:tr>
      <w:tr w:rsidR="00502504">
        <w:trPr>
          <w:trHeight w:val="438"/>
        </w:trPr>
        <w:tc>
          <w:tcPr>
            <w:tcW w:w="2167" w:type="dxa"/>
            <w:tcBorders>
              <w:top w:val="nil"/>
              <w:left w:val="nil"/>
              <w:bottom w:val="nil"/>
              <w:right w:val="nil"/>
            </w:tcBorders>
          </w:tcPr>
          <w:p w:rsidR="00502504" w:rsidRDefault="00000000" w:rsidP="009711AA">
            <w:pPr>
              <w:spacing w:after="0" w:line="259" w:lineRule="auto"/>
              <w:ind w:left="80"/>
              <w:jc w:val="left"/>
            </w:pPr>
            <w:r>
              <w:rPr>
                <w:sz w:val="18"/>
              </w:rPr>
              <w:t>WPI Fuel &amp; Power (2011-</w:t>
            </w:r>
          </w:p>
          <w:p w:rsidR="00502504" w:rsidRDefault="00000000" w:rsidP="009711AA">
            <w:pPr>
              <w:spacing w:after="0" w:line="259" w:lineRule="auto"/>
              <w:ind w:left="66"/>
              <w:jc w:val="left"/>
            </w:pPr>
            <w:r>
              <w:rPr>
                <w:sz w:val="18"/>
              </w:rPr>
              <w:t>12 = 100)</w:t>
            </w:r>
          </w:p>
        </w:tc>
        <w:tc>
          <w:tcPr>
            <w:tcW w:w="2654" w:type="dxa"/>
            <w:tcBorders>
              <w:top w:val="nil"/>
              <w:left w:val="nil"/>
              <w:bottom w:val="nil"/>
              <w:right w:val="nil"/>
            </w:tcBorders>
          </w:tcPr>
          <w:p w:rsidR="00502504" w:rsidRDefault="00000000" w:rsidP="009711AA">
            <w:pPr>
              <w:spacing w:after="0" w:line="259" w:lineRule="auto"/>
              <w:ind w:left="0"/>
              <w:jc w:val="left"/>
            </w:pPr>
            <w:r>
              <w:rPr>
                <w:sz w:val="18"/>
              </w:rPr>
              <w:t>OEA, chained across three bases</w:t>
            </w:r>
          </w:p>
        </w:tc>
        <w:tc>
          <w:tcPr>
            <w:tcW w:w="1067" w:type="dxa"/>
            <w:tcBorders>
              <w:top w:val="nil"/>
              <w:left w:val="nil"/>
              <w:bottom w:val="nil"/>
              <w:right w:val="nil"/>
            </w:tcBorders>
          </w:tcPr>
          <w:p w:rsidR="00502504" w:rsidRDefault="00000000" w:rsidP="009711AA">
            <w:pPr>
              <w:spacing w:after="0" w:line="259" w:lineRule="auto"/>
              <w:ind w:left="0"/>
              <w:jc w:val="left"/>
            </w:pPr>
            <w:r>
              <w:rPr>
                <w:sz w:val="18"/>
              </w:rPr>
              <w:t>∆ln</w:t>
            </w:r>
          </w:p>
        </w:tc>
        <w:tc>
          <w:tcPr>
            <w:tcW w:w="1781" w:type="dxa"/>
            <w:tcBorders>
              <w:top w:val="nil"/>
              <w:left w:val="nil"/>
              <w:bottom w:val="nil"/>
              <w:right w:val="nil"/>
            </w:tcBorders>
          </w:tcPr>
          <w:p w:rsidR="00502504" w:rsidRDefault="00000000" w:rsidP="009711AA">
            <w:pPr>
              <w:spacing w:after="0" w:line="259" w:lineRule="auto"/>
              <w:ind w:left="0"/>
              <w:jc w:val="left"/>
            </w:pPr>
            <w:r>
              <w:rPr>
                <w:sz w:val="18"/>
              </w:rPr>
              <w:t>1995-05 to 2026-03</w:t>
            </w:r>
          </w:p>
        </w:tc>
      </w:tr>
      <w:tr w:rsidR="00502504">
        <w:trPr>
          <w:trHeight w:val="438"/>
        </w:trPr>
        <w:tc>
          <w:tcPr>
            <w:tcW w:w="2167" w:type="dxa"/>
            <w:tcBorders>
              <w:top w:val="nil"/>
              <w:left w:val="nil"/>
              <w:bottom w:val="nil"/>
              <w:right w:val="nil"/>
            </w:tcBorders>
          </w:tcPr>
          <w:p w:rsidR="00502504" w:rsidRDefault="00000000" w:rsidP="009711AA">
            <w:pPr>
              <w:spacing w:after="0" w:line="259" w:lineRule="auto"/>
              <w:ind w:left="80"/>
              <w:jc w:val="left"/>
            </w:pPr>
            <w:r>
              <w:rPr>
                <w:sz w:val="18"/>
              </w:rPr>
              <w:t>PPAC retail petrol, Delhi</w:t>
            </w:r>
          </w:p>
        </w:tc>
        <w:tc>
          <w:tcPr>
            <w:tcW w:w="2654" w:type="dxa"/>
            <w:tcBorders>
              <w:top w:val="nil"/>
              <w:left w:val="nil"/>
              <w:bottom w:val="nil"/>
              <w:right w:val="nil"/>
            </w:tcBorders>
          </w:tcPr>
          <w:p w:rsidR="00502504" w:rsidRDefault="00000000" w:rsidP="009711AA">
            <w:pPr>
              <w:spacing w:after="0" w:line="259" w:lineRule="auto"/>
              <w:ind w:left="0"/>
              <w:jc w:val="left"/>
            </w:pPr>
            <w:r>
              <w:rPr>
                <w:sz w:val="18"/>
              </w:rPr>
              <w:t>Petroleum Planning and Analysis</w:t>
            </w:r>
          </w:p>
          <w:p w:rsidR="00502504" w:rsidRDefault="00000000" w:rsidP="009711AA">
            <w:pPr>
              <w:spacing w:after="0" w:line="259" w:lineRule="auto"/>
              <w:ind w:left="0"/>
              <w:jc w:val="left"/>
            </w:pPr>
            <w:r>
              <w:rPr>
                <w:sz w:val="18"/>
              </w:rPr>
              <w:t>Cell</w:t>
            </w:r>
          </w:p>
        </w:tc>
        <w:tc>
          <w:tcPr>
            <w:tcW w:w="1067" w:type="dxa"/>
            <w:tcBorders>
              <w:top w:val="nil"/>
              <w:left w:val="nil"/>
              <w:bottom w:val="nil"/>
              <w:right w:val="nil"/>
            </w:tcBorders>
          </w:tcPr>
          <w:p w:rsidR="00502504" w:rsidRDefault="00000000" w:rsidP="009711AA">
            <w:pPr>
              <w:spacing w:after="0" w:line="259" w:lineRule="auto"/>
              <w:ind w:left="0"/>
              <w:jc w:val="left"/>
            </w:pPr>
            <w:r>
              <w:rPr>
                <w:sz w:val="18"/>
              </w:rPr>
              <w:t>∆ln</w:t>
            </w:r>
          </w:p>
        </w:tc>
        <w:tc>
          <w:tcPr>
            <w:tcW w:w="1781" w:type="dxa"/>
            <w:tcBorders>
              <w:top w:val="nil"/>
              <w:left w:val="nil"/>
              <w:bottom w:val="nil"/>
              <w:right w:val="nil"/>
            </w:tcBorders>
          </w:tcPr>
          <w:p w:rsidR="00502504" w:rsidRDefault="00000000" w:rsidP="009711AA">
            <w:pPr>
              <w:spacing w:after="0" w:line="259" w:lineRule="auto"/>
              <w:ind w:left="0"/>
              <w:jc w:val="left"/>
            </w:pPr>
            <w:r>
              <w:rPr>
                <w:sz w:val="18"/>
              </w:rPr>
              <w:t>2004-08 to 2024-12</w:t>
            </w:r>
          </w:p>
        </w:tc>
      </w:tr>
      <w:tr w:rsidR="00502504">
        <w:trPr>
          <w:trHeight w:val="438"/>
        </w:trPr>
        <w:tc>
          <w:tcPr>
            <w:tcW w:w="2167" w:type="dxa"/>
            <w:tcBorders>
              <w:top w:val="nil"/>
              <w:left w:val="nil"/>
              <w:bottom w:val="nil"/>
              <w:right w:val="nil"/>
            </w:tcBorders>
          </w:tcPr>
          <w:p w:rsidR="00502504" w:rsidRDefault="00000000" w:rsidP="009711AA">
            <w:pPr>
              <w:spacing w:after="0" w:line="259" w:lineRule="auto"/>
              <w:ind w:left="80"/>
              <w:jc w:val="left"/>
            </w:pPr>
            <w:r>
              <w:rPr>
                <w:sz w:val="18"/>
              </w:rPr>
              <w:t>Headline CPI (All-India,</w:t>
            </w:r>
          </w:p>
          <w:p w:rsidR="00502504" w:rsidRDefault="00000000" w:rsidP="009711AA">
            <w:pPr>
              <w:spacing w:after="0" w:line="259" w:lineRule="auto"/>
              <w:ind w:left="80"/>
              <w:jc w:val="left"/>
            </w:pPr>
            <w:r>
              <w:rPr>
                <w:sz w:val="18"/>
              </w:rPr>
              <w:t>2010 = 100)</w:t>
            </w:r>
          </w:p>
        </w:tc>
        <w:tc>
          <w:tcPr>
            <w:tcW w:w="2654" w:type="dxa"/>
            <w:tcBorders>
              <w:top w:val="nil"/>
              <w:left w:val="nil"/>
              <w:bottom w:val="nil"/>
              <w:right w:val="nil"/>
            </w:tcBorders>
          </w:tcPr>
          <w:p w:rsidR="00502504" w:rsidRDefault="00000000" w:rsidP="009711AA">
            <w:pPr>
              <w:tabs>
                <w:tab w:val="center" w:pos="1272"/>
                <w:tab w:val="right" w:pos="2539"/>
              </w:tabs>
              <w:spacing w:after="0" w:line="259" w:lineRule="auto"/>
              <w:ind w:left="0"/>
              <w:jc w:val="left"/>
            </w:pPr>
            <w:proofErr w:type="spellStart"/>
            <w:r>
              <w:rPr>
                <w:sz w:val="18"/>
              </w:rPr>
              <w:t>MoSPI</w:t>
            </w:r>
            <w:proofErr w:type="spellEnd"/>
            <w:r>
              <w:rPr>
                <w:sz w:val="18"/>
              </w:rPr>
              <w:tab/>
              <w:t>/</w:t>
            </w:r>
            <w:r>
              <w:rPr>
                <w:sz w:val="18"/>
              </w:rPr>
              <w:tab/>
              <w:t>FRED</w:t>
            </w:r>
          </w:p>
          <w:p w:rsidR="00502504" w:rsidRDefault="00000000" w:rsidP="009711AA">
            <w:pPr>
              <w:spacing w:after="0" w:line="259" w:lineRule="auto"/>
              <w:ind w:left="0"/>
              <w:jc w:val="left"/>
            </w:pPr>
            <w:r>
              <w:rPr>
                <w:sz w:val="18"/>
              </w:rPr>
              <w:t>INDCPIALLMINMEI</w:t>
            </w:r>
          </w:p>
        </w:tc>
        <w:tc>
          <w:tcPr>
            <w:tcW w:w="1067" w:type="dxa"/>
            <w:tcBorders>
              <w:top w:val="nil"/>
              <w:left w:val="nil"/>
              <w:bottom w:val="nil"/>
              <w:right w:val="nil"/>
            </w:tcBorders>
          </w:tcPr>
          <w:p w:rsidR="00502504" w:rsidRDefault="00000000" w:rsidP="009711AA">
            <w:pPr>
              <w:spacing w:after="0" w:line="259" w:lineRule="auto"/>
              <w:ind w:left="0"/>
              <w:jc w:val="left"/>
            </w:pPr>
            <w:r>
              <w:rPr>
                <w:sz w:val="18"/>
              </w:rPr>
              <w:t>∆ln</w:t>
            </w:r>
          </w:p>
        </w:tc>
        <w:tc>
          <w:tcPr>
            <w:tcW w:w="1781" w:type="dxa"/>
            <w:tcBorders>
              <w:top w:val="nil"/>
              <w:left w:val="nil"/>
              <w:bottom w:val="nil"/>
              <w:right w:val="nil"/>
            </w:tcBorders>
          </w:tcPr>
          <w:p w:rsidR="00502504" w:rsidRDefault="00000000" w:rsidP="009711AA">
            <w:pPr>
              <w:spacing w:after="0" w:line="259" w:lineRule="auto"/>
              <w:ind w:left="0"/>
              <w:jc w:val="left"/>
            </w:pPr>
            <w:r>
              <w:rPr>
                <w:sz w:val="18"/>
              </w:rPr>
              <w:t>2004-08 to 2024-12</w:t>
            </w:r>
          </w:p>
        </w:tc>
      </w:tr>
      <w:tr w:rsidR="00502504">
        <w:trPr>
          <w:trHeight w:val="484"/>
        </w:trPr>
        <w:tc>
          <w:tcPr>
            <w:tcW w:w="2167" w:type="dxa"/>
            <w:tcBorders>
              <w:top w:val="nil"/>
              <w:left w:val="nil"/>
              <w:bottom w:val="single" w:sz="7" w:space="0" w:color="000000"/>
              <w:right w:val="nil"/>
            </w:tcBorders>
          </w:tcPr>
          <w:p w:rsidR="00502504" w:rsidRDefault="00000000" w:rsidP="009711AA">
            <w:pPr>
              <w:spacing w:after="0" w:line="259" w:lineRule="auto"/>
              <w:ind w:left="80"/>
              <w:jc w:val="left"/>
            </w:pPr>
            <w:r>
              <w:rPr>
                <w:sz w:val="18"/>
              </w:rPr>
              <w:t>CPI Fuel &amp; Light (post-</w:t>
            </w:r>
          </w:p>
          <w:p w:rsidR="00502504" w:rsidRDefault="00000000" w:rsidP="009711AA">
            <w:pPr>
              <w:spacing w:after="0" w:line="259" w:lineRule="auto"/>
              <w:ind w:left="80"/>
              <w:jc w:val="left"/>
            </w:pPr>
            <w:r>
              <w:rPr>
                <w:sz w:val="18"/>
              </w:rPr>
              <w:t>2011 base)</w:t>
            </w:r>
          </w:p>
        </w:tc>
        <w:tc>
          <w:tcPr>
            <w:tcW w:w="2654" w:type="dxa"/>
            <w:tcBorders>
              <w:top w:val="nil"/>
              <w:left w:val="nil"/>
              <w:bottom w:val="single" w:sz="7" w:space="0" w:color="000000"/>
              <w:right w:val="nil"/>
            </w:tcBorders>
          </w:tcPr>
          <w:p w:rsidR="00502504" w:rsidRDefault="00000000" w:rsidP="009711AA">
            <w:pPr>
              <w:spacing w:after="0" w:line="259" w:lineRule="auto"/>
              <w:ind w:left="0"/>
              <w:jc w:val="left"/>
            </w:pPr>
            <w:proofErr w:type="spellStart"/>
            <w:r>
              <w:rPr>
                <w:sz w:val="18"/>
              </w:rPr>
              <w:t>MoSPI</w:t>
            </w:r>
            <w:proofErr w:type="spellEnd"/>
          </w:p>
        </w:tc>
        <w:tc>
          <w:tcPr>
            <w:tcW w:w="1067" w:type="dxa"/>
            <w:tcBorders>
              <w:top w:val="nil"/>
              <w:left w:val="nil"/>
              <w:bottom w:val="single" w:sz="7" w:space="0" w:color="000000"/>
              <w:right w:val="nil"/>
            </w:tcBorders>
          </w:tcPr>
          <w:p w:rsidR="00502504" w:rsidRDefault="00000000" w:rsidP="009711AA">
            <w:pPr>
              <w:spacing w:after="0" w:line="259" w:lineRule="auto"/>
              <w:ind w:left="0"/>
              <w:jc w:val="left"/>
            </w:pPr>
            <w:r>
              <w:rPr>
                <w:sz w:val="18"/>
              </w:rPr>
              <w:t>∆ln</w:t>
            </w:r>
          </w:p>
        </w:tc>
        <w:tc>
          <w:tcPr>
            <w:tcW w:w="1781" w:type="dxa"/>
            <w:tcBorders>
              <w:top w:val="nil"/>
              <w:left w:val="nil"/>
              <w:bottom w:val="single" w:sz="7" w:space="0" w:color="000000"/>
              <w:right w:val="nil"/>
            </w:tcBorders>
          </w:tcPr>
          <w:p w:rsidR="00502504" w:rsidRDefault="00000000" w:rsidP="009711AA">
            <w:pPr>
              <w:spacing w:after="0" w:line="259" w:lineRule="auto"/>
              <w:ind w:left="0"/>
              <w:jc w:val="left"/>
            </w:pPr>
            <w:r>
              <w:rPr>
                <w:sz w:val="18"/>
              </w:rPr>
              <w:t>2011-05 to 2024-12</w:t>
            </w:r>
          </w:p>
        </w:tc>
      </w:tr>
    </w:tbl>
    <w:p w:rsidR="00502504" w:rsidRDefault="00000000" w:rsidP="009711AA">
      <w:pPr>
        <w:spacing w:after="0" w:line="251" w:lineRule="auto"/>
        <w:ind w:left="10" w:hanging="10"/>
        <w:jc w:val="center"/>
      </w:pPr>
      <w:r>
        <w:rPr>
          <w:sz w:val="18"/>
        </w:rPr>
        <w:t xml:space="preserve">Notes: Wholesale series chained to a common 2011–12 = 100 base using OEA linking factors. Active samples reported after inner joins on common dates. The CPI Fuel &amp; Light series begins in May 2011 because the post-2011 base is the longest </w:t>
      </w:r>
      <w:proofErr w:type="spellStart"/>
      <w:r>
        <w:rPr>
          <w:sz w:val="18"/>
        </w:rPr>
        <w:t>harmonised</w:t>
      </w:r>
      <w:proofErr w:type="spellEnd"/>
      <w:r>
        <w:rPr>
          <w:sz w:val="18"/>
        </w:rPr>
        <w:t xml:space="preserve"> consumer fuel index currently available.</w:t>
      </w:r>
    </w:p>
    <w:p w:rsidR="00502504" w:rsidRDefault="00000000" w:rsidP="009711AA">
      <w:pPr>
        <w:spacing w:after="0" w:line="318" w:lineRule="auto"/>
        <w:ind w:left="1" w:hanging="1"/>
        <w:jc w:val="center"/>
      </w:pPr>
      <w:r>
        <w:t xml:space="preserve">where </w:t>
      </w:r>
      <w:proofErr w:type="spellStart"/>
      <w:r>
        <w:rPr>
          <w:i/>
        </w:rPr>
        <w:t>Z</w:t>
      </w:r>
      <w:r>
        <w:rPr>
          <w:i/>
          <w:vertAlign w:val="subscript"/>
        </w:rPr>
        <w:t>t</w:t>
      </w:r>
      <w:proofErr w:type="spellEnd"/>
      <w:r>
        <w:rPr>
          <w:i/>
          <w:vertAlign w:val="subscript"/>
        </w:rPr>
        <w:t xml:space="preserve"> </w:t>
      </w:r>
      <w:r>
        <w:t>collects controls (notably ∆</w:t>
      </w:r>
      <w:proofErr w:type="spellStart"/>
      <w:r>
        <w:t>lnEXR</w:t>
      </w:r>
      <w:r>
        <w:rPr>
          <w:i/>
          <w:vertAlign w:val="subscript"/>
        </w:rPr>
        <w:t>t</w:t>
      </w:r>
      <w:proofErr w:type="spellEnd"/>
      <w:r>
        <w:rPr>
          <w:i/>
          <w:vertAlign w:val="subscript"/>
        </w:rPr>
        <w:t xml:space="preserve"> </w:t>
      </w:r>
      <w:r>
        <w:t xml:space="preserve">in the Brent decomposition), </w:t>
      </w:r>
      <w:r>
        <w:rPr>
          <w:i/>
        </w:rPr>
        <w:t>µ</w:t>
      </w:r>
      <w:r>
        <w:rPr>
          <w:i/>
          <w:vertAlign w:val="subscript"/>
        </w:rPr>
        <w:t xml:space="preserve">m </w:t>
      </w:r>
      <w:r>
        <w:t xml:space="preserve">are calendar-month fixed effects, and </w:t>
      </w:r>
      <w:proofErr w:type="spellStart"/>
      <w:r>
        <w:rPr>
          <w:i/>
        </w:rPr>
        <w:t>u</w:t>
      </w:r>
      <w:r>
        <w:rPr>
          <w:i/>
          <w:vertAlign w:val="subscript"/>
        </w:rPr>
        <w:t>t</w:t>
      </w:r>
      <w:proofErr w:type="spellEnd"/>
      <w:r>
        <w:rPr>
          <w:i/>
          <w:vertAlign w:val="subscript"/>
        </w:rPr>
        <w:t xml:space="preserve"> </w:t>
      </w:r>
      <w:r>
        <w:t>is an error process whose autocorrelation we accommodate through Newey–West standard errors with a Bartlett kernel and Newey–West lag truncation. The cumulative pass-through summaries are</w:t>
      </w:r>
    </w:p>
    <w:p w:rsidR="00502504" w:rsidRDefault="00000000" w:rsidP="009711AA">
      <w:pPr>
        <w:tabs>
          <w:tab w:val="center" w:pos="3566"/>
          <w:tab w:val="center" w:pos="5468"/>
          <w:tab w:val="right" w:pos="9080"/>
        </w:tabs>
        <w:spacing w:after="0" w:line="259" w:lineRule="auto"/>
        <w:ind w:left="0"/>
        <w:jc w:val="left"/>
      </w:pPr>
      <w:r>
        <w:tab/>
        <w:t>CPT</w:t>
      </w:r>
      <w:r>
        <w:rPr>
          <w:noProof/>
        </w:rPr>
        <w:drawing>
          <wp:inline distT="0" distB="0" distL="0" distR="0">
            <wp:extent cx="612648" cy="280416"/>
            <wp:effectExtent l="0" t="0" r="0" b="0"/>
            <wp:docPr id="28714" name="Picture 28714"/>
            <wp:cNvGraphicFramePr/>
            <a:graphic xmlns:a="http://schemas.openxmlformats.org/drawingml/2006/main">
              <a:graphicData uri="http://schemas.openxmlformats.org/drawingml/2006/picture">
                <pic:pic xmlns:pic="http://schemas.openxmlformats.org/drawingml/2006/picture">
                  <pic:nvPicPr>
                    <pic:cNvPr id="28714" name="Picture 28714"/>
                    <pic:cNvPicPr/>
                  </pic:nvPicPr>
                  <pic:blipFill>
                    <a:blip r:embed="rId10"/>
                    <a:stretch>
                      <a:fillRect/>
                    </a:stretch>
                  </pic:blipFill>
                  <pic:spPr>
                    <a:xfrm>
                      <a:off x="0" y="0"/>
                      <a:ext cx="612648" cy="280416"/>
                    </a:xfrm>
                    <a:prstGeom prst="rect">
                      <a:avLst/>
                    </a:prstGeom>
                  </pic:spPr>
                </pic:pic>
              </a:graphicData>
            </a:graphic>
          </wp:inline>
        </w:drawing>
      </w:r>
      <w:r>
        <w:rPr>
          <w:rFonts w:ascii="Cambria" w:eastAsia="Cambria" w:hAnsi="Cambria" w:cs="Cambria"/>
          <w:i/>
        </w:rPr>
        <w:t>,</w:t>
      </w:r>
      <w:r>
        <w:rPr>
          <w:rFonts w:ascii="Cambria" w:eastAsia="Cambria" w:hAnsi="Cambria" w:cs="Cambria"/>
          <w:i/>
        </w:rPr>
        <w:tab/>
      </w:r>
      <w:r>
        <w:t>CPT</w:t>
      </w:r>
      <w:r>
        <w:rPr>
          <w:noProof/>
        </w:rPr>
        <w:drawing>
          <wp:inline distT="0" distB="0" distL="0" distR="0">
            <wp:extent cx="591312" cy="280416"/>
            <wp:effectExtent l="0" t="0" r="0" b="0"/>
            <wp:docPr id="28713" name="Picture 28713"/>
            <wp:cNvGraphicFramePr/>
            <a:graphic xmlns:a="http://schemas.openxmlformats.org/drawingml/2006/main">
              <a:graphicData uri="http://schemas.openxmlformats.org/drawingml/2006/picture">
                <pic:pic xmlns:pic="http://schemas.openxmlformats.org/drawingml/2006/picture">
                  <pic:nvPicPr>
                    <pic:cNvPr id="28713" name="Picture 28713"/>
                    <pic:cNvPicPr/>
                  </pic:nvPicPr>
                  <pic:blipFill>
                    <a:blip r:embed="rId11"/>
                    <a:stretch>
                      <a:fillRect/>
                    </a:stretch>
                  </pic:blipFill>
                  <pic:spPr>
                    <a:xfrm>
                      <a:off x="0" y="0"/>
                      <a:ext cx="591312" cy="280416"/>
                    </a:xfrm>
                    <a:prstGeom prst="rect">
                      <a:avLst/>
                    </a:prstGeom>
                  </pic:spPr>
                </pic:pic>
              </a:graphicData>
            </a:graphic>
          </wp:inline>
        </w:drawing>
      </w:r>
      <w:r>
        <w:rPr>
          <w:rFonts w:ascii="Cambria" w:eastAsia="Cambria" w:hAnsi="Cambria" w:cs="Cambria"/>
          <w:i/>
        </w:rPr>
        <w:t>,</w:t>
      </w:r>
      <w:r>
        <w:rPr>
          <w:rFonts w:ascii="Cambria" w:eastAsia="Cambria" w:hAnsi="Cambria" w:cs="Cambria"/>
          <w:i/>
        </w:rPr>
        <w:tab/>
      </w:r>
      <w:r>
        <w:t>(3)</w:t>
      </w:r>
    </w:p>
    <w:p w:rsidR="00502504" w:rsidRDefault="00000000" w:rsidP="009711AA">
      <w:pPr>
        <w:tabs>
          <w:tab w:val="center" w:pos="3796"/>
          <w:tab w:val="center" w:pos="5698"/>
        </w:tabs>
        <w:spacing w:after="0" w:line="259" w:lineRule="auto"/>
        <w:ind w:left="0"/>
        <w:jc w:val="left"/>
      </w:pPr>
      <w:r>
        <w:tab/>
      </w:r>
      <w:r>
        <w:rPr>
          <w:i/>
          <w:sz w:val="16"/>
        </w:rPr>
        <w:t>j</w:t>
      </w:r>
      <w:r>
        <w:rPr>
          <w:rFonts w:ascii="Cambria" w:eastAsia="Cambria" w:hAnsi="Cambria" w:cs="Cambria"/>
          <w:sz w:val="16"/>
        </w:rPr>
        <w:t>=</w:t>
      </w:r>
      <w:r>
        <w:rPr>
          <w:sz w:val="16"/>
        </w:rPr>
        <w:t>0</w:t>
      </w:r>
      <w:r>
        <w:rPr>
          <w:sz w:val="16"/>
        </w:rPr>
        <w:tab/>
      </w:r>
      <w:r>
        <w:rPr>
          <w:i/>
          <w:sz w:val="16"/>
        </w:rPr>
        <w:t>j</w:t>
      </w:r>
      <w:r>
        <w:rPr>
          <w:rFonts w:ascii="Cambria" w:eastAsia="Cambria" w:hAnsi="Cambria" w:cs="Cambria"/>
          <w:sz w:val="16"/>
        </w:rPr>
        <w:t>=</w:t>
      </w:r>
      <w:r>
        <w:rPr>
          <w:sz w:val="16"/>
        </w:rPr>
        <w:t>0</w:t>
      </w:r>
    </w:p>
    <w:p w:rsidR="00502504" w:rsidRDefault="00000000" w:rsidP="009711AA">
      <w:pPr>
        <w:spacing w:after="0"/>
        <w:ind w:left="11" w:hanging="10"/>
        <w:jc w:val="left"/>
      </w:pPr>
      <w:r>
        <w:t>with significance assessed using HAC Wald tests on the linear restrictions CPT</w:t>
      </w:r>
      <w:r>
        <w:rPr>
          <w:rFonts w:ascii="Cambria" w:eastAsia="Cambria" w:hAnsi="Cambria" w:cs="Cambria"/>
          <w:vertAlign w:val="superscript"/>
        </w:rPr>
        <w:t>+</w:t>
      </w:r>
      <w:r>
        <w:rPr>
          <w:rFonts w:ascii="Cambria" w:eastAsia="Cambria" w:hAnsi="Cambria" w:cs="Cambria"/>
        </w:rPr>
        <w:t xml:space="preserve">= </w:t>
      </w:r>
      <w:r>
        <w:t>0, CPT</w:t>
      </w:r>
      <w:r>
        <w:rPr>
          <w:rFonts w:ascii="Cambria" w:eastAsia="Cambria" w:hAnsi="Cambria" w:cs="Cambria"/>
          <w:vertAlign w:val="superscript"/>
        </w:rPr>
        <w:t xml:space="preserve">− </w:t>
      </w:r>
      <w:r>
        <w:rPr>
          <w:rFonts w:ascii="Cambria" w:eastAsia="Cambria" w:hAnsi="Cambria" w:cs="Cambria"/>
        </w:rPr>
        <w:t xml:space="preserve">= </w:t>
      </w:r>
      <w:r>
        <w:t>0 and the symmetry restriction CPT</w:t>
      </w:r>
      <w:r>
        <w:rPr>
          <w:rFonts w:ascii="Cambria" w:eastAsia="Cambria" w:hAnsi="Cambria" w:cs="Cambria"/>
          <w:vertAlign w:val="superscript"/>
        </w:rPr>
        <w:t>+</w:t>
      </w:r>
      <w:r>
        <w:rPr>
          <w:rFonts w:ascii="Cambria" w:eastAsia="Cambria" w:hAnsi="Cambria" w:cs="Cambria"/>
        </w:rPr>
        <w:t xml:space="preserve">= </w:t>
      </w:r>
      <w:r>
        <w:t>CPT</w:t>
      </w:r>
      <w:r>
        <w:rPr>
          <w:rFonts w:ascii="Cambria" w:eastAsia="Cambria" w:hAnsi="Cambria" w:cs="Cambria"/>
          <w:vertAlign w:val="superscript"/>
        </w:rPr>
        <w:t>−</w:t>
      </w:r>
      <w:r>
        <w:t xml:space="preserve">. For the symmetry test we also report a finite-sample </w:t>
      </w:r>
      <w:r>
        <w:rPr>
          <w:i/>
        </w:rPr>
        <w:t>p</w:t>
      </w:r>
      <w:r>
        <w:t>-value from a restricted-residual circular block bootstrap with 4,999 replications.</w:t>
      </w:r>
    </w:p>
    <w:p w:rsidR="00502504" w:rsidRDefault="00000000" w:rsidP="009711AA">
      <w:pPr>
        <w:spacing w:after="0"/>
        <w:ind w:left="1" w:right="23" w:firstLine="262"/>
      </w:pPr>
      <w:r>
        <w:t xml:space="preserve">The choice of an ADL in differences rather than a NARDL in levels is deliberate. Standard unit-root tests reject </w:t>
      </w:r>
      <w:proofErr w:type="gramStart"/>
      <w:r>
        <w:t>I(</w:t>
      </w:r>
      <w:proofErr w:type="gramEnd"/>
      <w:r>
        <w:t>1) for all the differenced series we use; ADF and Phillips–Perron statistics on ∆</w:t>
      </w:r>
      <w:proofErr w:type="spellStart"/>
      <w:r>
        <w:t>lnWPI</w:t>
      </w:r>
      <w:proofErr w:type="spellEnd"/>
      <w:r>
        <w:t xml:space="preserve"> are </w:t>
      </w:r>
      <w:r>
        <w:rPr>
          <w:rFonts w:ascii="Cambria" w:eastAsia="Cambria" w:hAnsi="Cambria" w:cs="Cambria"/>
        </w:rPr>
        <w:t>−</w:t>
      </w:r>
      <w:r>
        <w:t>12</w:t>
      </w:r>
      <w:r>
        <w:rPr>
          <w:rFonts w:ascii="Cambria" w:eastAsia="Cambria" w:hAnsi="Cambria" w:cs="Cambria"/>
          <w:i/>
        </w:rPr>
        <w:t>.</w:t>
      </w:r>
      <w:r>
        <w:t xml:space="preserve">22 and </w:t>
      </w:r>
      <w:r>
        <w:rPr>
          <w:rFonts w:ascii="Cambria" w:eastAsia="Cambria" w:hAnsi="Cambria" w:cs="Cambria"/>
        </w:rPr>
        <w:t>−</w:t>
      </w:r>
      <w:r>
        <w:t>14</w:t>
      </w:r>
      <w:r>
        <w:rPr>
          <w:rFonts w:ascii="Cambria" w:eastAsia="Cambria" w:hAnsi="Cambria" w:cs="Cambria"/>
          <w:i/>
        </w:rPr>
        <w:t>.</w:t>
      </w:r>
      <w:r>
        <w:t>39. KPSS gives a borderline rejection of stationarity for ∆</w:t>
      </w:r>
      <w:proofErr w:type="spellStart"/>
      <w:r>
        <w:t>lnWPI</w:t>
      </w:r>
      <w:proofErr w:type="spellEnd"/>
      <w:r>
        <w:t xml:space="preserve"> (</w:t>
      </w:r>
      <w:r>
        <w:rPr>
          <w:i/>
        </w:rPr>
        <w:t>η</w:t>
      </w:r>
      <w:r>
        <w:t xml:space="preserve">ˆ </w:t>
      </w:r>
      <w:r>
        <w:rPr>
          <w:rFonts w:ascii="Cambria" w:eastAsia="Cambria" w:hAnsi="Cambria" w:cs="Cambria"/>
        </w:rPr>
        <w:t xml:space="preserve">= </w:t>
      </w:r>
      <w:r>
        <w:t>0</w:t>
      </w:r>
      <w:r>
        <w:rPr>
          <w:rFonts w:ascii="Cambria" w:eastAsia="Cambria" w:hAnsi="Cambria" w:cs="Cambria"/>
          <w:i/>
        </w:rPr>
        <w:t>.</w:t>
      </w:r>
      <w:r>
        <w:t>90 against a 5% critical value of 0</w:t>
      </w:r>
      <w:r>
        <w:rPr>
          <w:rFonts w:ascii="Cambria" w:eastAsia="Cambria" w:hAnsi="Cambria" w:cs="Cambria"/>
          <w:i/>
        </w:rPr>
        <w:t>.</w:t>
      </w:r>
      <w:r>
        <w:t xml:space="preserve">46), which we read as a known KPSS over-rejection in long samples with structural breaks rather than as evidence of a unit root in the differences (see </w:t>
      </w:r>
      <w:r>
        <w:rPr>
          <w:color w:val="000099"/>
        </w:rPr>
        <w:t>Reserve Bank of India</w:t>
      </w:r>
      <w:r>
        <w:t xml:space="preserve">, </w:t>
      </w:r>
      <w:r>
        <w:rPr>
          <w:color w:val="000099"/>
        </w:rPr>
        <w:t>2014</w:t>
      </w:r>
      <w:r>
        <w:t>). A Bai–Perron break test finds one break in ∆</w:t>
      </w:r>
      <w:proofErr w:type="spellStart"/>
      <w:r>
        <w:t>lnWPI</w:t>
      </w:r>
      <w:proofErr w:type="spellEnd"/>
      <w:r>
        <w:t xml:space="preserve"> at September 2013, which is the disinflationary regime change familiar from the inflation-targeting transition. With this in mind, ADL in differences with Newey–West inference is the cleaner short-run vehicle. We retain a NARDL-in-levels battery in the </w:t>
      </w:r>
      <w:r>
        <w:lastRenderedPageBreak/>
        <w:t>appendix for two reasons: it provides a long-run cointegration check, and it is the dominant method in the Indian pass-through literature, so silence on it would be conspicuous.</w:t>
      </w:r>
    </w:p>
    <w:p w:rsidR="00502504" w:rsidRDefault="00000000" w:rsidP="009711AA">
      <w:pPr>
        <w:spacing w:after="0" w:line="259" w:lineRule="auto"/>
        <w:ind w:left="10" w:right="23" w:hanging="10"/>
        <w:jc w:val="right"/>
      </w:pPr>
      <w:r>
        <w:t>The retail-fuel mechanism model uses ∆</w:t>
      </w:r>
      <w:proofErr w:type="spellStart"/>
      <w:r>
        <w:t>lnPetrol</w:t>
      </w:r>
      <w:r>
        <w:rPr>
          <w:i/>
          <w:vertAlign w:val="subscript"/>
        </w:rPr>
        <w:t>t</w:t>
      </w:r>
      <w:r>
        <w:rPr>
          <w:vertAlign w:val="superscript"/>
        </w:rPr>
        <w:t>Delhi</w:t>
      </w:r>
      <w:proofErr w:type="spellEnd"/>
      <w:r>
        <w:rPr>
          <w:vertAlign w:val="superscript"/>
        </w:rPr>
        <w:t xml:space="preserve"> </w:t>
      </w:r>
      <w:r>
        <w:t>as the dependent variable and asymmetric Brent</w:t>
      </w:r>
    </w:p>
    <w:p w:rsidR="00502504" w:rsidRDefault="00000000" w:rsidP="009711AA">
      <w:pPr>
        <w:spacing w:after="0"/>
        <w:ind w:left="11" w:hanging="10"/>
        <w:jc w:val="left"/>
      </w:pPr>
      <w:r>
        <w:t xml:space="preserve">(in USD) as the regressor, with </w:t>
      </w:r>
      <w:r>
        <w:rPr>
          <w:i/>
        </w:rPr>
        <w:t xml:space="preserve">q </w:t>
      </w:r>
      <w:r>
        <w:rPr>
          <w:rFonts w:ascii="Cambria" w:eastAsia="Cambria" w:hAnsi="Cambria" w:cs="Cambria"/>
        </w:rPr>
        <w:t xml:space="preserve">= </w:t>
      </w:r>
      <w:r>
        <w:t>3 lags on each side. Although the petrol pricing regime moved to fortnightly in 2014 and to daily revisions in 2017, monthly averaging is appropriate for the cross-layer comparison and avoids the Brent–EXR averaging mismatch that a daily specification would inherit. The CPI bridge model regresses ∆</w:t>
      </w:r>
      <w:proofErr w:type="spellStart"/>
      <w:r>
        <w:t>lnFuel&amp;Light</w:t>
      </w:r>
      <w:r>
        <w:rPr>
          <w:i/>
          <w:vertAlign w:val="subscript"/>
        </w:rPr>
        <w:t>t</w:t>
      </w:r>
      <w:r>
        <w:rPr>
          <w:vertAlign w:val="superscript"/>
        </w:rPr>
        <w:t>CPI</w:t>
      </w:r>
      <w:proofErr w:type="spellEnd"/>
      <w:r>
        <w:rPr>
          <w:vertAlign w:val="superscript"/>
        </w:rPr>
        <w:t xml:space="preserve"> </w:t>
      </w:r>
      <w:r>
        <w:t xml:space="preserve">on asymmetric retail petrol changes; this is reported as a bridge equation only because the available CPI Fuel and Light series </w:t>
      </w:r>
      <w:proofErr w:type="gramStart"/>
      <w:r>
        <w:t>begins</w:t>
      </w:r>
      <w:proofErr w:type="gramEnd"/>
      <w:r>
        <w:t xml:space="preserve"> in May 2011 and falls below the 20-year window we treat as the minimum sample for headline mandates.</w:t>
      </w:r>
    </w:p>
    <w:p w:rsidR="00502504" w:rsidRDefault="00000000" w:rsidP="009711AA">
      <w:pPr>
        <w:spacing w:after="0" w:line="259" w:lineRule="auto"/>
        <w:ind w:left="10" w:right="23" w:hanging="10"/>
        <w:jc w:val="right"/>
      </w:pPr>
      <w:r>
        <w:t>Granger predictive precedence is reported alongside the ADL evidence as a complementary check.</w:t>
      </w:r>
    </w:p>
    <w:p w:rsidR="00091037" w:rsidRPr="00091037" w:rsidRDefault="00000000" w:rsidP="00091037">
      <w:pPr>
        <w:spacing w:after="0"/>
        <w:ind w:left="1" w:right="23"/>
      </w:pPr>
      <w:r>
        <w:t>We treat Granger statistics as evidence of lead–lag predictability rather than of structural causality, in line</w:t>
      </w:r>
      <w:r w:rsidR="00091037">
        <w:t xml:space="preserve"> </w:t>
      </w:r>
      <w:r w:rsidR="00091037" w:rsidRPr="00091037">
        <w:t>with the conservative reading common in the recent literature.</w:t>
      </w:r>
    </w:p>
    <w:p w:rsidR="00502504" w:rsidRDefault="00502504" w:rsidP="009711AA">
      <w:pPr>
        <w:spacing w:after="0"/>
        <w:ind w:left="1" w:right="23"/>
      </w:pPr>
    </w:p>
    <w:p w:rsidR="00502504" w:rsidRDefault="00000000" w:rsidP="009711AA">
      <w:pPr>
        <w:spacing w:after="0" w:line="259" w:lineRule="auto"/>
        <w:ind w:left="558"/>
        <w:jc w:val="left"/>
      </w:pPr>
      <w:r>
        <w:rPr>
          <w:noProof/>
        </w:rPr>
        <w:drawing>
          <wp:inline distT="0" distB="0" distL="0" distR="0">
            <wp:extent cx="5043464" cy="2773906"/>
            <wp:effectExtent l="0" t="0" r="0" b="0"/>
            <wp:docPr id="820" name="Picture 820"/>
            <wp:cNvGraphicFramePr/>
            <a:graphic xmlns:a="http://schemas.openxmlformats.org/drawingml/2006/main">
              <a:graphicData uri="http://schemas.openxmlformats.org/drawingml/2006/picture">
                <pic:pic xmlns:pic="http://schemas.openxmlformats.org/drawingml/2006/picture">
                  <pic:nvPicPr>
                    <pic:cNvPr id="820" name="Picture 820"/>
                    <pic:cNvPicPr/>
                  </pic:nvPicPr>
                  <pic:blipFill>
                    <a:blip r:embed="rId12"/>
                    <a:stretch>
                      <a:fillRect/>
                    </a:stretch>
                  </pic:blipFill>
                  <pic:spPr>
                    <a:xfrm>
                      <a:off x="0" y="0"/>
                      <a:ext cx="5043464" cy="2773906"/>
                    </a:xfrm>
                    <a:prstGeom prst="rect">
                      <a:avLst/>
                    </a:prstGeom>
                  </pic:spPr>
                </pic:pic>
              </a:graphicData>
            </a:graphic>
          </wp:inline>
        </w:drawing>
      </w:r>
    </w:p>
    <w:p w:rsidR="00502504" w:rsidRDefault="00000000" w:rsidP="009711AA">
      <w:pPr>
        <w:spacing w:after="0" w:line="245" w:lineRule="auto"/>
        <w:ind w:left="4" w:right="23" w:hanging="3"/>
      </w:pPr>
      <w:r>
        <w:rPr>
          <w:sz w:val="20"/>
        </w:rPr>
        <w:t>Figure 1: Chained WPI series, 2011-12 = 100. Headline WPI runs from April 1982 (528 monthly observations); Fuel &amp; Power begins April 1994 (384 observations). Splice points across the four official OEA base years are marked.</w:t>
      </w:r>
    </w:p>
    <w:p w:rsidR="00502504" w:rsidRDefault="00000000" w:rsidP="009711AA">
      <w:pPr>
        <w:spacing w:after="0" w:line="248" w:lineRule="auto"/>
        <w:ind w:left="10" w:right="28" w:hanging="10"/>
        <w:jc w:val="center"/>
      </w:pPr>
      <w:r>
        <w:rPr>
          <w:sz w:val="20"/>
        </w:rPr>
        <w:t>Table 2: Headline WPI ADL on rupee oil. Cumulative pass-through over lags 0–6.</w:t>
      </w:r>
    </w:p>
    <w:tbl>
      <w:tblPr>
        <w:tblStyle w:val="TableGrid"/>
        <w:tblW w:w="6872" w:type="dxa"/>
        <w:tblInd w:w="1093" w:type="dxa"/>
        <w:tblCellMar>
          <w:top w:w="29" w:type="dxa"/>
          <w:left w:w="0" w:type="dxa"/>
          <w:bottom w:w="29" w:type="dxa"/>
          <w:right w:w="100" w:type="dxa"/>
        </w:tblCellMar>
        <w:tblLook w:val="04A0" w:firstRow="1" w:lastRow="0" w:firstColumn="1" w:lastColumn="0" w:noHBand="0" w:noVBand="1"/>
      </w:tblPr>
      <w:tblGrid>
        <w:gridCol w:w="5505"/>
        <w:gridCol w:w="646"/>
        <w:gridCol w:w="721"/>
      </w:tblGrid>
      <w:tr w:rsidR="00502504">
        <w:trPr>
          <w:trHeight w:val="341"/>
        </w:trPr>
        <w:tc>
          <w:tcPr>
            <w:tcW w:w="5505" w:type="dxa"/>
            <w:tcBorders>
              <w:top w:val="single" w:sz="7" w:space="0" w:color="000000"/>
              <w:left w:val="nil"/>
              <w:bottom w:val="single" w:sz="4" w:space="0" w:color="000000"/>
              <w:right w:val="nil"/>
            </w:tcBorders>
          </w:tcPr>
          <w:p w:rsidR="00502504" w:rsidRDefault="00000000" w:rsidP="009711AA">
            <w:pPr>
              <w:tabs>
                <w:tab w:val="center" w:pos="2831"/>
                <w:tab w:val="center" w:pos="3541"/>
                <w:tab w:val="center" w:pos="4380"/>
                <w:tab w:val="right" w:pos="5405"/>
              </w:tabs>
              <w:spacing w:after="0" w:line="259" w:lineRule="auto"/>
              <w:ind w:left="0"/>
              <w:jc w:val="left"/>
            </w:pPr>
            <w:r>
              <w:rPr>
                <w:sz w:val="18"/>
              </w:rPr>
              <w:t>Specification</w:t>
            </w:r>
            <w:r>
              <w:rPr>
                <w:sz w:val="18"/>
              </w:rPr>
              <w:tab/>
            </w:r>
            <w:r>
              <w:rPr>
                <w:i/>
                <w:sz w:val="18"/>
              </w:rPr>
              <w:t>N</w:t>
            </w:r>
            <w:r>
              <w:rPr>
                <w:i/>
                <w:sz w:val="18"/>
              </w:rPr>
              <w:tab/>
            </w:r>
            <w:r>
              <w:rPr>
                <w:sz w:val="18"/>
              </w:rPr>
              <w:t>Span (yrs)</w:t>
            </w:r>
            <w:r>
              <w:rPr>
                <w:sz w:val="18"/>
              </w:rPr>
              <w:tab/>
              <w:t xml:space="preserve">Adj. </w:t>
            </w:r>
            <w:r>
              <w:rPr>
                <w:i/>
                <w:sz w:val="18"/>
              </w:rPr>
              <w:t>R</w:t>
            </w:r>
            <w:r>
              <w:rPr>
                <w:sz w:val="18"/>
                <w:vertAlign w:val="superscript"/>
              </w:rPr>
              <w:t>2</w:t>
            </w:r>
            <w:r>
              <w:rPr>
                <w:sz w:val="18"/>
                <w:vertAlign w:val="superscript"/>
              </w:rPr>
              <w:tab/>
            </w:r>
            <w:r>
              <w:rPr>
                <w:sz w:val="18"/>
              </w:rPr>
              <w:t>CPT</w:t>
            </w:r>
            <w:r>
              <w:rPr>
                <w:rFonts w:ascii="Cambria" w:eastAsia="Cambria" w:hAnsi="Cambria" w:cs="Cambria"/>
                <w:sz w:val="18"/>
                <w:vertAlign w:val="superscript"/>
              </w:rPr>
              <w:t>+</w:t>
            </w:r>
          </w:p>
        </w:tc>
        <w:tc>
          <w:tcPr>
            <w:tcW w:w="646" w:type="dxa"/>
            <w:tcBorders>
              <w:top w:val="single" w:sz="7" w:space="0" w:color="000000"/>
              <w:left w:val="nil"/>
              <w:bottom w:val="single" w:sz="4" w:space="0" w:color="000000"/>
              <w:right w:val="nil"/>
            </w:tcBorders>
          </w:tcPr>
          <w:p w:rsidR="00502504" w:rsidRDefault="00000000" w:rsidP="009711AA">
            <w:pPr>
              <w:spacing w:after="0" w:line="259" w:lineRule="auto"/>
              <w:ind w:left="0"/>
              <w:jc w:val="left"/>
            </w:pPr>
            <w:r>
              <w:rPr>
                <w:sz w:val="18"/>
              </w:rPr>
              <w:t>CPT</w:t>
            </w:r>
            <w:r>
              <w:rPr>
                <w:rFonts w:ascii="Cambria" w:eastAsia="Cambria" w:hAnsi="Cambria" w:cs="Cambria"/>
                <w:sz w:val="18"/>
                <w:vertAlign w:val="superscript"/>
              </w:rPr>
              <w:t>−</w:t>
            </w:r>
          </w:p>
        </w:tc>
        <w:tc>
          <w:tcPr>
            <w:tcW w:w="721" w:type="dxa"/>
            <w:tcBorders>
              <w:top w:val="single" w:sz="7" w:space="0" w:color="000000"/>
              <w:left w:val="nil"/>
              <w:bottom w:val="single" w:sz="4" w:space="0" w:color="000000"/>
              <w:right w:val="nil"/>
            </w:tcBorders>
          </w:tcPr>
          <w:p w:rsidR="00502504" w:rsidRDefault="00000000" w:rsidP="009711AA">
            <w:pPr>
              <w:spacing w:after="0" w:line="259" w:lineRule="auto"/>
              <w:ind w:left="0"/>
              <w:jc w:val="left"/>
            </w:pPr>
            <w:proofErr w:type="spellStart"/>
            <w:r>
              <w:rPr>
                <w:sz w:val="18"/>
              </w:rPr>
              <w:t>Asym</w:t>
            </w:r>
            <w:proofErr w:type="spellEnd"/>
            <w:r>
              <w:rPr>
                <w:sz w:val="18"/>
              </w:rPr>
              <w:t xml:space="preserve">. </w:t>
            </w:r>
            <w:r>
              <w:rPr>
                <w:i/>
                <w:sz w:val="18"/>
              </w:rPr>
              <w:t>p</w:t>
            </w:r>
          </w:p>
        </w:tc>
      </w:tr>
      <w:tr w:rsidR="00502504">
        <w:trPr>
          <w:trHeight w:val="291"/>
        </w:trPr>
        <w:tc>
          <w:tcPr>
            <w:tcW w:w="5505" w:type="dxa"/>
            <w:tcBorders>
              <w:top w:val="single" w:sz="4" w:space="0" w:color="000000"/>
              <w:left w:val="nil"/>
              <w:bottom w:val="nil"/>
              <w:right w:val="nil"/>
            </w:tcBorders>
          </w:tcPr>
          <w:p w:rsidR="00502504" w:rsidRDefault="00000000" w:rsidP="009711AA">
            <w:pPr>
              <w:tabs>
                <w:tab w:val="center" w:pos="2836"/>
                <w:tab w:val="center" w:pos="3541"/>
                <w:tab w:val="center" w:pos="4385"/>
                <w:tab w:val="right" w:pos="5405"/>
              </w:tabs>
              <w:spacing w:after="0" w:line="259" w:lineRule="auto"/>
              <w:ind w:left="0"/>
              <w:jc w:val="left"/>
            </w:pPr>
            <w:r>
              <w:rPr>
                <w:sz w:val="18"/>
              </w:rPr>
              <w:t>Headline WPI ADL, INR oil</w:t>
            </w:r>
            <w:r>
              <w:rPr>
                <w:sz w:val="18"/>
              </w:rPr>
              <w:tab/>
              <w:t>515</w:t>
            </w:r>
            <w:r>
              <w:rPr>
                <w:sz w:val="18"/>
              </w:rPr>
              <w:tab/>
              <w:t>42.92</w:t>
            </w:r>
            <w:r>
              <w:rPr>
                <w:sz w:val="18"/>
              </w:rPr>
              <w:tab/>
              <w:t>0.421</w:t>
            </w:r>
            <w:r>
              <w:rPr>
                <w:sz w:val="18"/>
              </w:rPr>
              <w:tab/>
              <w:t>0.030</w:t>
            </w:r>
          </w:p>
        </w:tc>
        <w:tc>
          <w:tcPr>
            <w:tcW w:w="646" w:type="dxa"/>
            <w:tcBorders>
              <w:top w:val="single" w:sz="4" w:space="0" w:color="000000"/>
              <w:left w:val="nil"/>
              <w:bottom w:val="nil"/>
              <w:right w:val="nil"/>
            </w:tcBorders>
          </w:tcPr>
          <w:p w:rsidR="00502504" w:rsidRDefault="00000000" w:rsidP="009711AA">
            <w:pPr>
              <w:spacing w:after="0" w:line="259" w:lineRule="auto"/>
              <w:ind w:left="22"/>
              <w:jc w:val="left"/>
            </w:pPr>
            <w:r>
              <w:rPr>
                <w:sz w:val="18"/>
              </w:rPr>
              <w:t>0.037</w:t>
            </w:r>
          </w:p>
        </w:tc>
        <w:tc>
          <w:tcPr>
            <w:tcW w:w="721" w:type="dxa"/>
            <w:tcBorders>
              <w:top w:val="single" w:sz="4" w:space="0" w:color="000000"/>
              <w:left w:val="nil"/>
              <w:bottom w:val="nil"/>
              <w:right w:val="nil"/>
            </w:tcBorders>
          </w:tcPr>
          <w:p w:rsidR="00502504" w:rsidRDefault="00000000" w:rsidP="009711AA">
            <w:pPr>
              <w:spacing w:after="0" w:line="259" w:lineRule="auto"/>
              <w:ind w:left="109"/>
              <w:jc w:val="left"/>
            </w:pPr>
            <w:r>
              <w:rPr>
                <w:sz w:val="18"/>
              </w:rPr>
              <w:t>0.673</w:t>
            </w:r>
          </w:p>
        </w:tc>
      </w:tr>
      <w:tr w:rsidR="00502504">
        <w:trPr>
          <w:trHeight w:val="261"/>
        </w:trPr>
        <w:tc>
          <w:tcPr>
            <w:tcW w:w="5505" w:type="dxa"/>
            <w:tcBorders>
              <w:top w:val="nil"/>
              <w:left w:val="nil"/>
              <w:bottom w:val="single" w:sz="4" w:space="0" w:color="000000"/>
              <w:right w:val="nil"/>
            </w:tcBorders>
          </w:tcPr>
          <w:p w:rsidR="00502504" w:rsidRDefault="00000000" w:rsidP="009711AA">
            <w:pPr>
              <w:tabs>
                <w:tab w:val="right" w:pos="5405"/>
              </w:tabs>
              <w:spacing w:after="0" w:line="259" w:lineRule="auto"/>
              <w:ind w:left="0"/>
              <w:jc w:val="left"/>
            </w:pPr>
            <w:r>
              <w:rPr>
                <w:i/>
                <w:sz w:val="18"/>
              </w:rPr>
              <w:t>p</w:t>
            </w:r>
            <w:r>
              <w:rPr>
                <w:sz w:val="18"/>
              </w:rPr>
              <w:t>-value on cumulative coefficient</w:t>
            </w:r>
            <w:r>
              <w:rPr>
                <w:sz w:val="18"/>
              </w:rPr>
              <w:tab/>
              <w:t>0.024</w:t>
            </w:r>
          </w:p>
        </w:tc>
        <w:tc>
          <w:tcPr>
            <w:tcW w:w="646" w:type="dxa"/>
            <w:tcBorders>
              <w:top w:val="nil"/>
              <w:left w:val="nil"/>
              <w:bottom w:val="single" w:sz="4" w:space="0" w:color="000000"/>
              <w:right w:val="nil"/>
            </w:tcBorders>
          </w:tcPr>
          <w:p w:rsidR="00502504" w:rsidRDefault="00000000" w:rsidP="009711AA">
            <w:pPr>
              <w:spacing w:after="0" w:line="259" w:lineRule="auto"/>
              <w:ind w:left="22"/>
              <w:jc w:val="left"/>
            </w:pPr>
            <w:r>
              <w:rPr>
                <w:sz w:val="18"/>
              </w:rPr>
              <w:t>0.001</w:t>
            </w:r>
          </w:p>
        </w:tc>
        <w:tc>
          <w:tcPr>
            <w:tcW w:w="721" w:type="dxa"/>
            <w:tcBorders>
              <w:top w:val="nil"/>
              <w:left w:val="nil"/>
              <w:bottom w:val="single" w:sz="4" w:space="0" w:color="000000"/>
              <w:right w:val="nil"/>
            </w:tcBorders>
          </w:tcPr>
          <w:p w:rsidR="00502504" w:rsidRDefault="00502504" w:rsidP="009711AA">
            <w:pPr>
              <w:spacing w:after="0" w:line="259" w:lineRule="auto"/>
              <w:ind w:left="0"/>
              <w:jc w:val="left"/>
            </w:pPr>
          </w:p>
        </w:tc>
      </w:tr>
      <w:tr w:rsidR="00502504">
        <w:trPr>
          <w:trHeight w:val="556"/>
        </w:trPr>
        <w:tc>
          <w:tcPr>
            <w:tcW w:w="5505" w:type="dxa"/>
            <w:tcBorders>
              <w:top w:val="single" w:sz="4" w:space="0" w:color="000000"/>
              <w:left w:val="nil"/>
              <w:bottom w:val="single" w:sz="7" w:space="0" w:color="000000"/>
              <w:right w:val="nil"/>
            </w:tcBorders>
          </w:tcPr>
          <w:p w:rsidR="00502504" w:rsidRDefault="00000000" w:rsidP="009711AA">
            <w:pPr>
              <w:spacing w:after="0" w:line="259" w:lineRule="auto"/>
              <w:ind w:left="100"/>
              <w:jc w:val="left"/>
            </w:pPr>
            <w:r>
              <w:rPr>
                <w:i/>
                <w:sz w:val="18"/>
              </w:rPr>
              <w:t xml:space="preserve">Bootstrap symmetry </w:t>
            </w:r>
            <w:r>
              <w:rPr>
                <w:sz w:val="18"/>
              </w:rPr>
              <w:t>(</w:t>
            </w:r>
            <w:r>
              <w:rPr>
                <w:i/>
                <w:sz w:val="18"/>
              </w:rPr>
              <w:t xml:space="preserve">B </w:t>
            </w:r>
            <w:r>
              <w:rPr>
                <w:rFonts w:ascii="Cambria" w:eastAsia="Cambria" w:hAnsi="Cambria" w:cs="Cambria"/>
                <w:sz w:val="18"/>
              </w:rPr>
              <w:t xml:space="preserve">= </w:t>
            </w:r>
            <w:r>
              <w:rPr>
                <w:sz w:val="18"/>
              </w:rPr>
              <w:t>4</w:t>
            </w:r>
            <w:r>
              <w:rPr>
                <w:rFonts w:ascii="Cambria" w:eastAsia="Cambria" w:hAnsi="Cambria" w:cs="Cambria"/>
                <w:i/>
                <w:sz w:val="18"/>
              </w:rPr>
              <w:t>,</w:t>
            </w:r>
            <w:r>
              <w:rPr>
                <w:sz w:val="18"/>
              </w:rPr>
              <w:t>999, restricted-residual circular block):</w:t>
            </w:r>
          </w:p>
          <w:p w:rsidR="00502504" w:rsidRDefault="00000000" w:rsidP="009711AA">
            <w:pPr>
              <w:spacing w:after="0" w:line="259" w:lineRule="auto"/>
              <w:ind w:left="100"/>
              <w:jc w:val="left"/>
            </w:pPr>
            <w:r>
              <w:rPr>
                <w:sz w:val="18"/>
              </w:rPr>
              <w:t xml:space="preserve">Bootstrap </w:t>
            </w:r>
            <w:r>
              <w:rPr>
                <w:i/>
                <w:sz w:val="18"/>
              </w:rPr>
              <w:t xml:space="preserve">p </w:t>
            </w:r>
            <w:r>
              <w:rPr>
                <w:sz w:val="18"/>
              </w:rPr>
              <w:t>on CPT</w:t>
            </w:r>
            <w:r>
              <w:rPr>
                <w:rFonts w:ascii="Cambria" w:eastAsia="Cambria" w:hAnsi="Cambria" w:cs="Cambria"/>
                <w:sz w:val="18"/>
                <w:vertAlign w:val="superscript"/>
              </w:rPr>
              <w:t xml:space="preserve">+ </w:t>
            </w:r>
            <w:r>
              <w:rPr>
                <w:sz w:val="18"/>
              </w:rPr>
              <w:t>= CPT</w:t>
            </w:r>
            <w:r>
              <w:rPr>
                <w:rFonts w:ascii="Cambria" w:eastAsia="Cambria" w:hAnsi="Cambria" w:cs="Cambria"/>
                <w:sz w:val="18"/>
                <w:vertAlign w:val="superscript"/>
              </w:rPr>
              <w:t>−</w:t>
            </w:r>
          </w:p>
        </w:tc>
        <w:tc>
          <w:tcPr>
            <w:tcW w:w="646" w:type="dxa"/>
            <w:tcBorders>
              <w:top w:val="single" w:sz="4" w:space="0" w:color="000000"/>
              <w:left w:val="nil"/>
              <w:bottom w:val="single" w:sz="7" w:space="0" w:color="000000"/>
              <w:right w:val="nil"/>
            </w:tcBorders>
          </w:tcPr>
          <w:p w:rsidR="00502504" w:rsidRDefault="00502504" w:rsidP="009711AA">
            <w:pPr>
              <w:spacing w:after="0" w:line="259" w:lineRule="auto"/>
              <w:ind w:left="0"/>
              <w:jc w:val="left"/>
            </w:pPr>
          </w:p>
        </w:tc>
        <w:tc>
          <w:tcPr>
            <w:tcW w:w="721" w:type="dxa"/>
            <w:tcBorders>
              <w:top w:val="single" w:sz="4" w:space="0" w:color="000000"/>
              <w:left w:val="nil"/>
              <w:bottom w:val="single" w:sz="7" w:space="0" w:color="000000"/>
              <w:right w:val="nil"/>
            </w:tcBorders>
            <w:vAlign w:val="bottom"/>
          </w:tcPr>
          <w:p w:rsidR="00502504" w:rsidRDefault="00000000" w:rsidP="009711AA">
            <w:pPr>
              <w:spacing w:after="0" w:line="259" w:lineRule="auto"/>
              <w:ind w:left="109"/>
              <w:jc w:val="left"/>
            </w:pPr>
            <w:r>
              <w:rPr>
                <w:sz w:val="18"/>
              </w:rPr>
              <w:t>0.746</w:t>
            </w:r>
          </w:p>
        </w:tc>
      </w:tr>
    </w:tbl>
    <w:p w:rsidR="00502504" w:rsidRDefault="00000000" w:rsidP="009711AA">
      <w:pPr>
        <w:spacing w:after="0" w:line="323" w:lineRule="auto"/>
        <w:ind w:left="10" w:hanging="10"/>
        <w:jc w:val="center"/>
      </w:pPr>
      <w:r>
        <w:rPr>
          <w:sz w:val="18"/>
        </w:rPr>
        <w:t>Notes: Sample 1983-05 to 2026-03. Specification: ∆</w:t>
      </w:r>
      <w:proofErr w:type="spellStart"/>
      <w:r>
        <w:rPr>
          <w:sz w:val="18"/>
        </w:rPr>
        <w:t>lnWPI</w:t>
      </w:r>
      <w:r>
        <w:rPr>
          <w:i/>
          <w:sz w:val="18"/>
          <w:vertAlign w:val="subscript"/>
        </w:rPr>
        <w:t>t</w:t>
      </w:r>
      <w:proofErr w:type="spellEnd"/>
      <w:r>
        <w:rPr>
          <w:i/>
          <w:sz w:val="18"/>
          <w:vertAlign w:val="subscript"/>
        </w:rPr>
        <w:t xml:space="preserve"> </w:t>
      </w:r>
      <w:r>
        <w:rPr>
          <w:sz w:val="18"/>
        </w:rPr>
        <w:t>on twelve own lags, lags 0–6 of ∆</w:t>
      </w:r>
      <w:proofErr w:type="spellStart"/>
      <w:r>
        <w:rPr>
          <w:sz w:val="18"/>
        </w:rPr>
        <w:t>lnOil</w:t>
      </w:r>
      <w:r>
        <w:rPr>
          <w:sz w:val="18"/>
          <w:vertAlign w:val="superscript"/>
        </w:rPr>
        <w:t>INR</w:t>
      </w:r>
      <w:r>
        <w:rPr>
          <w:i/>
          <w:sz w:val="18"/>
          <w:vertAlign w:val="subscript"/>
        </w:rPr>
        <w:t>t</w:t>
      </w:r>
      <w:proofErr w:type="spellEnd"/>
      <w:r>
        <w:rPr>
          <w:rFonts w:ascii="Cambria" w:eastAsia="Cambria" w:hAnsi="Cambria" w:cs="Cambria"/>
          <w:sz w:val="18"/>
          <w:vertAlign w:val="superscript"/>
        </w:rPr>
        <w:t xml:space="preserve">+ </w:t>
      </w:r>
      <w:r>
        <w:rPr>
          <w:sz w:val="18"/>
        </w:rPr>
        <w:t>and ∆</w:t>
      </w:r>
      <w:proofErr w:type="spellStart"/>
      <w:r>
        <w:rPr>
          <w:sz w:val="18"/>
        </w:rPr>
        <w:t>lnOil</w:t>
      </w:r>
      <w:r>
        <w:rPr>
          <w:sz w:val="18"/>
          <w:vertAlign w:val="superscript"/>
        </w:rPr>
        <w:t>INR</w:t>
      </w:r>
      <w:r>
        <w:rPr>
          <w:i/>
          <w:sz w:val="18"/>
          <w:vertAlign w:val="subscript"/>
        </w:rPr>
        <w:t>t</w:t>
      </w:r>
      <w:proofErr w:type="spellEnd"/>
      <w:r>
        <w:rPr>
          <w:rFonts w:ascii="Cambria" w:eastAsia="Cambria" w:hAnsi="Cambria" w:cs="Cambria"/>
          <w:sz w:val="18"/>
          <w:vertAlign w:val="superscript"/>
        </w:rPr>
        <w:t>−</w:t>
      </w:r>
      <w:r>
        <w:rPr>
          <w:sz w:val="18"/>
        </w:rPr>
        <w:t>, and calendar-month fixed effects. Newey–West HAC standard errors. Cumulative pass-through CPT</w:t>
      </w:r>
      <w:r>
        <w:rPr>
          <w:rFonts w:ascii="Cambria" w:eastAsia="Cambria" w:hAnsi="Cambria" w:cs="Cambria"/>
          <w:sz w:val="18"/>
          <w:vertAlign w:val="superscript"/>
        </w:rPr>
        <w:t xml:space="preserve">± </w:t>
      </w:r>
      <w:r>
        <w:rPr>
          <w:sz w:val="18"/>
        </w:rPr>
        <w:t xml:space="preserve">is the sum of the corresponding seven coefficients. Asymmetry </w:t>
      </w:r>
      <w:r>
        <w:rPr>
          <w:i/>
          <w:sz w:val="18"/>
        </w:rPr>
        <w:t xml:space="preserve">p </w:t>
      </w:r>
      <w:r>
        <w:rPr>
          <w:sz w:val="18"/>
        </w:rPr>
        <w:t>is the HAC Wald test of CPT</w:t>
      </w:r>
      <w:r>
        <w:rPr>
          <w:rFonts w:ascii="Cambria" w:eastAsia="Cambria" w:hAnsi="Cambria" w:cs="Cambria"/>
          <w:sz w:val="18"/>
          <w:vertAlign w:val="superscript"/>
        </w:rPr>
        <w:t xml:space="preserve">+ </w:t>
      </w:r>
      <w:r>
        <w:rPr>
          <w:sz w:val="18"/>
        </w:rPr>
        <w:t>= CPT</w:t>
      </w:r>
      <w:r>
        <w:rPr>
          <w:rFonts w:ascii="Cambria" w:eastAsia="Cambria" w:hAnsi="Cambria" w:cs="Cambria"/>
          <w:sz w:val="18"/>
          <w:vertAlign w:val="superscript"/>
        </w:rPr>
        <w:t>−</w:t>
      </w:r>
      <w:r>
        <w:rPr>
          <w:sz w:val="18"/>
        </w:rPr>
        <w:t>.</w:t>
      </w:r>
    </w:p>
    <w:p w:rsidR="00502504" w:rsidRDefault="00000000" w:rsidP="009711AA">
      <w:pPr>
        <w:pStyle w:val="Heading1"/>
        <w:spacing w:after="0"/>
        <w:ind w:left="431" w:hanging="430"/>
      </w:pPr>
      <w:r>
        <w:t>Historical wholesale pass-through</w:t>
      </w:r>
    </w:p>
    <w:p w:rsidR="00502504" w:rsidRDefault="00000000" w:rsidP="009711AA">
      <w:pPr>
        <w:spacing w:after="0"/>
        <w:ind w:left="1" w:right="23"/>
      </w:pPr>
      <w:r>
        <w:t xml:space="preserve">We start with the longest sample. Table </w:t>
      </w:r>
      <w:r>
        <w:rPr>
          <w:color w:val="000099"/>
        </w:rPr>
        <w:t xml:space="preserve">2 </w:t>
      </w:r>
      <w:r>
        <w:t>reports the headline WPI ADL on rupee oil for May 1983 through March 2026 (</w:t>
      </w:r>
      <w:r>
        <w:rPr>
          <w:i/>
        </w:rPr>
        <w:t xml:space="preserve">N </w:t>
      </w:r>
      <w:r>
        <w:rPr>
          <w:rFonts w:ascii="Cambria" w:eastAsia="Cambria" w:hAnsi="Cambria" w:cs="Cambria"/>
        </w:rPr>
        <w:t xml:space="preserve">= </w:t>
      </w:r>
      <w:r>
        <w:t>515, span 42.92 years).</w:t>
      </w:r>
    </w:p>
    <w:p w:rsidR="00502504" w:rsidRDefault="00000000" w:rsidP="009711AA">
      <w:pPr>
        <w:spacing w:after="0"/>
        <w:ind w:left="1" w:right="23" w:firstLine="269"/>
      </w:pPr>
      <w:r>
        <w:t xml:space="preserve">The picture is consistent across the two cumulative summaries. Positive oil shocks raise wholesale inflation by 3.0 percent of the shock over the seven-month window, with </w:t>
      </w:r>
      <w:r>
        <w:rPr>
          <w:i/>
        </w:rPr>
        <w:t xml:space="preserve">p </w:t>
      </w:r>
      <w:r>
        <w:rPr>
          <w:rFonts w:ascii="Cambria" w:eastAsia="Cambria" w:hAnsi="Cambria" w:cs="Cambria"/>
        </w:rPr>
        <w:t xml:space="preserve">= </w:t>
      </w:r>
      <w:r>
        <w:t>0</w:t>
      </w:r>
      <w:r>
        <w:rPr>
          <w:rFonts w:ascii="Cambria" w:eastAsia="Cambria" w:hAnsi="Cambria" w:cs="Cambria"/>
          <w:i/>
        </w:rPr>
        <w:t>.</w:t>
      </w:r>
      <w:r>
        <w:t xml:space="preserve">024. Negative shocks </w:t>
      </w:r>
      <w:r>
        <w:lastRenderedPageBreak/>
        <w:t xml:space="preserve">subtract 3.7 percent, with </w:t>
      </w:r>
      <w:r>
        <w:rPr>
          <w:i/>
        </w:rPr>
        <w:t xml:space="preserve">p </w:t>
      </w:r>
      <w:r>
        <w:rPr>
          <w:rFonts w:ascii="Cambria" w:eastAsia="Cambria" w:hAnsi="Cambria" w:cs="Cambria"/>
        </w:rPr>
        <w:t xml:space="preserve">= </w:t>
      </w:r>
      <w:r>
        <w:t>0</w:t>
      </w:r>
      <w:r>
        <w:rPr>
          <w:rFonts w:ascii="Cambria" w:eastAsia="Cambria" w:hAnsi="Cambria" w:cs="Cambria"/>
          <w:i/>
        </w:rPr>
        <w:t>.</w:t>
      </w:r>
      <w:r>
        <w:t xml:space="preserve">001. Both numbers are small but precise. The Wald symmetry test on the seven-lag restriction yields an asymptotic </w:t>
      </w:r>
      <w:r>
        <w:rPr>
          <w:i/>
        </w:rPr>
        <w:t>p</w:t>
      </w:r>
      <w:r>
        <w:t>-value of 0</w:t>
      </w:r>
      <w:r>
        <w:rPr>
          <w:rFonts w:ascii="Cambria" w:eastAsia="Cambria" w:hAnsi="Cambria" w:cs="Cambria"/>
          <w:i/>
        </w:rPr>
        <w:t>.</w:t>
      </w:r>
      <w:r>
        <w:t xml:space="preserve">673 and a bootstrap </w:t>
      </w:r>
      <w:r>
        <w:rPr>
          <w:i/>
        </w:rPr>
        <w:t>p</w:t>
      </w:r>
      <w:r>
        <w:t>-value of 0</w:t>
      </w:r>
      <w:r>
        <w:rPr>
          <w:rFonts w:ascii="Cambria" w:eastAsia="Cambria" w:hAnsi="Cambria" w:cs="Cambria"/>
          <w:i/>
        </w:rPr>
        <w:t>.</w:t>
      </w:r>
      <w:r>
        <w:t>746; the data give no support to short-run asymmetry over the full historical sample. The Brent + EXR decomposition (reported in the next section as a robustness check) returns a near-identical CPT</w:t>
      </w:r>
      <w:r>
        <w:rPr>
          <w:rFonts w:ascii="Cambria" w:eastAsia="Cambria" w:hAnsi="Cambria" w:cs="Cambria"/>
          <w:vertAlign w:val="superscript"/>
        </w:rPr>
        <w:t xml:space="preserve">+ </w:t>
      </w:r>
      <w:r>
        <w:t>of 0</w:t>
      </w:r>
      <w:r>
        <w:rPr>
          <w:rFonts w:ascii="Cambria" w:eastAsia="Cambria" w:hAnsi="Cambria" w:cs="Cambria"/>
          <w:i/>
        </w:rPr>
        <w:t>.</w:t>
      </w:r>
      <w:r>
        <w:t>031 and CPT</w:t>
      </w:r>
      <w:r>
        <w:rPr>
          <w:rFonts w:ascii="Cambria" w:eastAsia="Cambria" w:hAnsi="Cambria" w:cs="Cambria"/>
          <w:vertAlign w:val="superscript"/>
        </w:rPr>
        <w:t xml:space="preserve">− </w:t>
      </w:r>
      <w:r>
        <w:t>of 0</w:t>
      </w:r>
      <w:r>
        <w:rPr>
          <w:rFonts w:ascii="Cambria" w:eastAsia="Cambria" w:hAnsi="Cambria" w:cs="Cambria"/>
          <w:i/>
        </w:rPr>
        <w:t>.</w:t>
      </w:r>
      <w:r>
        <w:t xml:space="preserve">037, which suggests that the rupee oil aggregate is not hiding a sign-cancelling combination of price and exchange-rate movements. Adjusted </w:t>
      </w:r>
      <w:r>
        <w:rPr>
          <w:i/>
        </w:rPr>
        <w:t>R</w:t>
      </w:r>
      <w:r>
        <w:rPr>
          <w:vertAlign w:val="superscript"/>
        </w:rPr>
        <w:t xml:space="preserve">2 </w:t>
      </w:r>
      <w:r>
        <w:t>for the headline ADL is 0</w:t>
      </w:r>
      <w:r>
        <w:rPr>
          <w:rFonts w:ascii="Cambria" w:eastAsia="Cambria" w:hAnsi="Cambria" w:cs="Cambria"/>
          <w:i/>
        </w:rPr>
        <w:t>.</w:t>
      </w:r>
      <w:r>
        <w:t xml:space="preserve">42. A Breusch–Godfrey test at twelve lags returns </w:t>
      </w:r>
      <w:r>
        <w:rPr>
          <w:i/>
        </w:rPr>
        <w:t xml:space="preserve">p </w:t>
      </w:r>
      <w:r>
        <w:rPr>
          <w:rFonts w:ascii="Cambria" w:eastAsia="Cambria" w:hAnsi="Cambria" w:cs="Cambria"/>
        </w:rPr>
        <w:t xml:space="preserve">= </w:t>
      </w:r>
      <w:r>
        <w:t>0</w:t>
      </w:r>
      <w:r>
        <w:rPr>
          <w:rFonts w:ascii="Cambria" w:eastAsia="Cambria" w:hAnsi="Cambria" w:cs="Cambria"/>
          <w:i/>
        </w:rPr>
        <w:t>.</w:t>
      </w:r>
      <w:r>
        <w:t>84. The HAC RESET test passes (</w:t>
      </w:r>
      <w:r>
        <w:rPr>
          <w:i/>
        </w:rPr>
        <w:t xml:space="preserve">p </w:t>
      </w:r>
      <w:r>
        <w:rPr>
          <w:rFonts w:ascii="Cambria" w:eastAsia="Cambria" w:hAnsi="Cambria" w:cs="Cambria"/>
        </w:rPr>
        <w:t xml:space="preserve">= </w:t>
      </w:r>
      <w:r>
        <w:t>0</w:t>
      </w:r>
      <w:r>
        <w:rPr>
          <w:rFonts w:ascii="Cambria" w:eastAsia="Cambria" w:hAnsi="Cambria" w:cs="Cambria"/>
          <w:i/>
        </w:rPr>
        <w:t>.</w:t>
      </w:r>
      <w:r>
        <w:t>35). The recursive CUSUM test passes at conventional levels (</w:t>
      </w:r>
      <w:r>
        <w:rPr>
          <w:i/>
        </w:rPr>
        <w:t xml:space="preserve">p </w:t>
      </w:r>
      <w:r>
        <w:rPr>
          <w:rFonts w:ascii="Cambria" w:eastAsia="Cambria" w:hAnsi="Cambria" w:cs="Cambria"/>
        </w:rPr>
        <w:t xml:space="preserve">= </w:t>
      </w:r>
      <w:r>
        <w:t>0</w:t>
      </w:r>
      <w:r>
        <w:rPr>
          <w:rFonts w:ascii="Cambria" w:eastAsia="Cambria" w:hAnsi="Cambria" w:cs="Cambria"/>
          <w:i/>
        </w:rPr>
        <w:t>.</w:t>
      </w:r>
      <w:r>
        <w:t>39).</w:t>
      </w:r>
    </w:p>
    <w:p w:rsidR="00502504" w:rsidRDefault="00000000" w:rsidP="009711AA">
      <w:pPr>
        <w:spacing w:after="0" w:line="259" w:lineRule="auto"/>
        <w:ind w:left="558"/>
        <w:jc w:val="left"/>
      </w:pPr>
      <w:r>
        <w:rPr>
          <w:noProof/>
        </w:rPr>
        <w:drawing>
          <wp:inline distT="0" distB="0" distL="0" distR="0">
            <wp:extent cx="5043464" cy="2521732"/>
            <wp:effectExtent l="0" t="0" r="0" b="0"/>
            <wp:docPr id="999" name="Picture 999"/>
            <wp:cNvGraphicFramePr/>
            <a:graphic xmlns:a="http://schemas.openxmlformats.org/drawingml/2006/main">
              <a:graphicData uri="http://schemas.openxmlformats.org/drawingml/2006/picture">
                <pic:pic xmlns:pic="http://schemas.openxmlformats.org/drawingml/2006/picture">
                  <pic:nvPicPr>
                    <pic:cNvPr id="999" name="Picture 999"/>
                    <pic:cNvPicPr/>
                  </pic:nvPicPr>
                  <pic:blipFill>
                    <a:blip r:embed="rId13"/>
                    <a:stretch>
                      <a:fillRect/>
                    </a:stretch>
                  </pic:blipFill>
                  <pic:spPr>
                    <a:xfrm>
                      <a:off x="0" y="0"/>
                      <a:ext cx="5043464" cy="2521732"/>
                    </a:xfrm>
                    <a:prstGeom prst="rect">
                      <a:avLst/>
                    </a:prstGeom>
                  </pic:spPr>
                </pic:pic>
              </a:graphicData>
            </a:graphic>
          </wp:inline>
        </w:drawing>
      </w:r>
    </w:p>
    <w:p w:rsidR="00502504" w:rsidRDefault="00000000" w:rsidP="009711AA">
      <w:pPr>
        <w:spacing w:after="0" w:line="245" w:lineRule="auto"/>
        <w:ind w:left="4" w:right="23" w:hanging="3"/>
      </w:pPr>
      <w:r>
        <w:rPr>
          <w:sz w:val="20"/>
        </w:rPr>
        <w:t xml:space="preserve">Figure 2: Decomposition of the rupee oil price into Brent (USD) and the INR/USD rate. Plotted in log levels with each series indexed to its January 2000 value. The two cost-side drivers move out of phase in some windows (notably 2003–2008 and 2014–2016), which is the variation the Brent + EXR robustness specification in Section </w:t>
      </w:r>
      <w:r>
        <w:rPr>
          <w:color w:val="000099"/>
          <w:sz w:val="20"/>
        </w:rPr>
        <w:t xml:space="preserve">6 </w:t>
      </w:r>
      <w:r>
        <w:rPr>
          <w:sz w:val="20"/>
        </w:rPr>
        <w:t>exploits.</w:t>
      </w:r>
    </w:p>
    <w:p w:rsidR="00502504" w:rsidRDefault="00000000" w:rsidP="009711AA">
      <w:pPr>
        <w:spacing w:after="0" w:line="248" w:lineRule="auto"/>
        <w:ind w:left="10" w:right="28" w:hanging="10"/>
        <w:jc w:val="center"/>
      </w:pPr>
      <w:r>
        <w:rPr>
          <w:sz w:val="20"/>
        </w:rPr>
        <w:t>Table 3: Pre/post-2010 subsample comparison. Headline WPI and Fuel &amp; Power ADL.</w:t>
      </w:r>
    </w:p>
    <w:tbl>
      <w:tblPr>
        <w:tblStyle w:val="TableGrid"/>
        <w:tblW w:w="7116" w:type="dxa"/>
        <w:tblInd w:w="971" w:type="dxa"/>
        <w:tblCellMar>
          <w:top w:w="29" w:type="dxa"/>
          <w:left w:w="0" w:type="dxa"/>
          <w:bottom w:w="0" w:type="dxa"/>
          <w:right w:w="100" w:type="dxa"/>
        </w:tblCellMar>
        <w:tblLook w:val="04A0" w:firstRow="1" w:lastRow="0" w:firstColumn="1" w:lastColumn="0" w:noHBand="0" w:noVBand="1"/>
      </w:tblPr>
      <w:tblGrid>
        <w:gridCol w:w="1730"/>
        <w:gridCol w:w="2512"/>
        <w:gridCol w:w="468"/>
        <w:gridCol w:w="646"/>
        <w:gridCol w:w="603"/>
        <w:gridCol w:w="646"/>
        <w:gridCol w:w="511"/>
      </w:tblGrid>
      <w:tr w:rsidR="00502504">
        <w:trPr>
          <w:trHeight w:val="336"/>
        </w:trPr>
        <w:tc>
          <w:tcPr>
            <w:tcW w:w="1733" w:type="dxa"/>
            <w:tcBorders>
              <w:top w:val="single" w:sz="7" w:space="0" w:color="000000"/>
              <w:left w:val="nil"/>
              <w:bottom w:val="single" w:sz="4" w:space="0" w:color="000000"/>
              <w:right w:val="nil"/>
            </w:tcBorders>
          </w:tcPr>
          <w:p w:rsidR="00502504" w:rsidRDefault="00000000" w:rsidP="009711AA">
            <w:pPr>
              <w:spacing w:after="0" w:line="259" w:lineRule="auto"/>
              <w:ind w:left="100"/>
              <w:jc w:val="left"/>
            </w:pPr>
            <w:r>
              <w:rPr>
                <w:sz w:val="18"/>
              </w:rPr>
              <w:t>Model</w:t>
            </w:r>
          </w:p>
        </w:tc>
        <w:tc>
          <w:tcPr>
            <w:tcW w:w="2515" w:type="dxa"/>
            <w:tcBorders>
              <w:top w:val="single" w:sz="7" w:space="0" w:color="000000"/>
              <w:left w:val="nil"/>
              <w:bottom w:val="single" w:sz="4" w:space="0" w:color="000000"/>
              <w:right w:val="nil"/>
            </w:tcBorders>
          </w:tcPr>
          <w:p w:rsidR="00502504" w:rsidRDefault="00000000" w:rsidP="009711AA">
            <w:pPr>
              <w:spacing w:after="0" w:line="259" w:lineRule="auto"/>
              <w:ind w:left="0"/>
              <w:jc w:val="left"/>
            </w:pPr>
            <w:r>
              <w:rPr>
                <w:sz w:val="18"/>
              </w:rPr>
              <w:t>Subsample</w:t>
            </w:r>
          </w:p>
        </w:tc>
        <w:tc>
          <w:tcPr>
            <w:tcW w:w="468" w:type="dxa"/>
            <w:tcBorders>
              <w:top w:val="single" w:sz="7" w:space="0" w:color="000000"/>
              <w:left w:val="nil"/>
              <w:bottom w:val="single" w:sz="4" w:space="0" w:color="000000"/>
              <w:right w:val="nil"/>
            </w:tcBorders>
          </w:tcPr>
          <w:p w:rsidR="00502504" w:rsidRDefault="00000000" w:rsidP="009711AA">
            <w:pPr>
              <w:spacing w:after="0" w:line="259" w:lineRule="auto"/>
              <w:ind w:left="69"/>
              <w:jc w:val="left"/>
            </w:pPr>
            <w:r>
              <w:rPr>
                <w:i/>
                <w:sz w:val="18"/>
              </w:rPr>
              <w:t>N</w:t>
            </w:r>
          </w:p>
        </w:tc>
        <w:tc>
          <w:tcPr>
            <w:tcW w:w="646" w:type="dxa"/>
            <w:tcBorders>
              <w:top w:val="single" w:sz="7" w:space="0" w:color="000000"/>
              <w:left w:val="nil"/>
              <w:bottom w:val="single" w:sz="4" w:space="0" w:color="000000"/>
              <w:right w:val="nil"/>
            </w:tcBorders>
          </w:tcPr>
          <w:p w:rsidR="00502504" w:rsidRDefault="00000000" w:rsidP="009711AA">
            <w:pPr>
              <w:spacing w:after="0" w:line="259" w:lineRule="auto"/>
              <w:ind w:left="0"/>
              <w:jc w:val="left"/>
            </w:pPr>
            <w:r>
              <w:rPr>
                <w:sz w:val="18"/>
              </w:rPr>
              <w:t>CPT</w:t>
            </w:r>
            <w:r>
              <w:rPr>
                <w:rFonts w:ascii="Cambria" w:eastAsia="Cambria" w:hAnsi="Cambria" w:cs="Cambria"/>
                <w:sz w:val="18"/>
                <w:vertAlign w:val="superscript"/>
              </w:rPr>
              <w:t>+</w:t>
            </w:r>
          </w:p>
        </w:tc>
        <w:tc>
          <w:tcPr>
            <w:tcW w:w="603" w:type="dxa"/>
            <w:tcBorders>
              <w:top w:val="single" w:sz="7" w:space="0" w:color="000000"/>
              <w:left w:val="nil"/>
              <w:bottom w:val="single" w:sz="4" w:space="0" w:color="000000"/>
              <w:right w:val="nil"/>
            </w:tcBorders>
          </w:tcPr>
          <w:p w:rsidR="00502504" w:rsidRDefault="00000000" w:rsidP="009711AA">
            <w:pPr>
              <w:spacing w:after="0" w:line="259" w:lineRule="auto"/>
              <w:ind w:left="164"/>
              <w:jc w:val="left"/>
            </w:pPr>
            <w:r>
              <w:rPr>
                <w:i/>
                <w:sz w:val="18"/>
              </w:rPr>
              <w:t>p</w:t>
            </w:r>
          </w:p>
        </w:tc>
        <w:tc>
          <w:tcPr>
            <w:tcW w:w="646" w:type="dxa"/>
            <w:tcBorders>
              <w:top w:val="single" w:sz="7" w:space="0" w:color="000000"/>
              <w:left w:val="nil"/>
              <w:bottom w:val="single" w:sz="4" w:space="0" w:color="000000"/>
              <w:right w:val="nil"/>
            </w:tcBorders>
          </w:tcPr>
          <w:p w:rsidR="00502504" w:rsidRDefault="00000000" w:rsidP="009711AA">
            <w:pPr>
              <w:spacing w:after="0" w:line="259" w:lineRule="auto"/>
              <w:ind w:left="0"/>
              <w:jc w:val="left"/>
            </w:pPr>
            <w:r>
              <w:rPr>
                <w:sz w:val="18"/>
              </w:rPr>
              <w:t>CPT</w:t>
            </w:r>
            <w:r>
              <w:rPr>
                <w:rFonts w:ascii="Cambria" w:eastAsia="Cambria" w:hAnsi="Cambria" w:cs="Cambria"/>
                <w:sz w:val="18"/>
                <w:vertAlign w:val="superscript"/>
              </w:rPr>
              <w:t>−</w:t>
            </w:r>
          </w:p>
        </w:tc>
        <w:tc>
          <w:tcPr>
            <w:tcW w:w="503" w:type="dxa"/>
            <w:tcBorders>
              <w:top w:val="single" w:sz="7" w:space="0" w:color="000000"/>
              <w:left w:val="nil"/>
              <w:bottom w:val="single" w:sz="4" w:space="0" w:color="000000"/>
              <w:right w:val="nil"/>
            </w:tcBorders>
          </w:tcPr>
          <w:p w:rsidR="00502504" w:rsidRDefault="00000000" w:rsidP="009711AA">
            <w:pPr>
              <w:spacing w:after="0" w:line="259" w:lineRule="auto"/>
              <w:ind w:left="164"/>
              <w:jc w:val="left"/>
            </w:pPr>
            <w:r>
              <w:rPr>
                <w:i/>
                <w:sz w:val="18"/>
              </w:rPr>
              <w:t>p</w:t>
            </w:r>
          </w:p>
        </w:tc>
      </w:tr>
      <w:tr w:rsidR="00502504">
        <w:trPr>
          <w:trHeight w:val="291"/>
        </w:trPr>
        <w:tc>
          <w:tcPr>
            <w:tcW w:w="1733" w:type="dxa"/>
            <w:tcBorders>
              <w:top w:val="single" w:sz="4" w:space="0" w:color="000000"/>
              <w:left w:val="nil"/>
              <w:bottom w:val="nil"/>
              <w:right w:val="nil"/>
            </w:tcBorders>
          </w:tcPr>
          <w:p w:rsidR="00502504" w:rsidRDefault="00000000" w:rsidP="009711AA">
            <w:pPr>
              <w:spacing w:after="0" w:line="259" w:lineRule="auto"/>
              <w:ind w:left="100"/>
              <w:jc w:val="left"/>
            </w:pPr>
            <w:r>
              <w:rPr>
                <w:sz w:val="18"/>
              </w:rPr>
              <w:t>Headline WPI ADL</w:t>
            </w:r>
          </w:p>
        </w:tc>
        <w:tc>
          <w:tcPr>
            <w:tcW w:w="2515" w:type="dxa"/>
            <w:tcBorders>
              <w:top w:val="single" w:sz="4" w:space="0" w:color="000000"/>
              <w:left w:val="nil"/>
              <w:bottom w:val="nil"/>
              <w:right w:val="nil"/>
            </w:tcBorders>
          </w:tcPr>
          <w:p w:rsidR="00502504" w:rsidRDefault="00000000" w:rsidP="009711AA">
            <w:pPr>
              <w:spacing w:after="0" w:line="259" w:lineRule="auto"/>
              <w:ind w:left="0"/>
              <w:jc w:val="left"/>
            </w:pPr>
            <w:r>
              <w:rPr>
                <w:sz w:val="18"/>
              </w:rPr>
              <w:t>Pre-2010 (1983-05 to 2010-03)</w:t>
            </w:r>
          </w:p>
        </w:tc>
        <w:tc>
          <w:tcPr>
            <w:tcW w:w="468" w:type="dxa"/>
            <w:tcBorders>
              <w:top w:val="single" w:sz="4" w:space="0" w:color="000000"/>
              <w:left w:val="nil"/>
              <w:bottom w:val="nil"/>
              <w:right w:val="nil"/>
            </w:tcBorders>
          </w:tcPr>
          <w:p w:rsidR="00502504" w:rsidRDefault="00000000" w:rsidP="009711AA">
            <w:pPr>
              <w:spacing w:after="0" w:line="259" w:lineRule="auto"/>
              <w:ind w:left="0"/>
              <w:jc w:val="left"/>
            </w:pPr>
            <w:r>
              <w:rPr>
                <w:sz w:val="18"/>
              </w:rPr>
              <w:t>323</w:t>
            </w:r>
          </w:p>
        </w:tc>
        <w:tc>
          <w:tcPr>
            <w:tcW w:w="646" w:type="dxa"/>
            <w:tcBorders>
              <w:top w:val="single" w:sz="4" w:space="0" w:color="000000"/>
              <w:left w:val="nil"/>
              <w:bottom w:val="nil"/>
              <w:right w:val="nil"/>
            </w:tcBorders>
          </w:tcPr>
          <w:p w:rsidR="00502504" w:rsidRDefault="00000000" w:rsidP="009711AA">
            <w:pPr>
              <w:spacing w:after="0" w:line="259" w:lineRule="auto"/>
              <w:ind w:left="22"/>
              <w:jc w:val="left"/>
            </w:pPr>
            <w:r>
              <w:rPr>
                <w:sz w:val="18"/>
              </w:rPr>
              <w:t>0.012</w:t>
            </w:r>
          </w:p>
        </w:tc>
        <w:tc>
          <w:tcPr>
            <w:tcW w:w="603" w:type="dxa"/>
            <w:tcBorders>
              <w:top w:val="single" w:sz="4" w:space="0" w:color="000000"/>
              <w:left w:val="nil"/>
              <w:bottom w:val="nil"/>
              <w:right w:val="nil"/>
            </w:tcBorders>
          </w:tcPr>
          <w:p w:rsidR="00502504" w:rsidRDefault="00000000" w:rsidP="009711AA">
            <w:pPr>
              <w:spacing w:after="0" w:line="259" w:lineRule="auto"/>
              <w:ind w:left="0"/>
              <w:jc w:val="left"/>
            </w:pPr>
            <w:r>
              <w:rPr>
                <w:sz w:val="18"/>
              </w:rPr>
              <w:t>0.381</w:t>
            </w:r>
          </w:p>
        </w:tc>
        <w:tc>
          <w:tcPr>
            <w:tcW w:w="646" w:type="dxa"/>
            <w:tcBorders>
              <w:top w:val="single" w:sz="4" w:space="0" w:color="000000"/>
              <w:left w:val="nil"/>
              <w:bottom w:val="nil"/>
              <w:right w:val="nil"/>
            </w:tcBorders>
          </w:tcPr>
          <w:p w:rsidR="00502504" w:rsidRDefault="00000000" w:rsidP="009711AA">
            <w:pPr>
              <w:spacing w:after="0" w:line="259" w:lineRule="auto"/>
              <w:ind w:left="22"/>
              <w:jc w:val="left"/>
            </w:pPr>
            <w:r>
              <w:rPr>
                <w:sz w:val="18"/>
              </w:rPr>
              <w:t>0.025</w:t>
            </w:r>
          </w:p>
        </w:tc>
        <w:tc>
          <w:tcPr>
            <w:tcW w:w="503" w:type="dxa"/>
            <w:tcBorders>
              <w:top w:val="single" w:sz="4" w:space="0" w:color="000000"/>
              <w:left w:val="nil"/>
              <w:bottom w:val="nil"/>
              <w:right w:val="nil"/>
            </w:tcBorders>
          </w:tcPr>
          <w:p w:rsidR="00502504" w:rsidRDefault="00000000" w:rsidP="009711AA">
            <w:pPr>
              <w:spacing w:after="0" w:line="259" w:lineRule="auto"/>
              <w:ind w:left="0"/>
              <w:jc w:val="left"/>
            </w:pPr>
            <w:r>
              <w:rPr>
                <w:sz w:val="18"/>
              </w:rPr>
              <w:t>0.043</w:t>
            </w:r>
          </w:p>
        </w:tc>
      </w:tr>
      <w:tr w:rsidR="00502504">
        <w:trPr>
          <w:trHeight w:val="261"/>
        </w:trPr>
        <w:tc>
          <w:tcPr>
            <w:tcW w:w="1733" w:type="dxa"/>
            <w:tcBorders>
              <w:top w:val="nil"/>
              <w:left w:val="nil"/>
              <w:bottom w:val="single" w:sz="4" w:space="0" w:color="000000"/>
              <w:right w:val="nil"/>
            </w:tcBorders>
          </w:tcPr>
          <w:p w:rsidR="00502504" w:rsidRDefault="00000000" w:rsidP="009711AA">
            <w:pPr>
              <w:spacing w:after="0" w:line="259" w:lineRule="auto"/>
              <w:ind w:left="100"/>
              <w:jc w:val="left"/>
            </w:pPr>
            <w:r>
              <w:rPr>
                <w:sz w:val="18"/>
              </w:rPr>
              <w:t>Headline WPI ADL</w:t>
            </w:r>
          </w:p>
        </w:tc>
        <w:tc>
          <w:tcPr>
            <w:tcW w:w="2515" w:type="dxa"/>
            <w:tcBorders>
              <w:top w:val="nil"/>
              <w:left w:val="nil"/>
              <w:bottom w:val="single" w:sz="4" w:space="0" w:color="000000"/>
              <w:right w:val="nil"/>
            </w:tcBorders>
          </w:tcPr>
          <w:p w:rsidR="00502504" w:rsidRDefault="00000000" w:rsidP="009711AA">
            <w:pPr>
              <w:spacing w:after="0" w:line="259" w:lineRule="auto"/>
              <w:ind w:left="0"/>
              <w:jc w:val="left"/>
            </w:pPr>
            <w:r>
              <w:rPr>
                <w:sz w:val="18"/>
              </w:rPr>
              <w:t>Post-2010 (2010-04 to 2026-03)</w:t>
            </w:r>
          </w:p>
        </w:tc>
        <w:tc>
          <w:tcPr>
            <w:tcW w:w="468" w:type="dxa"/>
            <w:tcBorders>
              <w:top w:val="nil"/>
              <w:left w:val="nil"/>
              <w:bottom w:val="single" w:sz="4" w:space="0" w:color="000000"/>
              <w:right w:val="nil"/>
            </w:tcBorders>
          </w:tcPr>
          <w:p w:rsidR="00502504" w:rsidRDefault="00000000" w:rsidP="009711AA">
            <w:pPr>
              <w:spacing w:after="0" w:line="259" w:lineRule="auto"/>
              <w:ind w:left="0"/>
              <w:jc w:val="left"/>
            </w:pPr>
            <w:r>
              <w:rPr>
                <w:sz w:val="18"/>
              </w:rPr>
              <w:t>192</w:t>
            </w:r>
          </w:p>
        </w:tc>
        <w:tc>
          <w:tcPr>
            <w:tcW w:w="646" w:type="dxa"/>
            <w:tcBorders>
              <w:top w:val="nil"/>
              <w:left w:val="nil"/>
              <w:bottom w:val="single" w:sz="4" w:space="0" w:color="000000"/>
              <w:right w:val="nil"/>
            </w:tcBorders>
          </w:tcPr>
          <w:p w:rsidR="00502504" w:rsidRDefault="00000000" w:rsidP="009711AA">
            <w:pPr>
              <w:spacing w:after="0" w:line="259" w:lineRule="auto"/>
              <w:ind w:left="22"/>
              <w:jc w:val="left"/>
            </w:pPr>
            <w:r>
              <w:rPr>
                <w:sz w:val="18"/>
              </w:rPr>
              <w:t>0.074</w:t>
            </w:r>
          </w:p>
        </w:tc>
        <w:tc>
          <w:tcPr>
            <w:tcW w:w="603" w:type="dxa"/>
            <w:tcBorders>
              <w:top w:val="nil"/>
              <w:left w:val="nil"/>
              <w:bottom w:val="single" w:sz="4" w:space="0" w:color="000000"/>
              <w:right w:val="nil"/>
            </w:tcBorders>
          </w:tcPr>
          <w:p w:rsidR="00502504" w:rsidRDefault="00000000" w:rsidP="009711AA">
            <w:pPr>
              <w:spacing w:after="0" w:line="259" w:lineRule="auto"/>
              <w:ind w:left="0"/>
              <w:jc w:val="left"/>
            </w:pPr>
            <w:r>
              <w:rPr>
                <w:sz w:val="18"/>
              </w:rPr>
              <w:t>0.004</w:t>
            </w:r>
          </w:p>
        </w:tc>
        <w:tc>
          <w:tcPr>
            <w:tcW w:w="646" w:type="dxa"/>
            <w:tcBorders>
              <w:top w:val="nil"/>
              <w:left w:val="nil"/>
              <w:bottom w:val="single" w:sz="4" w:space="0" w:color="000000"/>
              <w:right w:val="nil"/>
            </w:tcBorders>
          </w:tcPr>
          <w:p w:rsidR="00502504" w:rsidRDefault="00000000" w:rsidP="009711AA">
            <w:pPr>
              <w:spacing w:after="0" w:line="259" w:lineRule="auto"/>
              <w:ind w:left="22"/>
              <w:jc w:val="left"/>
            </w:pPr>
            <w:r>
              <w:rPr>
                <w:sz w:val="18"/>
              </w:rPr>
              <w:t>0.081</w:t>
            </w:r>
          </w:p>
        </w:tc>
        <w:tc>
          <w:tcPr>
            <w:tcW w:w="503" w:type="dxa"/>
            <w:tcBorders>
              <w:top w:val="nil"/>
              <w:left w:val="nil"/>
              <w:bottom w:val="single" w:sz="4" w:space="0" w:color="000000"/>
              <w:right w:val="nil"/>
            </w:tcBorders>
          </w:tcPr>
          <w:p w:rsidR="00502504" w:rsidRDefault="00000000" w:rsidP="009711AA">
            <w:pPr>
              <w:spacing w:after="0" w:line="259" w:lineRule="auto"/>
              <w:ind w:left="0"/>
              <w:jc w:val="left"/>
            </w:pPr>
            <w:r>
              <w:rPr>
                <w:sz w:val="18"/>
              </w:rPr>
              <w:t>0.000</w:t>
            </w:r>
          </w:p>
        </w:tc>
      </w:tr>
      <w:tr w:rsidR="00502504">
        <w:trPr>
          <w:trHeight w:val="291"/>
        </w:trPr>
        <w:tc>
          <w:tcPr>
            <w:tcW w:w="1733" w:type="dxa"/>
            <w:tcBorders>
              <w:top w:val="single" w:sz="4" w:space="0" w:color="000000"/>
              <w:left w:val="nil"/>
              <w:bottom w:val="nil"/>
              <w:right w:val="nil"/>
            </w:tcBorders>
          </w:tcPr>
          <w:p w:rsidR="00502504" w:rsidRDefault="00000000" w:rsidP="009711AA">
            <w:pPr>
              <w:spacing w:after="0" w:line="259" w:lineRule="auto"/>
              <w:ind w:left="100"/>
              <w:jc w:val="left"/>
            </w:pPr>
            <w:r>
              <w:rPr>
                <w:sz w:val="18"/>
              </w:rPr>
              <w:t>Fuel &amp; Power ADL</w:t>
            </w:r>
          </w:p>
        </w:tc>
        <w:tc>
          <w:tcPr>
            <w:tcW w:w="2515" w:type="dxa"/>
            <w:tcBorders>
              <w:top w:val="single" w:sz="4" w:space="0" w:color="000000"/>
              <w:left w:val="nil"/>
              <w:bottom w:val="nil"/>
              <w:right w:val="nil"/>
            </w:tcBorders>
          </w:tcPr>
          <w:p w:rsidR="00502504" w:rsidRDefault="00000000" w:rsidP="009711AA">
            <w:pPr>
              <w:spacing w:after="0" w:line="259" w:lineRule="auto"/>
              <w:ind w:left="0"/>
              <w:jc w:val="left"/>
            </w:pPr>
            <w:r>
              <w:rPr>
                <w:sz w:val="18"/>
              </w:rPr>
              <w:t>Pre-2010 (1995-05 to 2010-03)</w:t>
            </w:r>
          </w:p>
        </w:tc>
        <w:tc>
          <w:tcPr>
            <w:tcW w:w="468" w:type="dxa"/>
            <w:tcBorders>
              <w:top w:val="single" w:sz="4" w:space="0" w:color="000000"/>
              <w:left w:val="nil"/>
              <w:bottom w:val="nil"/>
              <w:right w:val="nil"/>
            </w:tcBorders>
          </w:tcPr>
          <w:p w:rsidR="00502504" w:rsidRDefault="00000000" w:rsidP="009711AA">
            <w:pPr>
              <w:spacing w:after="0" w:line="259" w:lineRule="auto"/>
              <w:ind w:left="0"/>
              <w:jc w:val="left"/>
            </w:pPr>
            <w:r>
              <w:rPr>
                <w:sz w:val="18"/>
              </w:rPr>
              <w:t>179</w:t>
            </w:r>
          </w:p>
        </w:tc>
        <w:tc>
          <w:tcPr>
            <w:tcW w:w="646" w:type="dxa"/>
            <w:tcBorders>
              <w:top w:val="single" w:sz="4" w:space="0" w:color="000000"/>
              <w:left w:val="nil"/>
              <w:bottom w:val="nil"/>
              <w:right w:val="nil"/>
            </w:tcBorders>
          </w:tcPr>
          <w:p w:rsidR="00502504" w:rsidRDefault="00000000" w:rsidP="009711AA">
            <w:pPr>
              <w:spacing w:after="0" w:line="259" w:lineRule="auto"/>
              <w:ind w:left="22"/>
              <w:jc w:val="left"/>
            </w:pPr>
            <w:r>
              <w:rPr>
                <w:sz w:val="18"/>
              </w:rPr>
              <w:t>0.092</w:t>
            </w:r>
          </w:p>
        </w:tc>
        <w:tc>
          <w:tcPr>
            <w:tcW w:w="603" w:type="dxa"/>
            <w:tcBorders>
              <w:top w:val="single" w:sz="4" w:space="0" w:color="000000"/>
              <w:left w:val="nil"/>
              <w:bottom w:val="nil"/>
              <w:right w:val="nil"/>
            </w:tcBorders>
          </w:tcPr>
          <w:p w:rsidR="00502504" w:rsidRDefault="00000000" w:rsidP="009711AA">
            <w:pPr>
              <w:spacing w:after="0" w:line="259" w:lineRule="auto"/>
              <w:ind w:left="0"/>
              <w:jc w:val="left"/>
            </w:pPr>
            <w:r>
              <w:rPr>
                <w:sz w:val="18"/>
              </w:rPr>
              <w:t>0.168</w:t>
            </w:r>
          </w:p>
        </w:tc>
        <w:tc>
          <w:tcPr>
            <w:tcW w:w="646" w:type="dxa"/>
            <w:tcBorders>
              <w:top w:val="single" w:sz="4" w:space="0" w:color="000000"/>
              <w:left w:val="nil"/>
              <w:bottom w:val="nil"/>
              <w:right w:val="nil"/>
            </w:tcBorders>
          </w:tcPr>
          <w:p w:rsidR="00502504" w:rsidRDefault="00000000" w:rsidP="009711AA">
            <w:pPr>
              <w:spacing w:after="0" w:line="259" w:lineRule="auto"/>
              <w:ind w:left="22"/>
              <w:jc w:val="left"/>
            </w:pPr>
            <w:r>
              <w:rPr>
                <w:sz w:val="18"/>
              </w:rPr>
              <w:t>0.238</w:t>
            </w:r>
          </w:p>
        </w:tc>
        <w:tc>
          <w:tcPr>
            <w:tcW w:w="503" w:type="dxa"/>
            <w:tcBorders>
              <w:top w:val="single" w:sz="4" w:space="0" w:color="000000"/>
              <w:left w:val="nil"/>
              <w:bottom w:val="nil"/>
              <w:right w:val="nil"/>
            </w:tcBorders>
          </w:tcPr>
          <w:p w:rsidR="00502504" w:rsidRDefault="00000000" w:rsidP="009711AA">
            <w:pPr>
              <w:spacing w:after="0" w:line="259" w:lineRule="auto"/>
              <w:ind w:left="0"/>
              <w:jc w:val="left"/>
            </w:pPr>
            <w:r>
              <w:rPr>
                <w:sz w:val="18"/>
              </w:rPr>
              <w:t>0.000</w:t>
            </w:r>
          </w:p>
        </w:tc>
      </w:tr>
      <w:tr w:rsidR="00502504">
        <w:trPr>
          <w:trHeight w:val="265"/>
        </w:trPr>
        <w:tc>
          <w:tcPr>
            <w:tcW w:w="1733" w:type="dxa"/>
            <w:tcBorders>
              <w:top w:val="nil"/>
              <w:left w:val="nil"/>
              <w:bottom w:val="single" w:sz="7" w:space="0" w:color="000000"/>
              <w:right w:val="nil"/>
            </w:tcBorders>
          </w:tcPr>
          <w:p w:rsidR="00502504" w:rsidRDefault="00000000" w:rsidP="009711AA">
            <w:pPr>
              <w:spacing w:after="0" w:line="259" w:lineRule="auto"/>
              <w:ind w:left="100"/>
              <w:jc w:val="left"/>
            </w:pPr>
            <w:r>
              <w:rPr>
                <w:sz w:val="18"/>
              </w:rPr>
              <w:t>Fuel &amp; Power ADL</w:t>
            </w:r>
          </w:p>
        </w:tc>
        <w:tc>
          <w:tcPr>
            <w:tcW w:w="2515" w:type="dxa"/>
            <w:tcBorders>
              <w:top w:val="nil"/>
              <w:left w:val="nil"/>
              <w:bottom w:val="single" w:sz="7" w:space="0" w:color="000000"/>
              <w:right w:val="nil"/>
            </w:tcBorders>
          </w:tcPr>
          <w:p w:rsidR="00502504" w:rsidRDefault="00000000" w:rsidP="009711AA">
            <w:pPr>
              <w:spacing w:after="0" w:line="259" w:lineRule="auto"/>
              <w:ind w:left="0"/>
              <w:jc w:val="left"/>
            </w:pPr>
            <w:r>
              <w:rPr>
                <w:sz w:val="18"/>
              </w:rPr>
              <w:t>Post-2010 (2010-04 to 2026-03)</w:t>
            </w:r>
          </w:p>
        </w:tc>
        <w:tc>
          <w:tcPr>
            <w:tcW w:w="468" w:type="dxa"/>
            <w:tcBorders>
              <w:top w:val="nil"/>
              <w:left w:val="nil"/>
              <w:bottom w:val="single" w:sz="7" w:space="0" w:color="000000"/>
              <w:right w:val="nil"/>
            </w:tcBorders>
          </w:tcPr>
          <w:p w:rsidR="00502504" w:rsidRDefault="00000000" w:rsidP="009711AA">
            <w:pPr>
              <w:spacing w:after="0" w:line="259" w:lineRule="auto"/>
              <w:ind w:left="0"/>
              <w:jc w:val="left"/>
            </w:pPr>
            <w:r>
              <w:rPr>
                <w:sz w:val="18"/>
              </w:rPr>
              <w:t>192</w:t>
            </w:r>
          </w:p>
        </w:tc>
        <w:tc>
          <w:tcPr>
            <w:tcW w:w="646" w:type="dxa"/>
            <w:tcBorders>
              <w:top w:val="nil"/>
              <w:left w:val="nil"/>
              <w:bottom w:val="single" w:sz="7" w:space="0" w:color="000000"/>
              <w:right w:val="nil"/>
            </w:tcBorders>
          </w:tcPr>
          <w:p w:rsidR="00502504" w:rsidRDefault="00000000" w:rsidP="009711AA">
            <w:pPr>
              <w:spacing w:after="0" w:line="259" w:lineRule="auto"/>
              <w:ind w:left="22"/>
              <w:jc w:val="left"/>
            </w:pPr>
            <w:r>
              <w:rPr>
                <w:sz w:val="18"/>
              </w:rPr>
              <w:t>0.524</w:t>
            </w:r>
          </w:p>
        </w:tc>
        <w:tc>
          <w:tcPr>
            <w:tcW w:w="603" w:type="dxa"/>
            <w:tcBorders>
              <w:top w:val="nil"/>
              <w:left w:val="nil"/>
              <w:bottom w:val="single" w:sz="7" w:space="0" w:color="000000"/>
              <w:right w:val="nil"/>
            </w:tcBorders>
          </w:tcPr>
          <w:p w:rsidR="00502504" w:rsidRDefault="00000000" w:rsidP="009711AA">
            <w:pPr>
              <w:spacing w:after="0" w:line="259" w:lineRule="auto"/>
              <w:ind w:left="0"/>
              <w:jc w:val="left"/>
            </w:pPr>
            <w:r>
              <w:rPr>
                <w:sz w:val="18"/>
              </w:rPr>
              <w:t>0.000</w:t>
            </w:r>
          </w:p>
        </w:tc>
        <w:tc>
          <w:tcPr>
            <w:tcW w:w="646" w:type="dxa"/>
            <w:tcBorders>
              <w:top w:val="nil"/>
              <w:left w:val="nil"/>
              <w:bottom w:val="single" w:sz="7" w:space="0" w:color="000000"/>
              <w:right w:val="nil"/>
            </w:tcBorders>
          </w:tcPr>
          <w:p w:rsidR="00502504" w:rsidRDefault="00000000" w:rsidP="009711AA">
            <w:pPr>
              <w:spacing w:after="0" w:line="259" w:lineRule="auto"/>
              <w:ind w:left="22"/>
              <w:jc w:val="left"/>
            </w:pPr>
            <w:r>
              <w:rPr>
                <w:sz w:val="18"/>
              </w:rPr>
              <w:t>0.438</w:t>
            </w:r>
          </w:p>
        </w:tc>
        <w:tc>
          <w:tcPr>
            <w:tcW w:w="503" w:type="dxa"/>
            <w:tcBorders>
              <w:top w:val="nil"/>
              <w:left w:val="nil"/>
              <w:bottom w:val="single" w:sz="7" w:space="0" w:color="000000"/>
              <w:right w:val="nil"/>
            </w:tcBorders>
          </w:tcPr>
          <w:p w:rsidR="00502504" w:rsidRDefault="00000000" w:rsidP="009711AA">
            <w:pPr>
              <w:spacing w:after="0" w:line="259" w:lineRule="auto"/>
              <w:ind w:left="0"/>
              <w:jc w:val="left"/>
            </w:pPr>
            <w:r>
              <w:rPr>
                <w:sz w:val="18"/>
              </w:rPr>
              <w:t>0.000</w:t>
            </w:r>
          </w:p>
        </w:tc>
      </w:tr>
    </w:tbl>
    <w:p w:rsidR="00502504" w:rsidRDefault="00000000" w:rsidP="009711AA">
      <w:pPr>
        <w:spacing w:after="0" w:line="251" w:lineRule="auto"/>
        <w:ind w:left="10" w:hanging="10"/>
        <w:jc w:val="center"/>
      </w:pPr>
      <w:r>
        <w:rPr>
          <w:sz w:val="18"/>
        </w:rPr>
        <w:t xml:space="preserve">Notes: ADL specification as in Table </w:t>
      </w:r>
      <w:r>
        <w:rPr>
          <w:color w:val="000099"/>
          <w:sz w:val="18"/>
        </w:rPr>
        <w:t>2</w:t>
      </w:r>
      <w:r>
        <w:rPr>
          <w:sz w:val="18"/>
        </w:rPr>
        <w:t>. Split point April 2010, the month after India’s June 2010 petrol deregulation. The post-2010 window also contains the October 2014 diesel deregulation. The split should be read as descriptive of the post-deregulation regime and not as a causal identification of reform effects.</w:t>
      </w:r>
    </w:p>
    <w:p w:rsidR="00091037" w:rsidRDefault="00091037" w:rsidP="00091037">
      <w:pPr>
        <w:spacing w:after="0" w:line="259" w:lineRule="auto"/>
        <w:ind w:left="10" w:right="23" w:hanging="10"/>
        <w:jc w:val="right"/>
      </w:pPr>
      <w:r>
        <w:t>The interesting result is the subsample split. Indian petrol prices were deregulated in June 2010 and</w:t>
      </w:r>
    </w:p>
    <w:p w:rsidR="00502504" w:rsidRDefault="00091037" w:rsidP="009711AA">
      <w:pPr>
        <w:spacing w:after="0"/>
        <w:ind w:left="1" w:right="23"/>
      </w:pPr>
      <w:r>
        <w:t xml:space="preserve"> </w:t>
      </w:r>
      <w:r w:rsidR="00000000">
        <w:t>diesel in October 2014. We split the sample at April 2010 to run a clean comparison and re-estimate the same ADL on the two windows.</w:t>
      </w:r>
    </w:p>
    <w:p w:rsidR="00502504" w:rsidRDefault="00000000" w:rsidP="009711AA">
      <w:pPr>
        <w:spacing w:after="0"/>
        <w:ind w:left="1" w:firstLine="269"/>
        <w:jc w:val="left"/>
      </w:pPr>
      <w:r>
        <w:t>The pre-2010 estimates are weak. Positive shocks pass through with CPT</w:t>
      </w:r>
      <w:r>
        <w:rPr>
          <w:rFonts w:ascii="Cambria" w:eastAsia="Cambria" w:hAnsi="Cambria" w:cs="Cambria"/>
          <w:vertAlign w:val="superscript"/>
        </w:rPr>
        <w:t>+</w:t>
      </w:r>
      <w:r>
        <w:rPr>
          <w:rFonts w:ascii="Cambria" w:eastAsia="Cambria" w:hAnsi="Cambria" w:cs="Cambria"/>
        </w:rPr>
        <w:t xml:space="preserve">= </w:t>
      </w:r>
      <w:r>
        <w:t>0</w:t>
      </w:r>
      <w:r>
        <w:rPr>
          <w:rFonts w:ascii="Cambria" w:eastAsia="Cambria" w:hAnsi="Cambria" w:cs="Cambria"/>
          <w:i/>
        </w:rPr>
        <w:t>.</w:t>
      </w:r>
      <w:r>
        <w:t>012 (</w:t>
      </w:r>
      <w:r>
        <w:rPr>
          <w:i/>
        </w:rPr>
        <w:t xml:space="preserve">p </w:t>
      </w:r>
      <w:r>
        <w:rPr>
          <w:rFonts w:ascii="Cambria" w:eastAsia="Cambria" w:hAnsi="Cambria" w:cs="Cambria"/>
        </w:rPr>
        <w:t xml:space="preserve">= </w:t>
      </w:r>
      <w:r>
        <w:t>0</w:t>
      </w:r>
      <w:r>
        <w:rPr>
          <w:rFonts w:ascii="Cambria" w:eastAsia="Cambria" w:hAnsi="Cambria" w:cs="Cambria"/>
          <w:i/>
        </w:rPr>
        <w:t>.</w:t>
      </w:r>
      <w:r>
        <w:t>38) and negative shocks with CPT</w:t>
      </w:r>
      <w:r>
        <w:rPr>
          <w:rFonts w:ascii="Cambria" w:eastAsia="Cambria" w:hAnsi="Cambria" w:cs="Cambria"/>
          <w:vertAlign w:val="superscript"/>
        </w:rPr>
        <w:t xml:space="preserve">− </w:t>
      </w:r>
      <w:r>
        <w:rPr>
          <w:rFonts w:ascii="Cambria" w:eastAsia="Cambria" w:hAnsi="Cambria" w:cs="Cambria"/>
        </w:rPr>
        <w:t xml:space="preserve">= </w:t>
      </w:r>
      <w:r>
        <w:t>0</w:t>
      </w:r>
      <w:r>
        <w:rPr>
          <w:rFonts w:ascii="Cambria" w:eastAsia="Cambria" w:hAnsi="Cambria" w:cs="Cambria"/>
          <w:i/>
        </w:rPr>
        <w:t>.</w:t>
      </w:r>
      <w:r>
        <w:t>025 (</w:t>
      </w:r>
      <w:r>
        <w:rPr>
          <w:i/>
        </w:rPr>
        <w:t xml:space="preserve">p </w:t>
      </w:r>
      <w:r>
        <w:rPr>
          <w:rFonts w:ascii="Cambria" w:eastAsia="Cambria" w:hAnsi="Cambria" w:cs="Cambria"/>
        </w:rPr>
        <w:t xml:space="preserve">= </w:t>
      </w:r>
      <w:r>
        <w:t>0</w:t>
      </w:r>
      <w:r>
        <w:rPr>
          <w:rFonts w:ascii="Cambria" w:eastAsia="Cambria" w:hAnsi="Cambria" w:cs="Cambria"/>
          <w:i/>
        </w:rPr>
        <w:t>.</w:t>
      </w:r>
      <w:r>
        <w:t>04). After deregulation, the same model on the post-2010 sample returns CPT</w:t>
      </w:r>
      <w:r>
        <w:rPr>
          <w:rFonts w:ascii="Cambria" w:eastAsia="Cambria" w:hAnsi="Cambria" w:cs="Cambria"/>
          <w:vertAlign w:val="superscript"/>
        </w:rPr>
        <w:t>+</w:t>
      </w:r>
      <w:r>
        <w:rPr>
          <w:rFonts w:ascii="Cambria" w:eastAsia="Cambria" w:hAnsi="Cambria" w:cs="Cambria"/>
        </w:rPr>
        <w:t xml:space="preserve">= </w:t>
      </w:r>
      <w:r>
        <w:t>0</w:t>
      </w:r>
      <w:r>
        <w:rPr>
          <w:rFonts w:ascii="Cambria" w:eastAsia="Cambria" w:hAnsi="Cambria" w:cs="Cambria"/>
          <w:i/>
        </w:rPr>
        <w:t>.</w:t>
      </w:r>
      <w:r>
        <w:t>074 (</w:t>
      </w:r>
      <w:r>
        <w:rPr>
          <w:i/>
        </w:rPr>
        <w:t xml:space="preserve">p </w:t>
      </w:r>
      <w:r>
        <w:rPr>
          <w:rFonts w:ascii="Cambria" w:eastAsia="Cambria" w:hAnsi="Cambria" w:cs="Cambria"/>
        </w:rPr>
        <w:t xml:space="preserve">= </w:t>
      </w:r>
      <w:r>
        <w:t>0</w:t>
      </w:r>
      <w:r>
        <w:rPr>
          <w:rFonts w:ascii="Cambria" w:eastAsia="Cambria" w:hAnsi="Cambria" w:cs="Cambria"/>
          <w:i/>
        </w:rPr>
        <w:t>.</w:t>
      </w:r>
      <w:r>
        <w:t>004) and CPT</w:t>
      </w:r>
      <w:r>
        <w:rPr>
          <w:rFonts w:ascii="Cambria" w:eastAsia="Cambria" w:hAnsi="Cambria" w:cs="Cambria"/>
          <w:vertAlign w:val="superscript"/>
        </w:rPr>
        <w:t xml:space="preserve">− </w:t>
      </w:r>
      <w:r>
        <w:rPr>
          <w:rFonts w:ascii="Cambria" w:eastAsia="Cambria" w:hAnsi="Cambria" w:cs="Cambria"/>
        </w:rPr>
        <w:t xml:space="preserve">= </w:t>
      </w:r>
      <w:r>
        <w:t>0</w:t>
      </w:r>
      <w:r>
        <w:rPr>
          <w:rFonts w:ascii="Cambria" w:eastAsia="Cambria" w:hAnsi="Cambria" w:cs="Cambria"/>
          <w:i/>
        </w:rPr>
        <w:t>.</w:t>
      </w:r>
      <w:r>
        <w:t>081 (</w:t>
      </w:r>
      <w:r>
        <w:rPr>
          <w:i/>
        </w:rPr>
        <w:t xml:space="preserve">p </w:t>
      </w:r>
      <w:r>
        <w:rPr>
          <w:rFonts w:ascii="Cambria" w:eastAsia="Cambria" w:hAnsi="Cambria" w:cs="Cambria"/>
          <w:i/>
        </w:rPr>
        <w:t xml:space="preserve">&lt; </w:t>
      </w:r>
      <w:r>
        <w:t>0</w:t>
      </w:r>
      <w:r>
        <w:rPr>
          <w:rFonts w:ascii="Cambria" w:eastAsia="Cambria" w:hAnsi="Cambria" w:cs="Cambria"/>
          <w:i/>
        </w:rPr>
        <w:t>.</w:t>
      </w:r>
      <w:r>
        <w:t>001). The post-period magnitudes are roughly six times the pre-period magnitudes on the positive side and three times on the negative side. The fuel-and-power subindex tells the same story with larger magnitudes. Pre-2010 fuel CPT</w:t>
      </w:r>
      <w:r>
        <w:rPr>
          <w:rFonts w:ascii="Cambria" w:eastAsia="Cambria" w:hAnsi="Cambria" w:cs="Cambria"/>
          <w:vertAlign w:val="superscript"/>
        </w:rPr>
        <w:t xml:space="preserve">+ </w:t>
      </w:r>
      <w:r>
        <w:t>is 0</w:t>
      </w:r>
      <w:r>
        <w:rPr>
          <w:rFonts w:ascii="Cambria" w:eastAsia="Cambria" w:hAnsi="Cambria" w:cs="Cambria"/>
          <w:i/>
        </w:rPr>
        <w:t>.</w:t>
      </w:r>
      <w:r>
        <w:t>092 and not significant; post-2010 it jumps to 0</w:t>
      </w:r>
      <w:r>
        <w:rPr>
          <w:rFonts w:ascii="Cambria" w:eastAsia="Cambria" w:hAnsi="Cambria" w:cs="Cambria"/>
          <w:i/>
        </w:rPr>
        <w:t>.</w:t>
      </w:r>
      <w:r>
        <w:t xml:space="preserve">524 and is highly significant. We read these comparisons as broadly consistent with the institutional shift toward more market-linked pricing, but we are deliberate about not calling them a causal identification of reform effects. The 2010–2014 </w:t>
      </w:r>
      <w:r>
        <w:lastRenderedPageBreak/>
        <w:t>window contains both monetary regime changes and global oil cycles, and the split-sample comparison cannot net these out cleanly.</w:t>
      </w:r>
    </w:p>
    <w:p w:rsidR="00A54C26" w:rsidRDefault="00A54C26" w:rsidP="00A54C26">
      <w:pPr>
        <w:spacing w:after="0"/>
        <w:ind w:left="1" w:right="23"/>
      </w:pPr>
      <w:r>
        <w:t xml:space="preserve">     </w:t>
      </w:r>
      <w:r w:rsidRPr="00A54C26">
        <w:t>Two simplified observations provide context for the analysis that follows. First, when measured against the largest possible sample available, headline WPI pass-through is minuscule if viewed in absolute terms: a one percent appreciation of the rupee price of oil increases wholesale inflation by roughly three basis points cumulatively over seven months. Second, the absence of short-term asymmetry in our headline series is at odds with the asymmetric short-term results found in a subset of the Indian NARDL literature (Abu-Bakar and Masih, 2018; Suresh et al., 2026). We take up that tension directly in Section 6, where our ADL appendix battery identifies long-term asymmetry even as our baseline short-run ADL does not. The two observations are not in contradiction. They are consuming different vintages. One vintage, the ADL in differences, diagnoses asymmetry by testing whether the seven-month sum of positive shocks is identical to the seven-month sum of negative shocks. The second, the NARDL in levels, tests the sample-long multipliers underlining positive and negative historical shocks for equality. As we show in Section 6, these two notions of asymmetry can peacefully coexist. Our baseline findings in the main text are short-run centered for reasons of readability. The test statistics from the differenced specifications have well-behaved bootstrap distributions, and the implied standard errors will be valid under any assumed cointegrating relationship</w:t>
      </w:r>
      <w:r>
        <w:t>.</w:t>
      </w:r>
    </w:p>
    <w:p w:rsidR="00502504" w:rsidRDefault="00502504" w:rsidP="009711AA">
      <w:pPr>
        <w:spacing w:after="0"/>
        <w:ind w:left="1" w:right="23" w:firstLine="272"/>
      </w:pPr>
    </w:p>
    <w:p w:rsidR="00502504" w:rsidRDefault="00000000" w:rsidP="009711AA">
      <w:pPr>
        <w:spacing w:after="0" w:line="259" w:lineRule="auto"/>
        <w:ind w:left="377"/>
        <w:jc w:val="left"/>
      </w:pPr>
      <w:r>
        <w:rPr>
          <w:noProof/>
        </w:rPr>
        <w:drawing>
          <wp:inline distT="0" distB="0" distL="0" distR="0">
            <wp:extent cx="5272705" cy="2899988"/>
            <wp:effectExtent l="0" t="0" r="0" b="0"/>
            <wp:docPr id="1133" name="Picture 1133"/>
            <wp:cNvGraphicFramePr/>
            <a:graphic xmlns:a="http://schemas.openxmlformats.org/drawingml/2006/main">
              <a:graphicData uri="http://schemas.openxmlformats.org/drawingml/2006/picture">
                <pic:pic xmlns:pic="http://schemas.openxmlformats.org/drawingml/2006/picture">
                  <pic:nvPicPr>
                    <pic:cNvPr id="1133" name="Picture 1133"/>
                    <pic:cNvPicPr/>
                  </pic:nvPicPr>
                  <pic:blipFill>
                    <a:blip r:embed="rId14"/>
                    <a:stretch>
                      <a:fillRect/>
                    </a:stretch>
                  </pic:blipFill>
                  <pic:spPr>
                    <a:xfrm>
                      <a:off x="0" y="0"/>
                      <a:ext cx="5272705" cy="2899988"/>
                    </a:xfrm>
                    <a:prstGeom prst="rect">
                      <a:avLst/>
                    </a:prstGeom>
                  </pic:spPr>
                </pic:pic>
              </a:graphicData>
            </a:graphic>
          </wp:inline>
        </w:drawing>
      </w:r>
    </w:p>
    <w:p w:rsidR="00502504" w:rsidRDefault="00000000" w:rsidP="009711AA">
      <w:pPr>
        <w:spacing w:after="0" w:line="250" w:lineRule="auto"/>
        <w:ind w:left="11" w:hanging="10"/>
        <w:jc w:val="left"/>
      </w:pPr>
      <w:r>
        <w:rPr>
          <w:sz w:val="20"/>
        </w:rPr>
        <w:t>Figure 3: Headline WPI inflation and the rupee oil change, monthly, 1983–2026. Both series are plotted in ∆ln form. The wholesale series tracks the rupee oil change visibly through the 1990s and from 2010 onward, with a quieter middle period that the subsample split picks up.</w:t>
      </w:r>
    </w:p>
    <w:p w:rsidR="00A54C26" w:rsidRDefault="00A54C26" w:rsidP="009711AA">
      <w:pPr>
        <w:spacing w:after="0"/>
        <w:ind w:left="1" w:right="23" w:firstLine="262"/>
      </w:pPr>
    </w:p>
    <w:p w:rsidR="00502504" w:rsidRDefault="00000000" w:rsidP="009711AA">
      <w:pPr>
        <w:spacing w:after="0"/>
        <w:ind w:left="1" w:right="23" w:firstLine="262"/>
      </w:pPr>
      <w:r>
        <w:t>The long-horizon wholesale evidence, taken together, supports a moderate but credible historical pass-through. It also points to where the action sits in the more recent data. The next section turns to the layers in which the same shock shows up an order of magnitude larger.</w:t>
      </w:r>
    </w:p>
    <w:p w:rsidR="00502504" w:rsidRDefault="00000000" w:rsidP="009711AA">
      <w:pPr>
        <w:pStyle w:val="Heading1"/>
        <w:spacing w:after="0"/>
        <w:ind w:left="431" w:hanging="430"/>
      </w:pPr>
      <w:r>
        <w:t>Mechanism and attenuation across layers</w:t>
      </w:r>
    </w:p>
    <w:p w:rsidR="00A54C26" w:rsidRPr="00A54C26" w:rsidRDefault="00A54C26" w:rsidP="00A54C26">
      <w:pPr>
        <w:pStyle w:val="NormalWeb"/>
        <w:spacing w:before="0" w:beforeAutospacing="0" w:after="0" w:afterAutospacing="0"/>
        <w:jc w:val="both"/>
        <w:rPr>
          <w:rFonts w:ascii="Calibri" w:hAnsi="Calibri" w:cs="Calibri"/>
          <w:sz w:val="22"/>
          <w:szCs w:val="22"/>
        </w:rPr>
      </w:pPr>
      <w:r w:rsidRPr="00A54C26">
        <w:rPr>
          <w:rFonts w:ascii="Calibri" w:hAnsi="Calibri" w:cs="Calibri"/>
          <w:sz w:val="22"/>
          <w:szCs w:val="22"/>
        </w:rPr>
        <w:t xml:space="preserve">The objective of the integrated design is set out in this section. We proceed link by link from crude to consumer, and at each link, we ask how much of the upstream signal is passed through. </w:t>
      </w:r>
    </w:p>
    <w:p w:rsidR="00502504" w:rsidRPr="00A54C26" w:rsidRDefault="00A54C26" w:rsidP="00A54C26">
      <w:pPr>
        <w:pStyle w:val="NormalWeb"/>
        <w:spacing w:before="0" w:beforeAutospacing="0" w:after="0" w:afterAutospacing="0"/>
        <w:jc w:val="both"/>
        <w:rPr>
          <w:rFonts w:ascii="Calibri" w:hAnsi="Calibri" w:cs="Calibri"/>
          <w:sz w:val="22"/>
          <w:szCs w:val="22"/>
        </w:rPr>
      </w:pPr>
      <w:r w:rsidRPr="00A54C26">
        <w:rPr>
          <w:rFonts w:ascii="Calibri" w:hAnsi="Calibri" w:cs="Calibri"/>
          <w:sz w:val="22"/>
          <w:szCs w:val="22"/>
        </w:rPr>
        <w:lastRenderedPageBreak/>
        <w:t>Figure 6 provides the outline of the sequence we quantify. Brent and the rupee/dollar rate jointly determine the rupee price of oil. The rupee oil price determines PPAC petrol retail at the pump. Retail prices of fuel determine the fuel-sensitive subindices of WPI (Fuel and Power) and CPI (Fuel and Light). The fuel-sensitive subindices and non-fuel cost pressures jointly determine the two headline aggregates. The ADL estimates of cumulative pass-through determine the weights of the arrows in the diagram. For the shock-to-end endpoint, CPI, the arrow is depicted as a dashed thin arrow to indicate the message of the data characterized in the text: very little of the shock remains by the time it shows up in headline CPI.</w:t>
      </w:r>
    </w:p>
    <w:p w:rsidR="00502504" w:rsidRDefault="00000000" w:rsidP="009711AA">
      <w:pPr>
        <w:spacing w:after="0" w:line="259" w:lineRule="auto"/>
        <w:ind w:left="693"/>
        <w:jc w:val="left"/>
      </w:pPr>
      <w:r>
        <w:rPr>
          <w:noProof/>
        </w:rPr>
        <w:drawing>
          <wp:inline distT="0" distB="0" distL="0" distR="0">
            <wp:extent cx="4871484" cy="3653613"/>
            <wp:effectExtent l="0" t="0" r="0" b="0"/>
            <wp:docPr id="1169" name="Picture 1169"/>
            <wp:cNvGraphicFramePr/>
            <a:graphic xmlns:a="http://schemas.openxmlformats.org/drawingml/2006/main">
              <a:graphicData uri="http://schemas.openxmlformats.org/drawingml/2006/picture">
                <pic:pic xmlns:pic="http://schemas.openxmlformats.org/drawingml/2006/picture">
                  <pic:nvPicPr>
                    <pic:cNvPr id="1169" name="Picture 1169"/>
                    <pic:cNvPicPr/>
                  </pic:nvPicPr>
                  <pic:blipFill>
                    <a:blip r:embed="rId15"/>
                    <a:stretch>
                      <a:fillRect/>
                    </a:stretch>
                  </pic:blipFill>
                  <pic:spPr>
                    <a:xfrm>
                      <a:off x="0" y="0"/>
                      <a:ext cx="4871484" cy="3653613"/>
                    </a:xfrm>
                    <a:prstGeom prst="rect">
                      <a:avLst/>
                    </a:prstGeom>
                  </pic:spPr>
                </pic:pic>
              </a:graphicData>
            </a:graphic>
          </wp:inline>
        </w:drawing>
      </w:r>
    </w:p>
    <w:p w:rsidR="00502504" w:rsidRDefault="00000000" w:rsidP="009711AA">
      <w:pPr>
        <w:spacing w:after="0" w:line="250" w:lineRule="auto"/>
        <w:ind w:left="11" w:hanging="10"/>
        <w:jc w:val="left"/>
        <w:rPr>
          <w:sz w:val="20"/>
        </w:rPr>
      </w:pPr>
      <w:r>
        <w:rPr>
          <w:sz w:val="20"/>
        </w:rPr>
        <w:t xml:space="preserve">Figure 4: Cumulative pass-through profile for the headline WPI ADL. Lag-by-lag accumulation of the positive and negative rupee-oil coefficients from lag 0 through lag 6, with HAC bands. Most of the response is loaded onto the first three lags; the seven-lag sum </w:t>
      </w:r>
      <w:proofErr w:type="spellStart"/>
      <w:r>
        <w:rPr>
          <w:sz w:val="20"/>
        </w:rPr>
        <w:t>stabilises</w:t>
      </w:r>
      <w:proofErr w:type="spellEnd"/>
      <w:r>
        <w:rPr>
          <w:sz w:val="20"/>
        </w:rPr>
        <w:t xml:space="preserve"> at the values reported in Table </w:t>
      </w:r>
      <w:r>
        <w:rPr>
          <w:color w:val="000099"/>
          <w:sz w:val="20"/>
        </w:rPr>
        <w:t>2</w:t>
      </w:r>
      <w:r>
        <w:rPr>
          <w:sz w:val="20"/>
        </w:rPr>
        <w:t>.</w:t>
      </w:r>
    </w:p>
    <w:p w:rsidR="00A54C26" w:rsidRDefault="00A54C26" w:rsidP="009711AA">
      <w:pPr>
        <w:spacing w:after="0" w:line="250" w:lineRule="auto"/>
        <w:ind w:left="11" w:hanging="10"/>
        <w:jc w:val="left"/>
      </w:pPr>
    </w:p>
    <w:p w:rsidR="00502504" w:rsidRDefault="00000000" w:rsidP="009711AA">
      <w:pPr>
        <w:pStyle w:val="Heading2"/>
        <w:spacing w:after="0"/>
        <w:ind w:left="539" w:hanging="538"/>
        <w:rPr>
          <w:sz w:val="28"/>
          <w:szCs w:val="28"/>
        </w:rPr>
      </w:pPr>
      <w:r w:rsidRPr="00A54C26">
        <w:rPr>
          <w:sz w:val="28"/>
          <w:szCs w:val="28"/>
        </w:rPr>
        <w:t>Retail fuel and the wholesale fuel layer</w:t>
      </w:r>
    </w:p>
    <w:p w:rsidR="00A54C26" w:rsidRPr="00A54C26" w:rsidRDefault="00A54C26" w:rsidP="00A54C26"/>
    <w:p w:rsidR="00502504" w:rsidRDefault="00000000" w:rsidP="009711AA">
      <w:pPr>
        <w:spacing w:after="0"/>
        <w:ind w:left="1" w:right="23"/>
      </w:pPr>
      <w:r>
        <w:t xml:space="preserve">Table </w:t>
      </w:r>
      <w:r>
        <w:rPr>
          <w:color w:val="000099"/>
        </w:rPr>
        <w:t xml:space="preserve">4 </w:t>
      </w:r>
      <w:r>
        <w:t>reports the two upstream mechanism models. Panel A is the PPAC Delhi retail petrol model on</w:t>
      </w:r>
    </w:p>
    <w:p w:rsidR="00502504" w:rsidRDefault="00000000" w:rsidP="009711AA">
      <w:pPr>
        <w:spacing w:after="0"/>
        <w:ind w:left="1" w:right="23"/>
      </w:pPr>
      <w:r>
        <w:t>August 2004 to December 2024 (</w:t>
      </w:r>
      <w:r>
        <w:rPr>
          <w:i/>
        </w:rPr>
        <w:t xml:space="preserve">N </w:t>
      </w:r>
      <w:r>
        <w:rPr>
          <w:rFonts w:ascii="Cambria" w:eastAsia="Cambria" w:hAnsi="Cambria" w:cs="Cambria"/>
        </w:rPr>
        <w:t xml:space="preserve">= </w:t>
      </w:r>
      <w:r>
        <w:t>245). Panel B is the WPI Fuel and Power ADL on May 1995 to March 2026 (</w:t>
      </w:r>
      <w:r>
        <w:rPr>
          <w:i/>
        </w:rPr>
        <w:t xml:space="preserve">N </w:t>
      </w:r>
      <w:r>
        <w:rPr>
          <w:rFonts w:ascii="Cambria" w:eastAsia="Cambria" w:hAnsi="Cambria" w:cs="Cambria"/>
        </w:rPr>
        <w:t xml:space="preserve">= </w:t>
      </w:r>
      <w:r>
        <w:t>371).</w:t>
      </w:r>
    </w:p>
    <w:p w:rsidR="00502504" w:rsidRDefault="00000000" w:rsidP="009711AA">
      <w:pPr>
        <w:spacing w:after="0" w:line="259" w:lineRule="auto"/>
        <w:ind w:left="10" w:right="23" w:hanging="10"/>
        <w:jc w:val="right"/>
      </w:pPr>
      <w:r>
        <w:t>The retail petrol response is the largest in the chain. CPT</w:t>
      </w:r>
      <w:r>
        <w:rPr>
          <w:rFonts w:ascii="Cambria" w:eastAsia="Cambria" w:hAnsi="Cambria" w:cs="Cambria"/>
          <w:vertAlign w:val="superscript"/>
        </w:rPr>
        <w:t>+</w:t>
      </w:r>
      <w:r>
        <w:rPr>
          <w:rFonts w:ascii="Cambria" w:eastAsia="Cambria" w:hAnsi="Cambria" w:cs="Cambria"/>
        </w:rPr>
        <w:t xml:space="preserve">= </w:t>
      </w:r>
      <w:r>
        <w:t>0</w:t>
      </w:r>
      <w:r>
        <w:rPr>
          <w:rFonts w:ascii="Cambria" w:eastAsia="Cambria" w:hAnsi="Cambria" w:cs="Cambria"/>
          <w:i/>
        </w:rPr>
        <w:t>.</w:t>
      </w:r>
      <w:r>
        <w:t>346 (</w:t>
      </w:r>
      <w:r>
        <w:rPr>
          <w:i/>
        </w:rPr>
        <w:t xml:space="preserve">p </w:t>
      </w:r>
      <w:r>
        <w:rPr>
          <w:rFonts w:ascii="Cambria" w:eastAsia="Cambria" w:hAnsi="Cambria" w:cs="Cambria"/>
          <w:i/>
        </w:rPr>
        <w:t xml:space="preserve">&lt; </w:t>
      </w:r>
      <w:r>
        <w:t>0</w:t>
      </w:r>
      <w:r>
        <w:rPr>
          <w:rFonts w:ascii="Cambria" w:eastAsia="Cambria" w:hAnsi="Cambria" w:cs="Cambria"/>
          <w:i/>
        </w:rPr>
        <w:t>.</w:t>
      </w:r>
      <w:r>
        <w:t>001) and CPT</w:t>
      </w:r>
      <w:r>
        <w:rPr>
          <w:rFonts w:ascii="Cambria" w:eastAsia="Cambria" w:hAnsi="Cambria" w:cs="Cambria"/>
          <w:vertAlign w:val="superscript"/>
        </w:rPr>
        <w:t xml:space="preserve">− </w:t>
      </w:r>
      <w:r>
        <w:rPr>
          <w:rFonts w:ascii="Cambria" w:eastAsia="Cambria" w:hAnsi="Cambria" w:cs="Cambria"/>
        </w:rPr>
        <w:t xml:space="preserve">= </w:t>
      </w:r>
      <w:r>
        <w:t>0</w:t>
      </w:r>
      <w:r>
        <w:rPr>
          <w:rFonts w:ascii="Cambria" w:eastAsia="Cambria" w:hAnsi="Cambria" w:cs="Cambria"/>
          <w:i/>
        </w:rPr>
        <w:t>.</w:t>
      </w:r>
      <w:r>
        <w:t>191</w:t>
      </w:r>
    </w:p>
    <w:p w:rsidR="00502504" w:rsidRDefault="00000000" w:rsidP="009711AA">
      <w:pPr>
        <w:spacing w:after="0"/>
        <w:ind w:left="1" w:right="23"/>
      </w:pPr>
      <w:r>
        <w:t>(</w:t>
      </w:r>
      <w:r>
        <w:rPr>
          <w:i/>
        </w:rPr>
        <w:t xml:space="preserve">p </w:t>
      </w:r>
      <w:r>
        <w:rPr>
          <w:rFonts w:ascii="Cambria" w:eastAsia="Cambria" w:hAnsi="Cambria" w:cs="Cambria"/>
          <w:i/>
        </w:rPr>
        <w:t xml:space="preserve">&lt; </w:t>
      </w:r>
      <w:r>
        <w:t>0</w:t>
      </w:r>
      <w:r>
        <w:rPr>
          <w:rFonts w:ascii="Cambria" w:eastAsia="Cambria" w:hAnsi="Cambria" w:cs="Cambria"/>
          <w:i/>
        </w:rPr>
        <w:t>.</w:t>
      </w:r>
      <w:r>
        <w:t>001). Asymmetry is borderline (</w:t>
      </w:r>
      <w:r>
        <w:rPr>
          <w:i/>
        </w:rPr>
        <w:t xml:space="preserve">p </w:t>
      </w:r>
      <w:r>
        <w:rPr>
          <w:rFonts w:ascii="Cambria" w:eastAsia="Cambria" w:hAnsi="Cambria" w:cs="Cambria"/>
        </w:rPr>
        <w:t xml:space="preserve">= </w:t>
      </w:r>
      <w:r>
        <w:t>0</w:t>
      </w:r>
      <w:r>
        <w:rPr>
          <w:rFonts w:ascii="Cambria" w:eastAsia="Cambria" w:hAnsi="Cambria" w:cs="Cambria"/>
          <w:i/>
        </w:rPr>
        <w:t>.</w:t>
      </w:r>
      <w:r>
        <w:t xml:space="preserve">10), with the asymmetry running in the conventional rockets-and-feathers direction: positive shocks are passed through faster and more fully than negative ones. This is the empirical signature most consistent with the descriptive picture of post-deregulation pump pricing in India. It is also broadly consistent with the magnitudes reported by </w:t>
      </w:r>
      <w:proofErr w:type="spellStart"/>
      <w:r>
        <w:rPr>
          <w:color w:val="000099"/>
        </w:rPr>
        <w:t>Deheri</w:t>
      </w:r>
      <w:proofErr w:type="spellEnd"/>
      <w:r>
        <w:rPr>
          <w:color w:val="000099"/>
        </w:rPr>
        <w:t xml:space="preserve"> and Carmel </w:t>
      </w:r>
      <w:r>
        <w:t>(</w:t>
      </w:r>
      <w:r>
        <w:rPr>
          <w:color w:val="000099"/>
        </w:rPr>
        <w:t>2024</w:t>
      </w:r>
      <w:r>
        <w:t xml:space="preserve">) and </w:t>
      </w:r>
      <w:r>
        <w:rPr>
          <w:color w:val="000099"/>
        </w:rPr>
        <w:t xml:space="preserve">Pradeep </w:t>
      </w:r>
      <w:r>
        <w:t>(</w:t>
      </w:r>
      <w:r>
        <w:rPr>
          <w:color w:val="000099"/>
        </w:rPr>
        <w:t>2022</w:t>
      </w:r>
      <w:r>
        <w:t>) for the petrol channel.</w:t>
      </w:r>
    </w:p>
    <w:p w:rsidR="00502504" w:rsidRDefault="00000000" w:rsidP="009711AA">
      <w:pPr>
        <w:spacing w:after="0"/>
        <w:ind w:left="1" w:right="23" w:firstLine="262"/>
      </w:pPr>
      <w:r>
        <w:t>The fuel-and-power subindex of WPI sits one step downstream and shows comparable but slightly smaller magnitudes, with CPT</w:t>
      </w:r>
      <w:r>
        <w:rPr>
          <w:rFonts w:ascii="Cambria" w:eastAsia="Cambria" w:hAnsi="Cambria" w:cs="Cambria"/>
          <w:vertAlign w:val="superscript"/>
        </w:rPr>
        <w:t>+</w:t>
      </w:r>
      <w:r>
        <w:rPr>
          <w:rFonts w:ascii="Cambria" w:eastAsia="Cambria" w:hAnsi="Cambria" w:cs="Cambria"/>
        </w:rPr>
        <w:t xml:space="preserve">= </w:t>
      </w:r>
      <w:r>
        <w:t>0</w:t>
      </w:r>
      <w:r>
        <w:rPr>
          <w:rFonts w:ascii="Cambria" w:eastAsia="Cambria" w:hAnsi="Cambria" w:cs="Cambria"/>
          <w:i/>
        </w:rPr>
        <w:t>.</w:t>
      </w:r>
      <w:r>
        <w:t>287 and CPT</w:t>
      </w:r>
      <w:r>
        <w:rPr>
          <w:rFonts w:ascii="Cambria" w:eastAsia="Cambria" w:hAnsi="Cambria" w:cs="Cambria"/>
          <w:vertAlign w:val="superscript"/>
        </w:rPr>
        <w:t xml:space="preserve">− </w:t>
      </w:r>
      <w:r>
        <w:rPr>
          <w:rFonts w:ascii="Cambria" w:eastAsia="Cambria" w:hAnsi="Cambria" w:cs="Cambria"/>
        </w:rPr>
        <w:t xml:space="preserve">= </w:t>
      </w:r>
      <w:r>
        <w:t>0</w:t>
      </w:r>
      <w:r>
        <w:rPr>
          <w:rFonts w:ascii="Cambria" w:eastAsia="Cambria" w:hAnsi="Cambria" w:cs="Cambria"/>
          <w:i/>
        </w:rPr>
        <w:t>.</w:t>
      </w:r>
      <w:r>
        <w:t xml:space="preserve">268 (both </w:t>
      </w:r>
      <w:r>
        <w:rPr>
          <w:i/>
        </w:rPr>
        <w:t xml:space="preserve">p </w:t>
      </w:r>
      <w:r>
        <w:rPr>
          <w:rFonts w:ascii="Cambria" w:eastAsia="Cambria" w:hAnsi="Cambria" w:cs="Cambria"/>
          <w:i/>
        </w:rPr>
        <w:t xml:space="preserve">&lt; </w:t>
      </w:r>
      <w:r>
        <w:t>0</w:t>
      </w:r>
      <w:r>
        <w:rPr>
          <w:rFonts w:ascii="Cambria" w:eastAsia="Cambria" w:hAnsi="Cambria" w:cs="Cambria"/>
          <w:i/>
        </w:rPr>
        <w:t>.</w:t>
      </w:r>
      <w:r>
        <w:t>001). Symmetry is not rejected here (</w:t>
      </w:r>
      <w:r>
        <w:rPr>
          <w:i/>
        </w:rPr>
        <w:t xml:space="preserve">p </w:t>
      </w:r>
      <w:r>
        <w:rPr>
          <w:rFonts w:ascii="Cambria" w:eastAsia="Cambria" w:hAnsi="Cambria" w:cs="Cambria"/>
        </w:rPr>
        <w:t xml:space="preserve">= </w:t>
      </w:r>
      <w:r>
        <w:t>0</w:t>
      </w:r>
      <w:r>
        <w:rPr>
          <w:rFonts w:ascii="Cambria" w:eastAsia="Cambria" w:hAnsi="Cambria" w:cs="Cambria"/>
          <w:i/>
        </w:rPr>
        <w:t>.</w:t>
      </w:r>
      <w:r>
        <w:t xml:space="preserve">78), which we read as a sign that the wholesale fuel index aggregates retail and bulk pricing channels in a way that washes out the asymmetry visible at the pump. We flag one diagnostic caveat: </w:t>
      </w:r>
      <w:r>
        <w:lastRenderedPageBreak/>
        <w:t>HAC RESET fails (</w:t>
      </w:r>
      <w:r>
        <w:rPr>
          <w:i/>
        </w:rPr>
        <w:t xml:space="preserve">p </w:t>
      </w:r>
      <w:r>
        <w:rPr>
          <w:rFonts w:ascii="Cambria" w:eastAsia="Cambria" w:hAnsi="Cambria" w:cs="Cambria"/>
          <w:i/>
        </w:rPr>
        <w:t xml:space="preserve">&lt; </w:t>
      </w:r>
      <w:r>
        <w:t>0</w:t>
      </w:r>
      <w:r>
        <w:rPr>
          <w:rFonts w:ascii="Cambria" w:eastAsia="Cambria" w:hAnsi="Cambria" w:cs="Cambria"/>
          <w:i/>
        </w:rPr>
        <w:t>.</w:t>
      </w:r>
      <w:r>
        <w:t xml:space="preserve">001) on the fuel and power model, which is most likely picking up a non-linearity in the level relationship that the differenced specification cannot remove. We retain the model in the main results because the cumulative pass-through estimates are stable across alternative lag choices and across COVID-window sensitivity checks (reported in Section </w:t>
      </w:r>
      <w:r>
        <w:rPr>
          <w:color w:val="000099"/>
        </w:rPr>
        <w:t>6</w:t>
      </w:r>
      <w:r>
        <w:t>), but we treat the fuel and power equation as the more fragile of the two upstream models.</w:t>
      </w:r>
    </w:p>
    <w:p w:rsidR="00502504" w:rsidRDefault="00000000" w:rsidP="009711AA">
      <w:pPr>
        <w:spacing w:after="0" w:line="259" w:lineRule="auto"/>
        <w:ind w:left="377"/>
        <w:jc w:val="left"/>
      </w:pPr>
      <w:r>
        <w:rPr>
          <w:noProof/>
        </w:rPr>
        <w:drawing>
          <wp:inline distT="0" distB="0" distL="0" distR="0">
            <wp:extent cx="5272705" cy="3163623"/>
            <wp:effectExtent l="0" t="0" r="0" b="0"/>
            <wp:docPr id="1301" name="Picture 1301"/>
            <wp:cNvGraphicFramePr/>
            <a:graphic xmlns:a="http://schemas.openxmlformats.org/drawingml/2006/main">
              <a:graphicData uri="http://schemas.openxmlformats.org/drawingml/2006/picture">
                <pic:pic xmlns:pic="http://schemas.openxmlformats.org/drawingml/2006/picture">
                  <pic:nvPicPr>
                    <pic:cNvPr id="1301" name="Picture 1301"/>
                    <pic:cNvPicPr/>
                  </pic:nvPicPr>
                  <pic:blipFill>
                    <a:blip r:embed="rId16"/>
                    <a:stretch>
                      <a:fillRect/>
                    </a:stretch>
                  </pic:blipFill>
                  <pic:spPr>
                    <a:xfrm>
                      <a:off x="0" y="0"/>
                      <a:ext cx="5272705" cy="3163623"/>
                    </a:xfrm>
                    <a:prstGeom prst="rect">
                      <a:avLst/>
                    </a:prstGeom>
                  </pic:spPr>
                </pic:pic>
              </a:graphicData>
            </a:graphic>
          </wp:inline>
        </w:drawing>
      </w:r>
    </w:p>
    <w:p w:rsidR="00502504" w:rsidRDefault="00000000" w:rsidP="009711AA">
      <w:pPr>
        <w:spacing w:after="0" w:line="250" w:lineRule="auto"/>
        <w:ind w:left="11" w:hanging="10"/>
        <w:jc w:val="left"/>
      </w:pPr>
      <w:r>
        <w:rPr>
          <w:sz w:val="20"/>
        </w:rPr>
        <w:t>Figure 5: Pre/post-2010 subsample comparison of cumulative pass-through. Headline WPI and Fuel &amp; Power</w:t>
      </w:r>
    </w:p>
    <w:p w:rsidR="00502504" w:rsidRDefault="00000000" w:rsidP="009711AA">
      <w:pPr>
        <w:spacing w:after="0" w:line="248" w:lineRule="auto"/>
        <w:ind w:left="10" w:hanging="10"/>
        <w:jc w:val="center"/>
      </w:pPr>
      <w:r>
        <w:rPr>
          <w:sz w:val="20"/>
        </w:rPr>
        <w:t>ADL specifications, plotted as cumulative coefficient response over lags 0–6. The post-2010 magnitudes are visibly larger across both panels, broadly consistent with the institutional shift toward market-linked transport-fuel pricing.</w:t>
      </w:r>
    </w:p>
    <w:p w:rsidR="00502504" w:rsidRDefault="00000000" w:rsidP="009711AA">
      <w:pPr>
        <w:spacing w:after="0" w:line="259" w:lineRule="auto"/>
        <w:ind w:left="20"/>
        <w:jc w:val="left"/>
      </w:pPr>
      <w:r>
        <w:rPr>
          <w:noProof/>
        </w:rPr>
        <mc:AlternateContent>
          <mc:Choice Requires="wpg">
            <w:drawing>
              <wp:inline distT="0" distB="0" distL="0" distR="0">
                <wp:extent cx="5727154" cy="1122160"/>
                <wp:effectExtent l="0" t="0" r="0" b="0"/>
                <wp:docPr id="23271" name="Group 23271"/>
                <wp:cNvGraphicFramePr/>
                <a:graphic xmlns:a="http://schemas.openxmlformats.org/drawingml/2006/main">
                  <a:graphicData uri="http://schemas.microsoft.com/office/word/2010/wordprocessingGroup">
                    <wpg:wgp>
                      <wpg:cNvGrpSpPr/>
                      <wpg:grpSpPr>
                        <a:xfrm>
                          <a:off x="0" y="0"/>
                          <a:ext cx="5727154" cy="1122160"/>
                          <a:chOff x="0" y="0"/>
                          <a:chExt cx="5727154" cy="1122160"/>
                        </a:xfrm>
                      </wpg:grpSpPr>
                      <wps:wsp>
                        <wps:cNvPr id="1306" name="Shape 1306"/>
                        <wps:cNvSpPr/>
                        <wps:spPr>
                          <a:xfrm>
                            <a:off x="0" y="185628"/>
                            <a:ext cx="746531" cy="279949"/>
                          </a:xfrm>
                          <a:custGeom>
                            <a:avLst/>
                            <a:gdLst/>
                            <a:ahLst/>
                            <a:cxnLst/>
                            <a:rect l="0" t="0" r="0" b="0"/>
                            <a:pathLst>
                              <a:path w="746531" h="279949">
                                <a:moveTo>
                                  <a:pt x="724667" y="0"/>
                                </a:moveTo>
                                <a:lnTo>
                                  <a:pt x="21865" y="0"/>
                                </a:lnTo>
                                <a:cubicBezTo>
                                  <a:pt x="9789" y="0"/>
                                  <a:pt x="0" y="9789"/>
                                  <a:pt x="0" y="21865"/>
                                </a:cubicBezTo>
                                <a:lnTo>
                                  <a:pt x="0" y="258084"/>
                                </a:lnTo>
                                <a:cubicBezTo>
                                  <a:pt x="0" y="270160"/>
                                  <a:pt x="9789" y="279949"/>
                                  <a:pt x="21865" y="279949"/>
                                </a:cubicBezTo>
                                <a:lnTo>
                                  <a:pt x="724667" y="279949"/>
                                </a:lnTo>
                                <a:cubicBezTo>
                                  <a:pt x="736742" y="279949"/>
                                  <a:pt x="746531" y="270160"/>
                                  <a:pt x="746531" y="258084"/>
                                </a:cubicBezTo>
                                <a:lnTo>
                                  <a:pt x="746531" y="21865"/>
                                </a:lnTo>
                                <a:cubicBezTo>
                                  <a:pt x="746531" y="9789"/>
                                  <a:pt x="736742" y="0"/>
                                  <a:pt x="724667" y="0"/>
                                </a:cubicBezTo>
                                <a:close/>
                              </a:path>
                            </a:pathLst>
                          </a:custGeom>
                          <a:ln w="4373" cap="flat">
                            <a:miter lim="127000"/>
                          </a:ln>
                        </wps:spPr>
                        <wps:style>
                          <a:lnRef idx="1">
                            <a:srgbClr val="000000"/>
                          </a:lnRef>
                          <a:fillRef idx="0">
                            <a:srgbClr val="000000">
                              <a:alpha val="0"/>
                            </a:srgbClr>
                          </a:fillRef>
                          <a:effectRef idx="0">
                            <a:scrgbClr r="0" g="0" b="0"/>
                          </a:effectRef>
                          <a:fontRef idx="none"/>
                        </wps:style>
                        <wps:bodyPr/>
                      </wps:wsp>
                      <wps:wsp>
                        <wps:cNvPr id="1308" name="Rectangle 1308"/>
                        <wps:cNvSpPr/>
                        <wps:spPr>
                          <a:xfrm>
                            <a:off x="92418" y="278762"/>
                            <a:ext cx="747052" cy="129986"/>
                          </a:xfrm>
                          <a:prstGeom prst="rect">
                            <a:avLst/>
                          </a:prstGeom>
                          <a:ln>
                            <a:noFill/>
                          </a:ln>
                        </wps:spPr>
                        <wps:txbx>
                          <w:txbxContent>
                            <w:p w:rsidR="00502504" w:rsidRDefault="00000000">
                              <w:pPr>
                                <w:spacing w:after="160" w:line="259" w:lineRule="auto"/>
                                <w:ind w:left="0"/>
                                <w:jc w:val="left"/>
                              </w:pPr>
                              <w:r>
                                <w:rPr>
                                  <w:w w:val="108"/>
                                  <w:sz w:val="17"/>
                                </w:rPr>
                                <w:t>Brent</w:t>
                              </w:r>
                              <w:r>
                                <w:rPr>
                                  <w:spacing w:val="4"/>
                                  <w:w w:val="108"/>
                                  <w:sz w:val="17"/>
                                </w:rPr>
                                <w:t xml:space="preserve"> </w:t>
                              </w:r>
                              <w:r>
                                <w:rPr>
                                  <w:w w:val="108"/>
                                  <w:sz w:val="17"/>
                                </w:rPr>
                                <w:t>(USD)</w:t>
                              </w:r>
                            </w:p>
                          </w:txbxContent>
                        </wps:txbx>
                        <wps:bodyPr horzOverflow="overflow" vert="horz" lIns="0" tIns="0" rIns="0" bIns="0" rtlCol="0">
                          <a:noAutofit/>
                        </wps:bodyPr>
                      </wps:wsp>
                      <wps:wsp>
                        <wps:cNvPr id="1309" name="Shape 1309"/>
                        <wps:cNvSpPr/>
                        <wps:spPr>
                          <a:xfrm>
                            <a:off x="0" y="656582"/>
                            <a:ext cx="746531" cy="279949"/>
                          </a:xfrm>
                          <a:custGeom>
                            <a:avLst/>
                            <a:gdLst/>
                            <a:ahLst/>
                            <a:cxnLst/>
                            <a:rect l="0" t="0" r="0" b="0"/>
                            <a:pathLst>
                              <a:path w="746531" h="279949">
                                <a:moveTo>
                                  <a:pt x="724667" y="0"/>
                                </a:moveTo>
                                <a:lnTo>
                                  <a:pt x="21865" y="0"/>
                                </a:lnTo>
                                <a:cubicBezTo>
                                  <a:pt x="9789" y="0"/>
                                  <a:pt x="0" y="9789"/>
                                  <a:pt x="0" y="21865"/>
                                </a:cubicBezTo>
                                <a:lnTo>
                                  <a:pt x="0" y="258085"/>
                                </a:lnTo>
                                <a:cubicBezTo>
                                  <a:pt x="0" y="270160"/>
                                  <a:pt x="9789" y="279949"/>
                                  <a:pt x="21865" y="279949"/>
                                </a:cubicBezTo>
                                <a:lnTo>
                                  <a:pt x="724667" y="279949"/>
                                </a:lnTo>
                                <a:cubicBezTo>
                                  <a:pt x="736742" y="279949"/>
                                  <a:pt x="746531" y="270160"/>
                                  <a:pt x="746531" y="258085"/>
                                </a:cubicBezTo>
                                <a:lnTo>
                                  <a:pt x="746531" y="21865"/>
                                </a:lnTo>
                                <a:cubicBezTo>
                                  <a:pt x="746531" y="9789"/>
                                  <a:pt x="736742" y="0"/>
                                  <a:pt x="724667" y="0"/>
                                </a:cubicBezTo>
                                <a:close/>
                              </a:path>
                            </a:pathLst>
                          </a:custGeom>
                          <a:ln w="4373" cap="flat">
                            <a:miter lim="127000"/>
                          </a:ln>
                        </wps:spPr>
                        <wps:style>
                          <a:lnRef idx="1">
                            <a:srgbClr val="000000"/>
                          </a:lnRef>
                          <a:fillRef idx="0">
                            <a:srgbClr val="000000">
                              <a:alpha val="0"/>
                            </a:srgbClr>
                          </a:fillRef>
                          <a:effectRef idx="0">
                            <a:scrgbClr r="0" g="0" b="0"/>
                          </a:effectRef>
                          <a:fontRef idx="none"/>
                        </wps:style>
                        <wps:bodyPr/>
                      </wps:wsp>
                      <wps:wsp>
                        <wps:cNvPr id="1311" name="Rectangle 1311"/>
                        <wps:cNvSpPr/>
                        <wps:spPr>
                          <a:xfrm>
                            <a:off x="154625" y="758949"/>
                            <a:ext cx="581590" cy="129985"/>
                          </a:xfrm>
                          <a:prstGeom prst="rect">
                            <a:avLst/>
                          </a:prstGeom>
                          <a:ln>
                            <a:noFill/>
                          </a:ln>
                        </wps:spPr>
                        <wps:txbx>
                          <w:txbxContent>
                            <w:p w:rsidR="00502504" w:rsidRDefault="00000000">
                              <w:pPr>
                                <w:spacing w:after="160" w:line="259" w:lineRule="auto"/>
                                <w:ind w:left="0"/>
                                <w:jc w:val="left"/>
                              </w:pPr>
                              <w:r>
                                <w:rPr>
                                  <w:w w:val="115"/>
                                  <w:sz w:val="17"/>
                                </w:rPr>
                                <w:t>INR/USD</w:t>
                              </w:r>
                            </w:p>
                          </w:txbxContent>
                        </wps:txbx>
                        <wps:bodyPr horzOverflow="overflow" vert="horz" lIns="0" tIns="0" rIns="0" bIns="0" rtlCol="0">
                          <a:noAutofit/>
                        </wps:bodyPr>
                      </wps:wsp>
                      <wps:wsp>
                        <wps:cNvPr id="1312" name="Shape 1312"/>
                        <wps:cNvSpPr/>
                        <wps:spPr>
                          <a:xfrm>
                            <a:off x="997561" y="421105"/>
                            <a:ext cx="747755" cy="279949"/>
                          </a:xfrm>
                          <a:custGeom>
                            <a:avLst/>
                            <a:gdLst/>
                            <a:ahLst/>
                            <a:cxnLst/>
                            <a:rect l="0" t="0" r="0" b="0"/>
                            <a:pathLst>
                              <a:path w="747755" h="279949">
                                <a:moveTo>
                                  <a:pt x="725890" y="0"/>
                                </a:moveTo>
                                <a:lnTo>
                                  <a:pt x="21865" y="0"/>
                                </a:lnTo>
                                <a:cubicBezTo>
                                  <a:pt x="9789" y="0"/>
                                  <a:pt x="0" y="9789"/>
                                  <a:pt x="0" y="21865"/>
                                </a:cubicBezTo>
                                <a:lnTo>
                                  <a:pt x="0" y="258084"/>
                                </a:lnTo>
                                <a:cubicBezTo>
                                  <a:pt x="0" y="270160"/>
                                  <a:pt x="9789" y="279949"/>
                                  <a:pt x="21865" y="279949"/>
                                </a:cubicBezTo>
                                <a:lnTo>
                                  <a:pt x="725890" y="279949"/>
                                </a:lnTo>
                                <a:cubicBezTo>
                                  <a:pt x="737966" y="279949"/>
                                  <a:pt x="747755" y="270160"/>
                                  <a:pt x="747755" y="258084"/>
                                </a:cubicBezTo>
                                <a:lnTo>
                                  <a:pt x="747755" y="21865"/>
                                </a:lnTo>
                                <a:cubicBezTo>
                                  <a:pt x="747755" y="9789"/>
                                  <a:pt x="737966" y="0"/>
                                  <a:pt x="725890" y="0"/>
                                </a:cubicBezTo>
                                <a:close/>
                              </a:path>
                            </a:pathLst>
                          </a:custGeom>
                          <a:ln w="4373" cap="flat">
                            <a:miter lim="127000"/>
                          </a:ln>
                        </wps:spPr>
                        <wps:style>
                          <a:lnRef idx="1">
                            <a:srgbClr val="000000"/>
                          </a:lnRef>
                          <a:fillRef idx="0">
                            <a:srgbClr val="000000">
                              <a:alpha val="0"/>
                            </a:srgbClr>
                          </a:fillRef>
                          <a:effectRef idx="0">
                            <a:scrgbClr r="0" g="0" b="0"/>
                          </a:effectRef>
                          <a:fontRef idx="none"/>
                        </wps:style>
                        <wps:bodyPr/>
                      </wps:wsp>
                      <wps:wsp>
                        <wps:cNvPr id="1314" name="Rectangle 1314"/>
                        <wps:cNvSpPr/>
                        <wps:spPr>
                          <a:xfrm>
                            <a:off x="1037450" y="512184"/>
                            <a:ext cx="888379" cy="129985"/>
                          </a:xfrm>
                          <a:prstGeom prst="rect">
                            <a:avLst/>
                          </a:prstGeom>
                          <a:ln>
                            <a:noFill/>
                          </a:ln>
                        </wps:spPr>
                        <wps:txbx>
                          <w:txbxContent>
                            <w:p w:rsidR="00502504" w:rsidRDefault="00000000">
                              <w:pPr>
                                <w:spacing w:after="160" w:line="259" w:lineRule="auto"/>
                                <w:ind w:left="0"/>
                                <w:jc w:val="left"/>
                              </w:pPr>
                              <w:r>
                                <w:rPr>
                                  <w:w w:val="101"/>
                                  <w:sz w:val="17"/>
                                </w:rPr>
                                <w:t>Rupee</w:t>
                              </w:r>
                              <w:r>
                                <w:rPr>
                                  <w:spacing w:val="4"/>
                                  <w:w w:val="101"/>
                                  <w:sz w:val="17"/>
                                </w:rPr>
                                <w:t xml:space="preserve"> </w:t>
                              </w:r>
                              <w:r>
                                <w:rPr>
                                  <w:w w:val="101"/>
                                  <w:sz w:val="17"/>
                                </w:rPr>
                                <w:t>oil</w:t>
                              </w:r>
                              <w:r>
                                <w:rPr>
                                  <w:spacing w:val="4"/>
                                  <w:w w:val="101"/>
                                  <w:sz w:val="17"/>
                                </w:rPr>
                                <w:t xml:space="preserve"> </w:t>
                              </w:r>
                              <w:r>
                                <w:rPr>
                                  <w:w w:val="101"/>
                                  <w:sz w:val="17"/>
                                </w:rPr>
                                <w:t>price</w:t>
                              </w:r>
                            </w:p>
                          </w:txbxContent>
                        </wps:txbx>
                        <wps:bodyPr horzOverflow="overflow" vert="horz" lIns="0" tIns="0" rIns="0" bIns="0" rtlCol="0">
                          <a:noAutofit/>
                        </wps:bodyPr>
                      </wps:wsp>
                      <wps:wsp>
                        <wps:cNvPr id="1315" name="Shape 1315"/>
                        <wps:cNvSpPr/>
                        <wps:spPr>
                          <a:xfrm>
                            <a:off x="2060744" y="408743"/>
                            <a:ext cx="873147" cy="304673"/>
                          </a:xfrm>
                          <a:custGeom>
                            <a:avLst/>
                            <a:gdLst/>
                            <a:ahLst/>
                            <a:cxnLst/>
                            <a:rect l="0" t="0" r="0" b="0"/>
                            <a:pathLst>
                              <a:path w="873147" h="304673">
                                <a:moveTo>
                                  <a:pt x="851282" y="0"/>
                                </a:moveTo>
                                <a:lnTo>
                                  <a:pt x="21865" y="0"/>
                                </a:lnTo>
                                <a:cubicBezTo>
                                  <a:pt x="9789" y="0"/>
                                  <a:pt x="0" y="9789"/>
                                  <a:pt x="0" y="21865"/>
                                </a:cubicBezTo>
                                <a:lnTo>
                                  <a:pt x="0" y="282808"/>
                                </a:lnTo>
                                <a:cubicBezTo>
                                  <a:pt x="0" y="294884"/>
                                  <a:pt x="9789" y="304673"/>
                                  <a:pt x="21865" y="304673"/>
                                </a:cubicBezTo>
                                <a:lnTo>
                                  <a:pt x="851282" y="304673"/>
                                </a:lnTo>
                                <a:cubicBezTo>
                                  <a:pt x="863357" y="304673"/>
                                  <a:pt x="873147" y="294884"/>
                                  <a:pt x="873147" y="282808"/>
                                </a:cubicBezTo>
                                <a:lnTo>
                                  <a:pt x="873147" y="21865"/>
                                </a:lnTo>
                                <a:cubicBezTo>
                                  <a:pt x="873147" y="9789"/>
                                  <a:pt x="863357" y="0"/>
                                  <a:pt x="851282" y="0"/>
                                </a:cubicBezTo>
                                <a:close/>
                              </a:path>
                            </a:pathLst>
                          </a:custGeom>
                          <a:ln w="4373" cap="flat">
                            <a:miter lim="127000"/>
                          </a:ln>
                        </wps:spPr>
                        <wps:style>
                          <a:lnRef idx="1">
                            <a:srgbClr val="000000"/>
                          </a:lnRef>
                          <a:fillRef idx="0">
                            <a:srgbClr val="000000">
                              <a:alpha val="0"/>
                            </a:srgbClr>
                          </a:fillRef>
                          <a:effectRef idx="0">
                            <a:scrgbClr r="0" g="0" b="0"/>
                          </a:effectRef>
                          <a:fontRef idx="none"/>
                        </wps:style>
                        <wps:bodyPr/>
                      </wps:wsp>
                      <wps:wsp>
                        <wps:cNvPr id="1317" name="Rectangle 1317"/>
                        <wps:cNvSpPr/>
                        <wps:spPr>
                          <a:xfrm>
                            <a:off x="2100620" y="448638"/>
                            <a:ext cx="1055150" cy="129985"/>
                          </a:xfrm>
                          <a:prstGeom prst="rect">
                            <a:avLst/>
                          </a:prstGeom>
                          <a:ln>
                            <a:noFill/>
                          </a:ln>
                        </wps:spPr>
                        <wps:txbx>
                          <w:txbxContent>
                            <w:p w:rsidR="00502504" w:rsidRDefault="00000000">
                              <w:pPr>
                                <w:spacing w:after="160" w:line="259" w:lineRule="auto"/>
                                <w:ind w:left="0"/>
                                <w:jc w:val="left"/>
                              </w:pPr>
                              <w:r>
                                <w:rPr>
                                  <w:w w:val="102"/>
                                  <w:sz w:val="17"/>
                                </w:rPr>
                                <w:t>PPAC</w:t>
                              </w:r>
                              <w:r>
                                <w:rPr>
                                  <w:spacing w:val="4"/>
                                  <w:w w:val="102"/>
                                  <w:sz w:val="17"/>
                                </w:rPr>
                                <w:t xml:space="preserve"> </w:t>
                              </w:r>
                              <w:r>
                                <w:rPr>
                                  <w:w w:val="102"/>
                                  <w:sz w:val="17"/>
                                </w:rPr>
                                <w:t>retail</w:t>
                              </w:r>
                              <w:r>
                                <w:rPr>
                                  <w:spacing w:val="4"/>
                                  <w:w w:val="102"/>
                                  <w:sz w:val="17"/>
                                </w:rPr>
                                <w:t xml:space="preserve"> </w:t>
                              </w:r>
                              <w:r>
                                <w:rPr>
                                  <w:w w:val="102"/>
                                  <w:sz w:val="17"/>
                                </w:rPr>
                                <w:t>petrol</w:t>
                              </w:r>
                            </w:p>
                          </w:txbxContent>
                        </wps:txbx>
                        <wps:bodyPr horzOverflow="overflow" vert="horz" lIns="0" tIns="0" rIns="0" bIns="0" rtlCol="0">
                          <a:noAutofit/>
                        </wps:bodyPr>
                      </wps:wsp>
                      <wps:wsp>
                        <wps:cNvPr id="22388" name="Rectangle 22388"/>
                        <wps:cNvSpPr/>
                        <wps:spPr>
                          <a:xfrm>
                            <a:off x="2729653" y="579822"/>
                            <a:ext cx="48417" cy="129985"/>
                          </a:xfrm>
                          <a:prstGeom prst="rect">
                            <a:avLst/>
                          </a:prstGeom>
                          <a:ln>
                            <a:noFill/>
                          </a:ln>
                        </wps:spPr>
                        <wps:txbx>
                          <w:txbxContent>
                            <w:p w:rsidR="00502504" w:rsidRDefault="00000000">
                              <w:pPr>
                                <w:spacing w:after="160" w:line="259" w:lineRule="auto"/>
                                <w:ind w:left="0"/>
                                <w:jc w:val="left"/>
                              </w:pPr>
                              <w:r>
                                <w:rPr>
                                  <w:w w:val="111"/>
                                  <w:sz w:val="17"/>
                                </w:rPr>
                                <w:t>)</w:t>
                              </w:r>
                            </w:p>
                          </w:txbxContent>
                        </wps:txbx>
                        <wps:bodyPr horzOverflow="overflow" vert="horz" lIns="0" tIns="0" rIns="0" bIns="0" rtlCol="0">
                          <a:noAutofit/>
                        </wps:bodyPr>
                      </wps:wsp>
                      <wps:wsp>
                        <wps:cNvPr id="22389" name="Rectangle 22389"/>
                        <wps:cNvSpPr/>
                        <wps:spPr>
                          <a:xfrm>
                            <a:off x="2264927" y="579822"/>
                            <a:ext cx="618085" cy="129985"/>
                          </a:xfrm>
                          <a:prstGeom prst="rect">
                            <a:avLst/>
                          </a:prstGeom>
                          <a:ln>
                            <a:noFill/>
                          </a:ln>
                        </wps:spPr>
                        <wps:txbx>
                          <w:txbxContent>
                            <w:p w:rsidR="00502504" w:rsidRDefault="00000000">
                              <w:pPr>
                                <w:spacing w:after="160" w:line="259" w:lineRule="auto"/>
                                <w:ind w:left="0"/>
                                <w:jc w:val="left"/>
                              </w:pPr>
                              <w:r>
                                <w:rPr>
                                  <w:w w:val="112"/>
                                  <w:sz w:val="17"/>
                                </w:rPr>
                                <w:t>Delhi</w:t>
                              </w:r>
                              <w:r>
                                <w:rPr>
                                  <w:spacing w:val="4"/>
                                  <w:w w:val="112"/>
                                  <w:sz w:val="17"/>
                                </w:rPr>
                                <w:t xml:space="preserve"> </w:t>
                              </w:r>
                              <w:r>
                                <w:rPr>
                                  <w:w w:val="112"/>
                                  <w:sz w:val="17"/>
                                </w:rPr>
                                <w:t>RSP</w:t>
                              </w:r>
                            </w:p>
                          </w:txbxContent>
                        </wps:txbx>
                        <wps:bodyPr horzOverflow="overflow" vert="horz" lIns="0" tIns="0" rIns="0" bIns="0" rtlCol="0">
                          <a:noAutofit/>
                        </wps:bodyPr>
                      </wps:wsp>
                      <wps:wsp>
                        <wps:cNvPr id="22386" name="Rectangle 22386"/>
                        <wps:cNvSpPr/>
                        <wps:spPr>
                          <a:xfrm>
                            <a:off x="2228523" y="579822"/>
                            <a:ext cx="48417" cy="129985"/>
                          </a:xfrm>
                          <a:prstGeom prst="rect">
                            <a:avLst/>
                          </a:prstGeom>
                          <a:ln>
                            <a:noFill/>
                          </a:ln>
                        </wps:spPr>
                        <wps:txbx>
                          <w:txbxContent>
                            <w:p w:rsidR="00502504" w:rsidRDefault="00000000">
                              <w:pPr>
                                <w:spacing w:after="160" w:line="259" w:lineRule="auto"/>
                                <w:ind w:left="0"/>
                                <w:jc w:val="left"/>
                              </w:pPr>
                              <w:r>
                                <w:rPr>
                                  <w:w w:val="111"/>
                                  <w:sz w:val="17"/>
                                </w:rPr>
                                <w:t>(</w:t>
                              </w:r>
                            </w:p>
                          </w:txbxContent>
                        </wps:txbx>
                        <wps:bodyPr horzOverflow="overflow" vert="horz" lIns="0" tIns="0" rIns="0" bIns="0" rtlCol="0">
                          <a:noAutofit/>
                        </wps:bodyPr>
                      </wps:wsp>
                      <wps:wsp>
                        <wps:cNvPr id="1319" name="Shape 1319"/>
                        <wps:cNvSpPr/>
                        <wps:spPr>
                          <a:xfrm>
                            <a:off x="3373739" y="0"/>
                            <a:ext cx="918190" cy="279949"/>
                          </a:xfrm>
                          <a:custGeom>
                            <a:avLst/>
                            <a:gdLst/>
                            <a:ahLst/>
                            <a:cxnLst/>
                            <a:rect l="0" t="0" r="0" b="0"/>
                            <a:pathLst>
                              <a:path w="918190" h="279949">
                                <a:moveTo>
                                  <a:pt x="896325" y="0"/>
                                </a:moveTo>
                                <a:lnTo>
                                  <a:pt x="21865" y="0"/>
                                </a:lnTo>
                                <a:cubicBezTo>
                                  <a:pt x="9789" y="0"/>
                                  <a:pt x="0" y="9789"/>
                                  <a:pt x="0" y="21865"/>
                                </a:cubicBezTo>
                                <a:lnTo>
                                  <a:pt x="0" y="258084"/>
                                </a:lnTo>
                                <a:cubicBezTo>
                                  <a:pt x="0" y="270160"/>
                                  <a:pt x="9789" y="279949"/>
                                  <a:pt x="21865" y="279949"/>
                                </a:cubicBezTo>
                                <a:lnTo>
                                  <a:pt x="896325" y="279949"/>
                                </a:lnTo>
                                <a:cubicBezTo>
                                  <a:pt x="908401" y="279949"/>
                                  <a:pt x="918190" y="270160"/>
                                  <a:pt x="918190" y="258084"/>
                                </a:cubicBezTo>
                                <a:lnTo>
                                  <a:pt x="918190" y="21865"/>
                                </a:lnTo>
                                <a:cubicBezTo>
                                  <a:pt x="918190" y="9789"/>
                                  <a:pt x="908401" y="0"/>
                                  <a:pt x="896325" y="0"/>
                                </a:cubicBezTo>
                                <a:close/>
                              </a:path>
                            </a:pathLst>
                          </a:custGeom>
                          <a:ln w="4373" cap="flat">
                            <a:miter lim="127000"/>
                          </a:ln>
                        </wps:spPr>
                        <wps:style>
                          <a:lnRef idx="1">
                            <a:srgbClr val="000000"/>
                          </a:lnRef>
                          <a:fillRef idx="0">
                            <a:srgbClr val="000000">
                              <a:alpha val="0"/>
                            </a:srgbClr>
                          </a:fillRef>
                          <a:effectRef idx="0">
                            <a:scrgbClr r="0" g="0" b="0"/>
                          </a:effectRef>
                          <a:fontRef idx="none"/>
                        </wps:style>
                        <wps:bodyPr/>
                      </wps:wsp>
                      <wps:wsp>
                        <wps:cNvPr id="1321" name="Rectangle 1321"/>
                        <wps:cNvSpPr/>
                        <wps:spPr>
                          <a:xfrm>
                            <a:off x="3413594" y="102369"/>
                            <a:ext cx="1115054" cy="129984"/>
                          </a:xfrm>
                          <a:prstGeom prst="rect">
                            <a:avLst/>
                          </a:prstGeom>
                          <a:ln>
                            <a:noFill/>
                          </a:ln>
                        </wps:spPr>
                        <wps:txbx>
                          <w:txbxContent>
                            <w:p w:rsidR="00502504" w:rsidRDefault="00000000">
                              <w:pPr>
                                <w:spacing w:after="160" w:line="259" w:lineRule="auto"/>
                                <w:ind w:left="0"/>
                                <w:jc w:val="left"/>
                              </w:pPr>
                              <w:r>
                                <w:rPr>
                                  <w:w w:val="105"/>
                                  <w:sz w:val="17"/>
                                </w:rPr>
                                <w:t>WPI</w:t>
                              </w:r>
                              <w:r>
                                <w:rPr>
                                  <w:spacing w:val="4"/>
                                  <w:w w:val="105"/>
                                  <w:sz w:val="17"/>
                                </w:rPr>
                                <w:t xml:space="preserve"> </w:t>
                              </w:r>
                              <w:r>
                                <w:rPr>
                                  <w:w w:val="105"/>
                                  <w:sz w:val="17"/>
                                </w:rPr>
                                <w:t>Fuel</w:t>
                              </w:r>
                              <w:r>
                                <w:rPr>
                                  <w:spacing w:val="4"/>
                                  <w:w w:val="105"/>
                                  <w:sz w:val="17"/>
                                </w:rPr>
                                <w:t xml:space="preserve"> </w:t>
                              </w:r>
                              <w:r>
                                <w:rPr>
                                  <w:w w:val="105"/>
                                  <w:sz w:val="17"/>
                                </w:rPr>
                                <w:t>&amp;</w:t>
                              </w:r>
                              <w:r>
                                <w:rPr>
                                  <w:spacing w:val="4"/>
                                  <w:w w:val="105"/>
                                  <w:sz w:val="17"/>
                                </w:rPr>
                                <w:t xml:space="preserve"> </w:t>
                              </w:r>
                              <w:r>
                                <w:rPr>
                                  <w:w w:val="105"/>
                                  <w:sz w:val="17"/>
                                </w:rPr>
                                <w:t>Power</w:t>
                              </w:r>
                            </w:p>
                          </w:txbxContent>
                        </wps:txbx>
                        <wps:bodyPr horzOverflow="overflow" vert="horz" lIns="0" tIns="0" rIns="0" bIns="0" rtlCol="0">
                          <a:noAutofit/>
                        </wps:bodyPr>
                      </wps:wsp>
                      <wps:wsp>
                        <wps:cNvPr id="1322" name="Shape 1322"/>
                        <wps:cNvSpPr/>
                        <wps:spPr>
                          <a:xfrm>
                            <a:off x="3373739" y="842211"/>
                            <a:ext cx="848223" cy="279949"/>
                          </a:xfrm>
                          <a:custGeom>
                            <a:avLst/>
                            <a:gdLst/>
                            <a:ahLst/>
                            <a:cxnLst/>
                            <a:rect l="0" t="0" r="0" b="0"/>
                            <a:pathLst>
                              <a:path w="848223" h="279949">
                                <a:moveTo>
                                  <a:pt x="826357" y="0"/>
                                </a:moveTo>
                                <a:lnTo>
                                  <a:pt x="21865" y="0"/>
                                </a:lnTo>
                                <a:cubicBezTo>
                                  <a:pt x="9789" y="0"/>
                                  <a:pt x="0" y="9789"/>
                                  <a:pt x="0" y="21865"/>
                                </a:cubicBezTo>
                                <a:lnTo>
                                  <a:pt x="0" y="258084"/>
                                </a:lnTo>
                                <a:cubicBezTo>
                                  <a:pt x="0" y="270160"/>
                                  <a:pt x="9789" y="279949"/>
                                  <a:pt x="21865" y="279949"/>
                                </a:cubicBezTo>
                                <a:lnTo>
                                  <a:pt x="826357" y="279949"/>
                                </a:lnTo>
                                <a:cubicBezTo>
                                  <a:pt x="838433" y="279949"/>
                                  <a:pt x="848223" y="270160"/>
                                  <a:pt x="848223" y="258084"/>
                                </a:cubicBezTo>
                                <a:lnTo>
                                  <a:pt x="848223" y="21865"/>
                                </a:lnTo>
                                <a:cubicBezTo>
                                  <a:pt x="848223" y="9789"/>
                                  <a:pt x="838433" y="0"/>
                                  <a:pt x="826357" y="0"/>
                                </a:cubicBezTo>
                                <a:close/>
                              </a:path>
                            </a:pathLst>
                          </a:custGeom>
                          <a:ln w="4373" cap="flat">
                            <a:miter lim="127000"/>
                          </a:ln>
                        </wps:spPr>
                        <wps:style>
                          <a:lnRef idx="1">
                            <a:srgbClr val="000000"/>
                          </a:lnRef>
                          <a:fillRef idx="0">
                            <a:srgbClr val="000000">
                              <a:alpha val="0"/>
                            </a:srgbClr>
                          </a:fillRef>
                          <a:effectRef idx="0">
                            <a:scrgbClr r="0" g="0" b="0"/>
                          </a:effectRef>
                          <a:fontRef idx="none"/>
                        </wps:style>
                        <wps:bodyPr/>
                      </wps:wsp>
                      <wps:wsp>
                        <wps:cNvPr id="1324" name="Rectangle 1324"/>
                        <wps:cNvSpPr/>
                        <wps:spPr>
                          <a:xfrm>
                            <a:off x="3413594" y="933279"/>
                            <a:ext cx="1021999" cy="129985"/>
                          </a:xfrm>
                          <a:prstGeom prst="rect">
                            <a:avLst/>
                          </a:prstGeom>
                          <a:ln>
                            <a:noFill/>
                          </a:ln>
                        </wps:spPr>
                        <wps:txbx>
                          <w:txbxContent>
                            <w:p w:rsidR="00502504" w:rsidRDefault="00000000">
                              <w:pPr>
                                <w:spacing w:after="160" w:line="259" w:lineRule="auto"/>
                                <w:ind w:left="0"/>
                                <w:jc w:val="left"/>
                              </w:pPr>
                              <w:r>
                                <w:rPr>
                                  <w:w w:val="111"/>
                                  <w:sz w:val="17"/>
                                </w:rPr>
                                <w:t>CPI</w:t>
                              </w:r>
                              <w:r>
                                <w:rPr>
                                  <w:spacing w:val="4"/>
                                  <w:w w:val="111"/>
                                  <w:sz w:val="17"/>
                                </w:rPr>
                                <w:t xml:space="preserve"> </w:t>
                              </w:r>
                              <w:r>
                                <w:rPr>
                                  <w:w w:val="111"/>
                                  <w:sz w:val="17"/>
                                </w:rPr>
                                <w:t>Fuel</w:t>
                              </w:r>
                              <w:r>
                                <w:rPr>
                                  <w:spacing w:val="4"/>
                                  <w:w w:val="111"/>
                                  <w:sz w:val="17"/>
                                </w:rPr>
                                <w:t xml:space="preserve"> </w:t>
                              </w:r>
                              <w:r>
                                <w:rPr>
                                  <w:w w:val="111"/>
                                  <w:sz w:val="17"/>
                                </w:rPr>
                                <w:t>&amp;</w:t>
                              </w:r>
                              <w:r>
                                <w:rPr>
                                  <w:spacing w:val="4"/>
                                  <w:w w:val="111"/>
                                  <w:sz w:val="17"/>
                                </w:rPr>
                                <w:t xml:space="preserve"> </w:t>
                              </w:r>
                              <w:r>
                                <w:rPr>
                                  <w:w w:val="111"/>
                                  <w:sz w:val="17"/>
                                </w:rPr>
                                <w:t>Light</w:t>
                              </w:r>
                            </w:p>
                          </w:txbxContent>
                        </wps:txbx>
                        <wps:bodyPr horzOverflow="overflow" vert="horz" lIns="0" tIns="0" rIns="0" bIns="0" rtlCol="0">
                          <a:noAutofit/>
                        </wps:bodyPr>
                      </wps:wsp>
                      <wps:wsp>
                        <wps:cNvPr id="1325" name="Shape 1325"/>
                        <wps:cNvSpPr/>
                        <wps:spPr>
                          <a:xfrm>
                            <a:off x="4980623" y="0"/>
                            <a:ext cx="746531" cy="279949"/>
                          </a:xfrm>
                          <a:custGeom>
                            <a:avLst/>
                            <a:gdLst/>
                            <a:ahLst/>
                            <a:cxnLst/>
                            <a:rect l="0" t="0" r="0" b="0"/>
                            <a:pathLst>
                              <a:path w="746531" h="279949">
                                <a:moveTo>
                                  <a:pt x="724667" y="0"/>
                                </a:moveTo>
                                <a:lnTo>
                                  <a:pt x="21865" y="0"/>
                                </a:lnTo>
                                <a:cubicBezTo>
                                  <a:pt x="9789" y="0"/>
                                  <a:pt x="0" y="9789"/>
                                  <a:pt x="0" y="21865"/>
                                </a:cubicBezTo>
                                <a:lnTo>
                                  <a:pt x="0" y="258084"/>
                                </a:lnTo>
                                <a:cubicBezTo>
                                  <a:pt x="0" y="270160"/>
                                  <a:pt x="9789" y="279949"/>
                                  <a:pt x="21865" y="279949"/>
                                </a:cubicBezTo>
                                <a:lnTo>
                                  <a:pt x="724667" y="279949"/>
                                </a:lnTo>
                                <a:cubicBezTo>
                                  <a:pt x="736742" y="279949"/>
                                  <a:pt x="746531" y="270160"/>
                                  <a:pt x="746531" y="258084"/>
                                </a:cubicBezTo>
                                <a:lnTo>
                                  <a:pt x="746531" y="21865"/>
                                </a:lnTo>
                                <a:cubicBezTo>
                                  <a:pt x="746531" y="9789"/>
                                  <a:pt x="736742" y="0"/>
                                  <a:pt x="724667" y="0"/>
                                </a:cubicBezTo>
                                <a:close/>
                              </a:path>
                            </a:pathLst>
                          </a:custGeom>
                          <a:ln w="4373" cap="flat">
                            <a:miter lim="127000"/>
                          </a:ln>
                        </wps:spPr>
                        <wps:style>
                          <a:lnRef idx="1">
                            <a:srgbClr val="000000"/>
                          </a:lnRef>
                          <a:fillRef idx="0">
                            <a:srgbClr val="000000">
                              <a:alpha val="0"/>
                            </a:srgbClr>
                          </a:fillRef>
                          <a:effectRef idx="0">
                            <a:scrgbClr r="0" g="0" b="0"/>
                          </a:effectRef>
                          <a:fontRef idx="none"/>
                        </wps:style>
                        <wps:bodyPr/>
                      </wps:wsp>
                      <wps:wsp>
                        <wps:cNvPr id="1327" name="Rectangle 1327"/>
                        <wps:cNvSpPr/>
                        <wps:spPr>
                          <a:xfrm>
                            <a:off x="5042640" y="102369"/>
                            <a:ext cx="827748" cy="129984"/>
                          </a:xfrm>
                          <a:prstGeom prst="rect">
                            <a:avLst/>
                          </a:prstGeom>
                          <a:ln>
                            <a:noFill/>
                          </a:ln>
                        </wps:spPr>
                        <wps:txbx>
                          <w:txbxContent>
                            <w:p w:rsidR="00502504" w:rsidRDefault="00000000">
                              <w:pPr>
                                <w:spacing w:after="160" w:line="259" w:lineRule="auto"/>
                                <w:ind w:left="0"/>
                                <w:jc w:val="left"/>
                              </w:pPr>
                              <w:r>
                                <w:rPr>
                                  <w:w w:val="104"/>
                                  <w:sz w:val="17"/>
                                </w:rPr>
                                <w:t>Headline</w:t>
                              </w:r>
                              <w:r>
                                <w:rPr>
                                  <w:spacing w:val="4"/>
                                  <w:w w:val="104"/>
                                  <w:sz w:val="17"/>
                                </w:rPr>
                                <w:t xml:space="preserve"> </w:t>
                              </w:r>
                              <w:r>
                                <w:rPr>
                                  <w:w w:val="104"/>
                                  <w:sz w:val="17"/>
                                </w:rPr>
                                <w:t>WPI</w:t>
                              </w:r>
                            </w:p>
                          </w:txbxContent>
                        </wps:txbx>
                        <wps:bodyPr horzOverflow="overflow" vert="horz" lIns="0" tIns="0" rIns="0" bIns="0" rtlCol="0">
                          <a:noAutofit/>
                        </wps:bodyPr>
                      </wps:wsp>
                      <wps:wsp>
                        <wps:cNvPr id="1328" name="Shape 1328"/>
                        <wps:cNvSpPr/>
                        <wps:spPr>
                          <a:xfrm>
                            <a:off x="4910655" y="842211"/>
                            <a:ext cx="746531" cy="279949"/>
                          </a:xfrm>
                          <a:custGeom>
                            <a:avLst/>
                            <a:gdLst/>
                            <a:ahLst/>
                            <a:cxnLst/>
                            <a:rect l="0" t="0" r="0" b="0"/>
                            <a:pathLst>
                              <a:path w="746531" h="279949">
                                <a:moveTo>
                                  <a:pt x="724667" y="0"/>
                                </a:moveTo>
                                <a:lnTo>
                                  <a:pt x="21865" y="0"/>
                                </a:lnTo>
                                <a:cubicBezTo>
                                  <a:pt x="9789" y="0"/>
                                  <a:pt x="0" y="9789"/>
                                  <a:pt x="0" y="21865"/>
                                </a:cubicBezTo>
                                <a:lnTo>
                                  <a:pt x="0" y="258084"/>
                                </a:lnTo>
                                <a:cubicBezTo>
                                  <a:pt x="0" y="270160"/>
                                  <a:pt x="9789" y="279949"/>
                                  <a:pt x="21865" y="279949"/>
                                </a:cubicBezTo>
                                <a:lnTo>
                                  <a:pt x="724667" y="279949"/>
                                </a:lnTo>
                                <a:cubicBezTo>
                                  <a:pt x="736743" y="279949"/>
                                  <a:pt x="746531" y="270160"/>
                                  <a:pt x="746531" y="258084"/>
                                </a:cubicBezTo>
                                <a:lnTo>
                                  <a:pt x="746531" y="21865"/>
                                </a:lnTo>
                                <a:cubicBezTo>
                                  <a:pt x="746531" y="9789"/>
                                  <a:pt x="736743" y="0"/>
                                  <a:pt x="724667" y="0"/>
                                </a:cubicBezTo>
                                <a:close/>
                              </a:path>
                            </a:pathLst>
                          </a:custGeom>
                          <a:ln w="4373" cap="flat">
                            <a:miter lim="127000"/>
                          </a:ln>
                        </wps:spPr>
                        <wps:style>
                          <a:lnRef idx="1">
                            <a:srgbClr val="000000"/>
                          </a:lnRef>
                          <a:fillRef idx="0">
                            <a:srgbClr val="000000">
                              <a:alpha val="0"/>
                            </a:srgbClr>
                          </a:fillRef>
                          <a:effectRef idx="0">
                            <a:scrgbClr r="0" g="0" b="0"/>
                          </a:effectRef>
                          <a:fontRef idx="none"/>
                        </wps:style>
                        <wps:bodyPr/>
                      </wps:wsp>
                      <wps:wsp>
                        <wps:cNvPr id="1330" name="Rectangle 1330"/>
                        <wps:cNvSpPr/>
                        <wps:spPr>
                          <a:xfrm>
                            <a:off x="4987818" y="944571"/>
                            <a:ext cx="787473" cy="129985"/>
                          </a:xfrm>
                          <a:prstGeom prst="rect">
                            <a:avLst/>
                          </a:prstGeom>
                          <a:ln>
                            <a:noFill/>
                          </a:ln>
                        </wps:spPr>
                        <wps:txbx>
                          <w:txbxContent>
                            <w:p w:rsidR="00502504" w:rsidRDefault="00000000">
                              <w:pPr>
                                <w:spacing w:after="160" w:line="259" w:lineRule="auto"/>
                                <w:ind w:left="0"/>
                                <w:jc w:val="left"/>
                              </w:pPr>
                              <w:r>
                                <w:rPr>
                                  <w:w w:val="106"/>
                                  <w:sz w:val="17"/>
                                </w:rPr>
                                <w:t>Headline</w:t>
                              </w:r>
                              <w:r>
                                <w:rPr>
                                  <w:spacing w:val="4"/>
                                  <w:w w:val="106"/>
                                  <w:sz w:val="17"/>
                                </w:rPr>
                                <w:t xml:space="preserve"> </w:t>
                              </w:r>
                              <w:r>
                                <w:rPr>
                                  <w:w w:val="106"/>
                                  <w:sz w:val="17"/>
                                </w:rPr>
                                <w:t>CPI</w:t>
                              </w:r>
                            </w:p>
                          </w:txbxContent>
                        </wps:txbx>
                        <wps:bodyPr horzOverflow="overflow" vert="horz" lIns="0" tIns="0" rIns="0" bIns="0" rtlCol="0">
                          <a:noAutofit/>
                        </wps:bodyPr>
                      </wps:wsp>
                      <wps:wsp>
                        <wps:cNvPr id="1331" name="Shape 1331"/>
                        <wps:cNvSpPr/>
                        <wps:spPr>
                          <a:xfrm>
                            <a:off x="748718" y="414183"/>
                            <a:ext cx="213939" cy="50550"/>
                          </a:xfrm>
                          <a:custGeom>
                            <a:avLst/>
                            <a:gdLst/>
                            <a:ahLst/>
                            <a:cxnLst/>
                            <a:rect l="0" t="0" r="0" b="0"/>
                            <a:pathLst>
                              <a:path w="213939" h="50550">
                                <a:moveTo>
                                  <a:pt x="0" y="0"/>
                                </a:moveTo>
                                <a:lnTo>
                                  <a:pt x="213939" y="50550"/>
                                </a:lnTo>
                              </a:path>
                            </a:pathLst>
                          </a:custGeom>
                          <a:ln w="4373" cap="flat">
                            <a:miter lim="127000"/>
                          </a:ln>
                        </wps:spPr>
                        <wps:style>
                          <a:lnRef idx="1">
                            <a:srgbClr val="000000"/>
                          </a:lnRef>
                          <a:fillRef idx="0">
                            <a:srgbClr val="000000">
                              <a:alpha val="0"/>
                            </a:srgbClr>
                          </a:fillRef>
                          <a:effectRef idx="0">
                            <a:scrgbClr r="0" g="0" b="0"/>
                          </a:effectRef>
                          <a:fontRef idx="none"/>
                        </wps:style>
                        <wps:bodyPr/>
                      </wps:wsp>
                      <wps:wsp>
                        <wps:cNvPr id="1332" name="Shape 1332"/>
                        <wps:cNvSpPr/>
                        <wps:spPr>
                          <a:xfrm>
                            <a:off x="947785" y="447652"/>
                            <a:ext cx="41530" cy="28740"/>
                          </a:xfrm>
                          <a:custGeom>
                            <a:avLst/>
                            <a:gdLst/>
                            <a:ahLst/>
                            <a:cxnLst/>
                            <a:rect l="0" t="0" r="0" b="0"/>
                            <a:pathLst>
                              <a:path w="41530" h="28740">
                                <a:moveTo>
                                  <a:pt x="6790" y="0"/>
                                </a:moveTo>
                                <a:lnTo>
                                  <a:pt x="41530" y="23380"/>
                                </a:lnTo>
                                <a:lnTo>
                                  <a:pt x="0" y="28740"/>
                                </a:lnTo>
                                <a:lnTo>
                                  <a:pt x="15936" y="17333"/>
                                </a:lnTo>
                                <a:lnTo>
                                  <a:pt x="6790" y="0"/>
                                </a:lnTo>
                                <a:close/>
                              </a:path>
                            </a:pathLst>
                          </a:custGeom>
                          <a:ln w="4255" cap="flat">
                            <a:miter lim="127000"/>
                          </a:ln>
                        </wps:spPr>
                        <wps:style>
                          <a:lnRef idx="1">
                            <a:srgbClr val="000000"/>
                          </a:lnRef>
                          <a:fillRef idx="1">
                            <a:srgbClr val="000000"/>
                          </a:fillRef>
                          <a:effectRef idx="0">
                            <a:scrgbClr r="0" g="0" b="0"/>
                          </a:effectRef>
                          <a:fontRef idx="none"/>
                        </wps:style>
                        <wps:bodyPr/>
                      </wps:wsp>
                      <wps:wsp>
                        <wps:cNvPr id="1333" name="Shape 1333"/>
                        <wps:cNvSpPr/>
                        <wps:spPr>
                          <a:xfrm>
                            <a:off x="748718" y="657426"/>
                            <a:ext cx="213939" cy="50550"/>
                          </a:xfrm>
                          <a:custGeom>
                            <a:avLst/>
                            <a:gdLst/>
                            <a:ahLst/>
                            <a:cxnLst/>
                            <a:rect l="0" t="0" r="0" b="0"/>
                            <a:pathLst>
                              <a:path w="213939" h="50550">
                                <a:moveTo>
                                  <a:pt x="0" y="50550"/>
                                </a:moveTo>
                                <a:lnTo>
                                  <a:pt x="213939" y="0"/>
                                </a:lnTo>
                              </a:path>
                            </a:pathLst>
                          </a:custGeom>
                          <a:ln w="4373" cap="flat">
                            <a:miter lim="127000"/>
                          </a:ln>
                        </wps:spPr>
                        <wps:style>
                          <a:lnRef idx="1">
                            <a:srgbClr val="000000"/>
                          </a:lnRef>
                          <a:fillRef idx="0">
                            <a:srgbClr val="000000">
                              <a:alpha val="0"/>
                            </a:srgbClr>
                          </a:fillRef>
                          <a:effectRef idx="0">
                            <a:scrgbClr r="0" g="0" b="0"/>
                          </a:effectRef>
                          <a:fontRef idx="none"/>
                        </wps:style>
                        <wps:bodyPr/>
                      </wps:wsp>
                      <wps:wsp>
                        <wps:cNvPr id="1334" name="Shape 1334"/>
                        <wps:cNvSpPr/>
                        <wps:spPr>
                          <a:xfrm>
                            <a:off x="947785" y="645767"/>
                            <a:ext cx="41530" cy="28740"/>
                          </a:xfrm>
                          <a:custGeom>
                            <a:avLst/>
                            <a:gdLst/>
                            <a:ahLst/>
                            <a:cxnLst/>
                            <a:rect l="0" t="0" r="0" b="0"/>
                            <a:pathLst>
                              <a:path w="41530" h="28740">
                                <a:moveTo>
                                  <a:pt x="0" y="0"/>
                                </a:moveTo>
                                <a:lnTo>
                                  <a:pt x="41530" y="5360"/>
                                </a:lnTo>
                                <a:lnTo>
                                  <a:pt x="6790" y="28740"/>
                                </a:lnTo>
                                <a:lnTo>
                                  <a:pt x="15936" y="11407"/>
                                </a:lnTo>
                                <a:lnTo>
                                  <a:pt x="0" y="0"/>
                                </a:lnTo>
                                <a:close/>
                              </a:path>
                            </a:pathLst>
                          </a:custGeom>
                          <a:ln w="4255" cap="flat">
                            <a:miter lim="127000"/>
                          </a:ln>
                        </wps:spPr>
                        <wps:style>
                          <a:lnRef idx="1">
                            <a:srgbClr val="000000"/>
                          </a:lnRef>
                          <a:fillRef idx="1">
                            <a:srgbClr val="000000"/>
                          </a:fillRef>
                          <a:effectRef idx="0">
                            <a:scrgbClr r="0" g="0" b="0"/>
                          </a:effectRef>
                          <a:fontRef idx="none"/>
                        </wps:style>
                        <wps:bodyPr/>
                      </wps:wsp>
                      <wps:wsp>
                        <wps:cNvPr id="1335" name="Shape 1335"/>
                        <wps:cNvSpPr/>
                        <wps:spPr>
                          <a:xfrm>
                            <a:off x="1747503" y="561080"/>
                            <a:ext cx="254468" cy="0"/>
                          </a:xfrm>
                          <a:custGeom>
                            <a:avLst/>
                            <a:gdLst/>
                            <a:ahLst/>
                            <a:cxnLst/>
                            <a:rect l="0" t="0" r="0" b="0"/>
                            <a:pathLst>
                              <a:path w="254468">
                                <a:moveTo>
                                  <a:pt x="0" y="0"/>
                                </a:moveTo>
                                <a:lnTo>
                                  <a:pt x="254468" y="0"/>
                                </a:lnTo>
                              </a:path>
                            </a:pathLst>
                          </a:custGeom>
                          <a:ln w="13119" cap="flat">
                            <a:miter lim="127000"/>
                          </a:ln>
                        </wps:spPr>
                        <wps:style>
                          <a:lnRef idx="1">
                            <a:srgbClr val="000000"/>
                          </a:lnRef>
                          <a:fillRef idx="0">
                            <a:srgbClr val="000000">
                              <a:alpha val="0"/>
                            </a:srgbClr>
                          </a:fillRef>
                          <a:effectRef idx="0">
                            <a:scrgbClr r="0" g="0" b="0"/>
                          </a:effectRef>
                          <a:fontRef idx="none"/>
                        </wps:style>
                        <wps:bodyPr/>
                      </wps:wsp>
                      <wps:wsp>
                        <wps:cNvPr id="1336" name="Shape 1336"/>
                        <wps:cNvSpPr/>
                        <wps:spPr>
                          <a:xfrm>
                            <a:off x="1987909" y="541377"/>
                            <a:ext cx="51967" cy="39406"/>
                          </a:xfrm>
                          <a:custGeom>
                            <a:avLst/>
                            <a:gdLst/>
                            <a:ahLst/>
                            <a:cxnLst/>
                            <a:rect l="0" t="0" r="0" b="0"/>
                            <a:pathLst>
                              <a:path w="51967" h="39406">
                                <a:moveTo>
                                  <a:pt x="0" y="0"/>
                                </a:moveTo>
                                <a:lnTo>
                                  <a:pt x="51967" y="19703"/>
                                </a:lnTo>
                                <a:lnTo>
                                  <a:pt x="0" y="39406"/>
                                </a:lnTo>
                                <a:lnTo>
                                  <a:pt x="17342" y="19703"/>
                                </a:lnTo>
                                <a:lnTo>
                                  <a:pt x="0" y="0"/>
                                </a:lnTo>
                                <a:close/>
                              </a:path>
                            </a:pathLst>
                          </a:custGeom>
                          <a:ln w="13119" cap="flat">
                            <a:miter lim="127000"/>
                          </a:ln>
                        </wps:spPr>
                        <wps:style>
                          <a:lnRef idx="1">
                            <a:srgbClr val="000000"/>
                          </a:lnRef>
                          <a:fillRef idx="1">
                            <a:srgbClr val="000000"/>
                          </a:fillRef>
                          <a:effectRef idx="0">
                            <a:scrgbClr r="0" g="0" b="0"/>
                          </a:effectRef>
                          <a:fontRef idx="none"/>
                        </wps:style>
                        <wps:bodyPr/>
                      </wps:wsp>
                      <wps:wsp>
                        <wps:cNvPr id="1337" name="Rectangle 1337"/>
                        <wps:cNvSpPr/>
                        <wps:spPr>
                          <a:xfrm>
                            <a:off x="1826488" y="454453"/>
                            <a:ext cx="203557" cy="103988"/>
                          </a:xfrm>
                          <a:prstGeom prst="rect">
                            <a:avLst/>
                          </a:prstGeom>
                          <a:ln>
                            <a:noFill/>
                          </a:ln>
                        </wps:spPr>
                        <wps:txbx>
                          <w:txbxContent>
                            <w:p w:rsidR="00502504" w:rsidRDefault="00000000">
                              <w:pPr>
                                <w:spacing w:after="160" w:line="259" w:lineRule="auto"/>
                                <w:ind w:left="0"/>
                                <w:jc w:val="left"/>
                              </w:pPr>
                              <w:r>
                                <w:rPr>
                                  <w:w w:val="99"/>
                                  <w:sz w:val="14"/>
                                </w:rPr>
                                <w:t>0.35</w:t>
                              </w:r>
                            </w:p>
                          </w:txbxContent>
                        </wps:txbx>
                        <wps:bodyPr horzOverflow="overflow" vert="horz" lIns="0" tIns="0" rIns="0" bIns="0" rtlCol="0">
                          <a:noAutofit/>
                        </wps:bodyPr>
                      </wps:wsp>
                      <wps:wsp>
                        <wps:cNvPr id="1338" name="Shape 1338"/>
                        <wps:cNvSpPr/>
                        <wps:spPr>
                          <a:xfrm>
                            <a:off x="2936077" y="295708"/>
                            <a:ext cx="402993" cy="127176"/>
                          </a:xfrm>
                          <a:custGeom>
                            <a:avLst/>
                            <a:gdLst/>
                            <a:ahLst/>
                            <a:cxnLst/>
                            <a:rect l="0" t="0" r="0" b="0"/>
                            <a:pathLst>
                              <a:path w="402993" h="127176">
                                <a:moveTo>
                                  <a:pt x="0" y="127176"/>
                                </a:moveTo>
                                <a:lnTo>
                                  <a:pt x="402993" y="0"/>
                                </a:lnTo>
                              </a:path>
                            </a:pathLst>
                          </a:custGeom>
                          <a:ln w="8746" cap="flat">
                            <a:miter lim="127000"/>
                          </a:ln>
                        </wps:spPr>
                        <wps:style>
                          <a:lnRef idx="1">
                            <a:srgbClr val="000000"/>
                          </a:lnRef>
                          <a:fillRef idx="0">
                            <a:srgbClr val="000000">
                              <a:alpha val="0"/>
                            </a:srgbClr>
                          </a:fillRef>
                          <a:effectRef idx="0">
                            <a:scrgbClr r="0" g="0" b="0"/>
                          </a:effectRef>
                          <a:fontRef idx="none"/>
                        </wps:style>
                        <wps:bodyPr/>
                      </wps:wsp>
                      <wps:wsp>
                        <wps:cNvPr id="1339" name="Shape 1339"/>
                        <wps:cNvSpPr/>
                        <wps:spPr>
                          <a:xfrm>
                            <a:off x="3321556" y="283163"/>
                            <a:ext cx="48648" cy="32869"/>
                          </a:xfrm>
                          <a:custGeom>
                            <a:avLst/>
                            <a:gdLst/>
                            <a:ahLst/>
                            <a:cxnLst/>
                            <a:rect l="0" t="0" r="0" b="0"/>
                            <a:pathLst>
                              <a:path w="48648" h="32869">
                                <a:moveTo>
                                  <a:pt x="0" y="0"/>
                                </a:moveTo>
                                <a:lnTo>
                                  <a:pt x="48648" y="2720"/>
                                </a:lnTo>
                                <a:lnTo>
                                  <a:pt x="10372" y="32869"/>
                                </a:lnTo>
                                <a:lnTo>
                                  <a:pt x="19599" y="11887"/>
                                </a:lnTo>
                                <a:lnTo>
                                  <a:pt x="0" y="0"/>
                                </a:lnTo>
                                <a:close/>
                              </a:path>
                            </a:pathLst>
                          </a:custGeom>
                          <a:ln w="8340" cap="flat">
                            <a:miter lim="127000"/>
                          </a:ln>
                        </wps:spPr>
                        <wps:style>
                          <a:lnRef idx="1">
                            <a:srgbClr val="000000"/>
                          </a:lnRef>
                          <a:fillRef idx="1">
                            <a:srgbClr val="000000"/>
                          </a:fillRef>
                          <a:effectRef idx="0">
                            <a:scrgbClr r="0" g="0" b="0"/>
                          </a:effectRef>
                          <a:fontRef idx="none"/>
                        </wps:style>
                        <wps:bodyPr/>
                      </wps:wsp>
                      <wps:wsp>
                        <wps:cNvPr id="1340" name="Rectangle 1340"/>
                        <wps:cNvSpPr/>
                        <wps:spPr>
                          <a:xfrm rot="-1050823">
                            <a:off x="3065248" y="241903"/>
                            <a:ext cx="203548" cy="103983"/>
                          </a:xfrm>
                          <a:prstGeom prst="rect">
                            <a:avLst/>
                          </a:prstGeom>
                          <a:ln>
                            <a:noFill/>
                          </a:ln>
                        </wps:spPr>
                        <wps:txbx>
                          <w:txbxContent>
                            <w:p w:rsidR="00502504" w:rsidRDefault="00000000">
                              <w:pPr>
                                <w:spacing w:after="160" w:line="259" w:lineRule="auto"/>
                                <w:ind w:left="0"/>
                                <w:jc w:val="left"/>
                              </w:pPr>
                              <w:r>
                                <w:rPr>
                                  <w:sz w:val="14"/>
                                </w:rPr>
                                <w:t>0.29</w:t>
                              </w:r>
                            </w:p>
                          </w:txbxContent>
                        </wps:txbx>
                        <wps:bodyPr horzOverflow="overflow" vert="horz" lIns="0" tIns="0" rIns="0" bIns="0" rtlCol="0">
                          <a:noAutofit/>
                        </wps:bodyPr>
                      </wps:wsp>
                      <wps:wsp>
                        <wps:cNvPr id="1341" name="Shape 1341"/>
                        <wps:cNvSpPr/>
                        <wps:spPr>
                          <a:xfrm>
                            <a:off x="2936077" y="703166"/>
                            <a:ext cx="392573" cy="127303"/>
                          </a:xfrm>
                          <a:custGeom>
                            <a:avLst/>
                            <a:gdLst/>
                            <a:ahLst/>
                            <a:cxnLst/>
                            <a:rect l="0" t="0" r="0" b="0"/>
                            <a:pathLst>
                              <a:path w="392573" h="127303">
                                <a:moveTo>
                                  <a:pt x="0" y="0"/>
                                </a:moveTo>
                                <a:lnTo>
                                  <a:pt x="392573" y="127303"/>
                                </a:lnTo>
                              </a:path>
                            </a:pathLst>
                          </a:custGeom>
                          <a:ln w="8746" cap="flat">
                            <a:miter lim="127000"/>
                          </a:ln>
                        </wps:spPr>
                        <wps:style>
                          <a:lnRef idx="1">
                            <a:srgbClr val="000000"/>
                          </a:lnRef>
                          <a:fillRef idx="0">
                            <a:srgbClr val="000000">
                              <a:alpha val="0"/>
                            </a:srgbClr>
                          </a:fillRef>
                          <a:effectRef idx="0">
                            <a:scrgbClr r="0" g="0" b="0"/>
                          </a:effectRef>
                          <a:fontRef idx="none"/>
                        </wps:style>
                        <wps:bodyPr/>
                      </wps:wsp>
                      <wps:wsp>
                        <wps:cNvPr id="1342" name="Shape 1342"/>
                        <wps:cNvSpPr/>
                        <wps:spPr>
                          <a:xfrm>
                            <a:off x="3311037" y="810088"/>
                            <a:ext cx="48670" cy="32788"/>
                          </a:xfrm>
                          <a:custGeom>
                            <a:avLst/>
                            <a:gdLst/>
                            <a:ahLst/>
                            <a:cxnLst/>
                            <a:rect l="0" t="0" r="0" b="0"/>
                            <a:pathLst>
                              <a:path w="48670" h="32788">
                                <a:moveTo>
                                  <a:pt x="10632" y="0"/>
                                </a:moveTo>
                                <a:lnTo>
                                  <a:pt x="48670" y="30452"/>
                                </a:lnTo>
                                <a:lnTo>
                                  <a:pt x="0" y="32788"/>
                                </a:lnTo>
                                <a:lnTo>
                                  <a:pt x="19693" y="21056"/>
                                </a:lnTo>
                                <a:lnTo>
                                  <a:pt x="10632" y="0"/>
                                </a:lnTo>
                                <a:close/>
                              </a:path>
                            </a:pathLst>
                          </a:custGeom>
                          <a:ln w="8319" cap="flat">
                            <a:miter lim="127000"/>
                          </a:ln>
                        </wps:spPr>
                        <wps:style>
                          <a:lnRef idx="1">
                            <a:srgbClr val="000000"/>
                          </a:lnRef>
                          <a:fillRef idx="1">
                            <a:srgbClr val="000000"/>
                          </a:fillRef>
                          <a:effectRef idx="0">
                            <a:scrgbClr r="0" g="0" b="0"/>
                          </a:effectRef>
                          <a:fontRef idx="none"/>
                        </wps:style>
                        <wps:bodyPr/>
                      </wps:wsp>
                      <wps:wsp>
                        <wps:cNvPr id="1343" name="Rectangle 1343"/>
                        <wps:cNvSpPr/>
                        <wps:spPr>
                          <a:xfrm rot="1078005">
                            <a:off x="3046331" y="821128"/>
                            <a:ext cx="203553" cy="103987"/>
                          </a:xfrm>
                          <a:prstGeom prst="rect">
                            <a:avLst/>
                          </a:prstGeom>
                          <a:ln>
                            <a:noFill/>
                          </a:ln>
                        </wps:spPr>
                        <wps:txbx>
                          <w:txbxContent>
                            <w:p w:rsidR="00502504" w:rsidRDefault="00000000">
                              <w:pPr>
                                <w:spacing w:after="160" w:line="259" w:lineRule="auto"/>
                                <w:ind w:left="0"/>
                                <w:jc w:val="left"/>
                              </w:pPr>
                              <w:r>
                                <w:rPr>
                                  <w:sz w:val="14"/>
                                </w:rPr>
                                <w:t>0.18</w:t>
                              </w:r>
                            </w:p>
                          </w:txbxContent>
                        </wps:txbx>
                        <wps:bodyPr horzOverflow="overflow" vert="horz" lIns="0" tIns="0" rIns="0" bIns="0" rtlCol="0">
                          <a:noAutofit/>
                        </wps:bodyPr>
                      </wps:wsp>
                      <wps:wsp>
                        <wps:cNvPr id="1344" name="Shape 1344"/>
                        <wps:cNvSpPr/>
                        <wps:spPr>
                          <a:xfrm>
                            <a:off x="4294116" y="139974"/>
                            <a:ext cx="650700" cy="0"/>
                          </a:xfrm>
                          <a:custGeom>
                            <a:avLst/>
                            <a:gdLst/>
                            <a:ahLst/>
                            <a:cxnLst/>
                            <a:rect l="0" t="0" r="0" b="0"/>
                            <a:pathLst>
                              <a:path w="650700">
                                <a:moveTo>
                                  <a:pt x="0" y="0"/>
                                </a:moveTo>
                                <a:lnTo>
                                  <a:pt x="650700" y="0"/>
                                </a:lnTo>
                              </a:path>
                            </a:pathLst>
                          </a:custGeom>
                          <a:ln w="4373" cap="flat">
                            <a:miter lim="127000"/>
                          </a:ln>
                        </wps:spPr>
                        <wps:style>
                          <a:lnRef idx="1">
                            <a:srgbClr val="000000"/>
                          </a:lnRef>
                          <a:fillRef idx="0">
                            <a:srgbClr val="000000">
                              <a:alpha val="0"/>
                            </a:srgbClr>
                          </a:fillRef>
                          <a:effectRef idx="0">
                            <a:scrgbClr r="0" g="0" b="0"/>
                          </a:effectRef>
                          <a:fontRef idx="none"/>
                        </wps:style>
                        <wps:bodyPr/>
                      </wps:wsp>
                      <wps:wsp>
                        <wps:cNvPr id="1345" name="Shape 1345"/>
                        <wps:cNvSpPr/>
                        <wps:spPr>
                          <a:xfrm>
                            <a:off x="4933022" y="125207"/>
                            <a:ext cx="39188" cy="29534"/>
                          </a:xfrm>
                          <a:custGeom>
                            <a:avLst/>
                            <a:gdLst/>
                            <a:ahLst/>
                            <a:cxnLst/>
                            <a:rect l="0" t="0" r="0" b="0"/>
                            <a:pathLst>
                              <a:path w="39188" h="29534">
                                <a:moveTo>
                                  <a:pt x="0" y="0"/>
                                </a:moveTo>
                                <a:lnTo>
                                  <a:pt x="39188" y="14767"/>
                                </a:lnTo>
                                <a:lnTo>
                                  <a:pt x="0" y="29534"/>
                                </a:lnTo>
                                <a:lnTo>
                                  <a:pt x="12887" y="14767"/>
                                </a:lnTo>
                                <a:lnTo>
                                  <a:pt x="0" y="0"/>
                                </a:lnTo>
                                <a:close/>
                              </a:path>
                            </a:pathLst>
                          </a:custGeom>
                          <a:ln w="4373" cap="flat">
                            <a:miter lim="127000"/>
                          </a:ln>
                        </wps:spPr>
                        <wps:style>
                          <a:lnRef idx="1">
                            <a:srgbClr val="000000"/>
                          </a:lnRef>
                          <a:fillRef idx="1">
                            <a:srgbClr val="000000"/>
                          </a:fillRef>
                          <a:effectRef idx="0">
                            <a:scrgbClr r="0" g="0" b="0"/>
                          </a:effectRef>
                          <a:fontRef idx="none"/>
                        </wps:style>
                        <wps:bodyPr/>
                      </wps:wsp>
                      <wps:wsp>
                        <wps:cNvPr id="1346" name="Rectangle 1346"/>
                        <wps:cNvSpPr/>
                        <wps:spPr>
                          <a:xfrm>
                            <a:off x="4559699" y="37724"/>
                            <a:ext cx="203557" cy="103988"/>
                          </a:xfrm>
                          <a:prstGeom prst="rect">
                            <a:avLst/>
                          </a:prstGeom>
                          <a:ln>
                            <a:noFill/>
                          </a:ln>
                        </wps:spPr>
                        <wps:txbx>
                          <w:txbxContent>
                            <w:p w:rsidR="00502504" w:rsidRDefault="00000000">
                              <w:pPr>
                                <w:spacing w:after="160" w:line="259" w:lineRule="auto"/>
                                <w:ind w:left="0"/>
                                <w:jc w:val="left"/>
                              </w:pPr>
                              <w:r>
                                <w:rPr>
                                  <w:w w:val="99"/>
                                  <w:sz w:val="14"/>
                                </w:rPr>
                                <w:t>0.03</w:t>
                              </w:r>
                            </w:p>
                          </w:txbxContent>
                        </wps:txbx>
                        <wps:bodyPr horzOverflow="overflow" vert="horz" lIns="0" tIns="0" rIns="0" bIns="0" rtlCol="0">
                          <a:noAutofit/>
                        </wps:bodyPr>
                      </wps:wsp>
                      <wps:wsp>
                        <wps:cNvPr id="1347" name="Shape 1347"/>
                        <wps:cNvSpPr/>
                        <wps:spPr>
                          <a:xfrm>
                            <a:off x="4224148" y="982185"/>
                            <a:ext cx="650700" cy="0"/>
                          </a:xfrm>
                          <a:custGeom>
                            <a:avLst/>
                            <a:gdLst/>
                            <a:ahLst/>
                            <a:cxnLst/>
                            <a:rect l="0" t="0" r="0" b="0"/>
                            <a:pathLst>
                              <a:path w="650700">
                                <a:moveTo>
                                  <a:pt x="0" y="0"/>
                                </a:moveTo>
                                <a:lnTo>
                                  <a:pt x="650700" y="0"/>
                                </a:lnTo>
                              </a:path>
                            </a:pathLst>
                          </a:custGeom>
                          <a:ln w="4373" cap="flat">
                            <a:custDash>
                              <a:ds d="258244" sp="258244"/>
                            </a:custDash>
                            <a:miter lim="127000"/>
                          </a:ln>
                        </wps:spPr>
                        <wps:style>
                          <a:lnRef idx="1">
                            <a:srgbClr val="7F7F7F"/>
                          </a:lnRef>
                          <a:fillRef idx="0">
                            <a:srgbClr val="000000">
                              <a:alpha val="0"/>
                            </a:srgbClr>
                          </a:fillRef>
                          <a:effectRef idx="0">
                            <a:scrgbClr r="0" g="0" b="0"/>
                          </a:effectRef>
                          <a:fontRef idx="none"/>
                        </wps:style>
                        <wps:bodyPr/>
                      </wps:wsp>
                      <wps:wsp>
                        <wps:cNvPr id="1348" name="Shape 1348"/>
                        <wps:cNvSpPr/>
                        <wps:spPr>
                          <a:xfrm>
                            <a:off x="4863055" y="967419"/>
                            <a:ext cx="39188" cy="29534"/>
                          </a:xfrm>
                          <a:custGeom>
                            <a:avLst/>
                            <a:gdLst/>
                            <a:ahLst/>
                            <a:cxnLst/>
                            <a:rect l="0" t="0" r="0" b="0"/>
                            <a:pathLst>
                              <a:path w="39188" h="29534">
                                <a:moveTo>
                                  <a:pt x="0" y="0"/>
                                </a:moveTo>
                                <a:lnTo>
                                  <a:pt x="39188" y="14767"/>
                                </a:lnTo>
                                <a:lnTo>
                                  <a:pt x="0" y="29534"/>
                                </a:lnTo>
                                <a:lnTo>
                                  <a:pt x="12887" y="14767"/>
                                </a:lnTo>
                                <a:lnTo>
                                  <a:pt x="0" y="0"/>
                                </a:lnTo>
                                <a:close/>
                              </a:path>
                            </a:pathLst>
                          </a:custGeom>
                          <a:ln w="4373" cap="flat">
                            <a:miter lim="127000"/>
                          </a:ln>
                        </wps:spPr>
                        <wps:style>
                          <a:lnRef idx="1">
                            <a:srgbClr val="7F7F7F"/>
                          </a:lnRef>
                          <a:fillRef idx="1">
                            <a:srgbClr val="7F7F7F"/>
                          </a:fillRef>
                          <a:effectRef idx="0">
                            <a:scrgbClr r="0" g="0" b="0"/>
                          </a:effectRef>
                          <a:fontRef idx="none"/>
                        </wps:style>
                        <wps:bodyPr/>
                      </wps:wsp>
                      <wps:wsp>
                        <wps:cNvPr id="1349" name="Rectangle 1349"/>
                        <wps:cNvSpPr/>
                        <wps:spPr>
                          <a:xfrm>
                            <a:off x="4489734" y="1024257"/>
                            <a:ext cx="203557" cy="103988"/>
                          </a:xfrm>
                          <a:prstGeom prst="rect">
                            <a:avLst/>
                          </a:prstGeom>
                          <a:ln>
                            <a:noFill/>
                          </a:ln>
                        </wps:spPr>
                        <wps:txbx>
                          <w:txbxContent>
                            <w:p w:rsidR="00502504" w:rsidRDefault="00000000">
                              <w:pPr>
                                <w:spacing w:after="160" w:line="259" w:lineRule="auto"/>
                                <w:ind w:left="0"/>
                                <w:jc w:val="left"/>
                              </w:pPr>
                              <w:r>
                                <w:rPr>
                                  <w:color w:val="7F7F7F"/>
                                  <w:w w:val="99"/>
                                  <w:sz w:val="14"/>
                                </w:rPr>
                                <w:t>0.02</w:t>
                              </w:r>
                            </w:p>
                          </w:txbxContent>
                        </wps:txbx>
                        <wps:bodyPr horzOverflow="overflow" vert="horz" lIns="0" tIns="0" rIns="0" bIns="0" rtlCol="0">
                          <a:noAutofit/>
                        </wps:bodyPr>
                      </wps:wsp>
                    </wpg:wgp>
                  </a:graphicData>
                </a:graphic>
              </wp:inline>
            </w:drawing>
          </mc:Choice>
          <mc:Fallback>
            <w:pict>
              <v:group id="Group 23271" o:spid="_x0000_s1026" style="width:450.95pt;height:88.35pt;mso-position-horizontal-relative:char;mso-position-vertical-relative:line" coordsize="57271,1122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">
                <v:shape id="Shape 1306" o:spid="_x0000_s1027" style="position:absolute;top:1856;width:7465;height:2799;visibility:visible;mso-wrap-style:square;v-text-anchor:top" coordsize="746531,27994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" path="m724667,l21865,c9789,,,9789,,21865l,258084v,12076,9789,21865,21865,21865l724667,279949v12075,,21864,-9789,21864,-21865l746531,21865c746531,9789,736742,,724667,xe" filled="f" strokeweight=".1215mm">
                  <v:stroke miterlimit="83231f" joinstyle="miter"/>
                  <v:path arrowok="t" textboxrect="0,0,746531,279949"/>
                </v:shape>
                <v:rect id="Rectangle 1308" o:spid="_x0000_s1028" style="position:absolute;left:924;top:2787;width:7470;height:13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" filled="f" stroked="f">
                  <v:textbox inset="0,0,0,0">
                    <w:txbxContent>
                      <w:p w:rsidR="00502504" w:rsidRDefault="00000000">
                        <w:pPr>
                          <w:spacing w:after="160" w:line="259" w:lineRule="auto"/>
                          <w:ind w:left="0"/>
                          <w:jc w:val="left"/>
                        </w:pPr>
                        <w:r>
                          <w:rPr>
                            <w:w w:val="108"/>
                            <w:sz w:val="17"/>
                          </w:rPr>
                          <w:t>Brent</w:t>
                        </w:r>
                        <w:r>
                          <w:rPr>
                            <w:spacing w:val="4"/>
                            <w:w w:val="108"/>
                            <w:sz w:val="17"/>
                          </w:rPr>
                          <w:t xml:space="preserve"> </w:t>
                        </w:r>
                        <w:r>
                          <w:rPr>
                            <w:w w:val="108"/>
                            <w:sz w:val="17"/>
                          </w:rPr>
                          <w:t>(USD)</w:t>
                        </w:r>
                      </w:p>
                    </w:txbxContent>
                  </v:textbox>
                </v:rect>
                <v:shape id="Shape 1309" o:spid="_x0000_s1029" style="position:absolute;top:6565;width:7465;height:2800;visibility:visible;mso-wrap-style:square;v-text-anchor:top" coordsize="746531,27994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" path="m724667,l21865,c9789,,,9789,,21865l,258085v,12075,9789,21864,21865,21864l724667,279949v12075,,21864,-9789,21864,-21864l746531,21865c746531,9789,736742,,724667,xe" filled="f" strokeweight=".1215mm">
                  <v:stroke miterlimit="83231f" joinstyle="miter"/>
                  <v:path arrowok="t" textboxrect="0,0,746531,279949"/>
                </v:shape>
                <v:rect id="Rectangle 1311" o:spid="_x0000_s1030" style="position:absolute;left:1546;top:7589;width:5816;height:13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" filled="f" stroked="f">
                  <v:textbox inset="0,0,0,0">
                    <w:txbxContent>
                      <w:p w:rsidR="00502504" w:rsidRDefault="00000000">
                        <w:pPr>
                          <w:spacing w:after="160" w:line="259" w:lineRule="auto"/>
                          <w:ind w:left="0"/>
                          <w:jc w:val="left"/>
                        </w:pPr>
                        <w:r>
                          <w:rPr>
                            <w:w w:val="115"/>
                            <w:sz w:val="17"/>
                          </w:rPr>
                          <w:t>INR/USD</w:t>
                        </w:r>
                      </w:p>
                    </w:txbxContent>
                  </v:textbox>
                </v:rect>
                <v:shape id="Shape 1312" o:spid="_x0000_s1031" style="position:absolute;left:9975;top:4211;width:7478;height:2799;visibility:visible;mso-wrap-style:square;v-text-anchor:top" coordsize="747755,27994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" path="m725890,l21865,c9789,,,9789,,21865l,258084v,12076,9789,21865,21865,21865l725890,279949v12076,,21865,-9789,21865,-21865l747755,21865c747755,9789,737966,,725890,xe" filled="f" strokeweight=".1215mm">
                  <v:stroke miterlimit="83231f" joinstyle="miter"/>
                  <v:path arrowok="t" textboxrect="0,0,747755,279949"/>
                </v:shape>
                <v:rect id="Rectangle 1314" o:spid="_x0000_s1032" style="position:absolute;left:10374;top:5121;width:8884;height:13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" filled="f" stroked="f">
                  <v:textbox inset="0,0,0,0">
                    <w:txbxContent>
                      <w:p w:rsidR="00502504" w:rsidRDefault="00000000">
                        <w:pPr>
                          <w:spacing w:after="160" w:line="259" w:lineRule="auto"/>
                          <w:ind w:left="0"/>
                          <w:jc w:val="left"/>
                        </w:pPr>
                        <w:r>
                          <w:rPr>
                            <w:w w:val="101"/>
                            <w:sz w:val="17"/>
                          </w:rPr>
                          <w:t>Rupee</w:t>
                        </w:r>
                        <w:r>
                          <w:rPr>
                            <w:spacing w:val="4"/>
                            <w:w w:val="101"/>
                            <w:sz w:val="17"/>
                          </w:rPr>
                          <w:t xml:space="preserve"> </w:t>
                        </w:r>
                        <w:r>
                          <w:rPr>
                            <w:w w:val="101"/>
                            <w:sz w:val="17"/>
                          </w:rPr>
                          <w:t>oil</w:t>
                        </w:r>
                        <w:r>
                          <w:rPr>
                            <w:spacing w:val="4"/>
                            <w:w w:val="101"/>
                            <w:sz w:val="17"/>
                          </w:rPr>
                          <w:t xml:space="preserve"> </w:t>
                        </w:r>
                        <w:r>
                          <w:rPr>
                            <w:w w:val="101"/>
                            <w:sz w:val="17"/>
                          </w:rPr>
                          <w:t>price</w:t>
                        </w:r>
                      </w:p>
                    </w:txbxContent>
                  </v:textbox>
                </v:rect>
                <v:shape id="Shape 1315" o:spid="_x0000_s1033" style="position:absolute;left:20607;top:4087;width:8731;height:3047;visibility:visible;mso-wrap-style:square;v-text-anchor:top" coordsize="873147,30467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" path="m851282,l21865,c9789,,,9789,,21865l,282808v,12076,9789,21865,21865,21865l851282,304673v12075,,21865,-9789,21865,-21865l873147,21865c873147,9789,863357,,851282,xe" filled="f" strokeweight=".1215mm">
                  <v:stroke miterlimit="83231f" joinstyle="miter"/>
                  <v:path arrowok="t" textboxrect="0,0,873147,304673"/>
                </v:shape>
                <v:rect id="Rectangle 1317" o:spid="_x0000_s1034" style="position:absolute;left:21006;top:4486;width:10551;height:13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" filled="f" stroked="f">
                  <v:textbox inset="0,0,0,0">
                    <w:txbxContent>
                      <w:p w:rsidR="00502504" w:rsidRDefault="00000000">
                        <w:pPr>
                          <w:spacing w:after="160" w:line="259" w:lineRule="auto"/>
                          <w:ind w:left="0"/>
                          <w:jc w:val="left"/>
                        </w:pPr>
                        <w:r>
                          <w:rPr>
                            <w:w w:val="102"/>
                            <w:sz w:val="17"/>
                          </w:rPr>
                          <w:t>PPAC</w:t>
                        </w:r>
                        <w:r>
                          <w:rPr>
                            <w:spacing w:val="4"/>
                            <w:w w:val="102"/>
                            <w:sz w:val="17"/>
                          </w:rPr>
                          <w:t xml:space="preserve"> </w:t>
                        </w:r>
                        <w:r>
                          <w:rPr>
                            <w:w w:val="102"/>
                            <w:sz w:val="17"/>
                          </w:rPr>
                          <w:t>retail</w:t>
                        </w:r>
                        <w:r>
                          <w:rPr>
                            <w:spacing w:val="4"/>
                            <w:w w:val="102"/>
                            <w:sz w:val="17"/>
                          </w:rPr>
                          <w:t xml:space="preserve"> </w:t>
                        </w:r>
                        <w:r>
                          <w:rPr>
                            <w:w w:val="102"/>
                            <w:sz w:val="17"/>
                          </w:rPr>
                          <w:t>petrol</w:t>
                        </w:r>
                      </w:p>
                    </w:txbxContent>
                  </v:textbox>
                </v:rect>
                <v:rect id="Rectangle 22388" o:spid="_x0000_s1035" style="position:absolute;left:27296;top:5798;width:484;height:13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" filled="f" stroked="f">
                  <v:textbox inset="0,0,0,0">
                    <w:txbxContent>
                      <w:p w:rsidR="00502504" w:rsidRDefault="00000000">
                        <w:pPr>
                          <w:spacing w:after="160" w:line="259" w:lineRule="auto"/>
                          <w:ind w:left="0"/>
                          <w:jc w:val="left"/>
                        </w:pPr>
                        <w:r>
                          <w:rPr>
                            <w:w w:val="111"/>
                            <w:sz w:val="17"/>
                          </w:rPr>
                          <w:t>)</w:t>
                        </w:r>
                      </w:p>
                    </w:txbxContent>
                  </v:textbox>
                </v:rect>
                <v:rect id="Rectangle 22389" o:spid="_x0000_s1036" style="position:absolute;left:22649;top:5798;width:6181;height:13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" filled="f" stroked="f">
                  <v:textbox inset="0,0,0,0">
                    <w:txbxContent>
                      <w:p w:rsidR="00502504" w:rsidRDefault="00000000">
                        <w:pPr>
                          <w:spacing w:after="160" w:line="259" w:lineRule="auto"/>
                          <w:ind w:left="0"/>
                          <w:jc w:val="left"/>
                        </w:pPr>
                        <w:r>
                          <w:rPr>
                            <w:w w:val="112"/>
                            <w:sz w:val="17"/>
                          </w:rPr>
                          <w:t>Delhi</w:t>
                        </w:r>
                        <w:r>
                          <w:rPr>
                            <w:spacing w:val="4"/>
                            <w:w w:val="112"/>
                            <w:sz w:val="17"/>
                          </w:rPr>
                          <w:t xml:space="preserve"> </w:t>
                        </w:r>
                        <w:r>
                          <w:rPr>
                            <w:w w:val="112"/>
                            <w:sz w:val="17"/>
                          </w:rPr>
                          <w:t>RSP</w:t>
                        </w:r>
                      </w:p>
                    </w:txbxContent>
                  </v:textbox>
                </v:rect>
                <v:rect id="Rectangle 22386" o:spid="_x0000_s1037" style="position:absolute;left:22285;top:5798;width:484;height:13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" filled="f" stroked="f">
                  <v:textbox inset="0,0,0,0">
                    <w:txbxContent>
                      <w:p w:rsidR="00502504" w:rsidRDefault="00000000">
                        <w:pPr>
                          <w:spacing w:after="160" w:line="259" w:lineRule="auto"/>
                          <w:ind w:left="0"/>
                          <w:jc w:val="left"/>
                        </w:pPr>
                        <w:r>
                          <w:rPr>
                            <w:w w:val="111"/>
                            <w:sz w:val="17"/>
                          </w:rPr>
                          <w:t>(</w:t>
                        </w:r>
                      </w:p>
                    </w:txbxContent>
                  </v:textbox>
                </v:rect>
                <v:shape id="Shape 1319" o:spid="_x0000_s1038" style="position:absolute;left:33737;width:9182;height:2799;visibility:visible;mso-wrap-style:square;v-text-anchor:top" coordsize="918190,27994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" path="m896325,l21865,c9789,,,9789,,21865l,258084v,12076,9789,21865,21865,21865l896325,279949v12076,,21865,-9789,21865,-21865l918190,21865c918190,9789,908401,,896325,xe" filled="f" strokeweight=".1215mm">
                  <v:stroke miterlimit="83231f" joinstyle="miter"/>
                  <v:path arrowok="t" textboxrect="0,0,918190,279949"/>
                </v:shape>
                <v:rect id="Rectangle 1321" o:spid="_x0000_s1039" style="position:absolute;left:34135;top:1023;width:11151;height:13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" filled="f" stroked="f">
                  <v:textbox inset="0,0,0,0">
                    <w:txbxContent>
                      <w:p w:rsidR="00502504" w:rsidRDefault="00000000">
                        <w:pPr>
                          <w:spacing w:after="160" w:line="259" w:lineRule="auto"/>
                          <w:ind w:left="0"/>
                          <w:jc w:val="left"/>
                        </w:pPr>
                        <w:r>
                          <w:rPr>
                            <w:w w:val="105"/>
                            <w:sz w:val="17"/>
                          </w:rPr>
                          <w:t>WPI</w:t>
                        </w:r>
                        <w:r>
                          <w:rPr>
                            <w:spacing w:val="4"/>
                            <w:w w:val="105"/>
                            <w:sz w:val="17"/>
                          </w:rPr>
                          <w:t xml:space="preserve"> </w:t>
                        </w:r>
                        <w:r>
                          <w:rPr>
                            <w:w w:val="105"/>
                            <w:sz w:val="17"/>
                          </w:rPr>
                          <w:t>Fuel</w:t>
                        </w:r>
                        <w:r>
                          <w:rPr>
                            <w:spacing w:val="4"/>
                            <w:w w:val="105"/>
                            <w:sz w:val="17"/>
                          </w:rPr>
                          <w:t xml:space="preserve"> </w:t>
                        </w:r>
                        <w:r>
                          <w:rPr>
                            <w:w w:val="105"/>
                            <w:sz w:val="17"/>
                          </w:rPr>
                          <w:t>&amp;</w:t>
                        </w:r>
                        <w:r>
                          <w:rPr>
                            <w:spacing w:val="4"/>
                            <w:w w:val="105"/>
                            <w:sz w:val="17"/>
                          </w:rPr>
                          <w:t xml:space="preserve"> </w:t>
                        </w:r>
                        <w:r>
                          <w:rPr>
                            <w:w w:val="105"/>
                            <w:sz w:val="17"/>
                          </w:rPr>
                          <w:t>Power</w:t>
                        </w:r>
                      </w:p>
                    </w:txbxContent>
                  </v:textbox>
                </v:rect>
                <v:shape id="Shape 1322" o:spid="_x0000_s1040" style="position:absolute;left:33737;top:8422;width:8482;height:2799;visibility:visible;mso-wrap-style:square;v-text-anchor:top" coordsize="848223,27994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" path="m826357,l21865,c9789,,,9789,,21865l,258084v,12076,9789,21865,21865,21865l826357,279949v12076,,21866,-9789,21866,-21865l848223,21865c848223,9789,838433,,826357,xe" filled="f" strokeweight=".1215mm">
                  <v:stroke miterlimit="83231f" joinstyle="miter"/>
                  <v:path arrowok="t" textboxrect="0,0,848223,279949"/>
                </v:shape>
                <v:rect id="Rectangle 1324" o:spid="_x0000_s1041" style="position:absolute;left:34135;top:9332;width:10220;height:13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" filled="f" stroked="f">
                  <v:textbox inset="0,0,0,0">
                    <w:txbxContent>
                      <w:p w:rsidR="00502504" w:rsidRDefault="00000000">
                        <w:pPr>
                          <w:spacing w:after="160" w:line="259" w:lineRule="auto"/>
                          <w:ind w:left="0"/>
                          <w:jc w:val="left"/>
                        </w:pPr>
                        <w:r>
                          <w:rPr>
                            <w:w w:val="111"/>
                            <w:sz w:val="17"/>
                          </w:rPr>
                          <w:t>CPI</w:t>
                        </w:r>
                        <w:r>
                          <w:rPr>
                            <w:spacing w:val="4"/>
                            <w:w w:val="111"/>
                            <w:sz w:val="17"/>
                          </w:rPr>
                          <w:t xml:space="preserve"> </w:t>
                        </w:r>
                        <w:r>
                          <w:rPr>
                            <w:w w:val="111"/>
                            <w:sz w:val="17"/>
                          </w:rPr>
                          <w:t>Fuel</w:t>
                        </w:r>
                        <w:r>
                          <w:rPr>
                            <w:spacing w:val="4"/>
                            <w:w w:val="111"/>
                            <w:sz w:val="17"/>
                          </w:rPr>
                          <w:t xml:space="preserve"> </w:t>
                        </w:r>
                        <w:r>
                          <w:rPr>
                            <w:w w:val="111"/>
                            <w:sz w:val="17"/>
                          </w:rPr>
                          <w:t>&amp;</w:t>
                        </w:r>
                        <w:r>
                          <w:rPr>
                            <w:spacing w:val="4"/>
                            <w:w w:val="111"/>
                            <w:sz w:val="17"/>
                          </w:rPr>
                          <w:t xml:space="preserve"> </w:t>
                        </w:r>
                        <w:r>
                          <w:rPr>
                            <w:w w:val="111"/>
                            <w:sz w:val="17"/>
                          </w:rPr>
                          <w:t>Light</w:t>
                        </w:r>
                      </w:p>
                    </w:txbxContent>
                  </v:textbox>
                </v:rect>
                <v:shape id="Shape 1325" o:spid="_x0000_s1042" style="position:absolute;left:49806;width:7465;height:2799;visibility:visible;mso-wrap-style:square;v-text-anchor:top" coordsize="746531,27994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" path="m724667,l21865,c9789,,,9789,,21865l,258084v,12076,9789,21865,21865,21865l724667,279949v12075,,21864,-9789,21864,-21865l746531,21865c746531,9789,736742,,724667,xe" filled="f" strokeweight=".1215mm">
                  <v:stroke miterlimit="83231f" joinstyle="miter"/>
                  <v:path arrowok="t" textboxrect="0,0,746531,279949"/>
                </v:shape>
                <v:rect id="Rectangle 1327" o:spid="_x0000_s1043" style="position:absolute;left:50426;top:1023;width:8277;height:13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" filled="f" stroked="f">
                  <v:textbox inset="0,0,0,0">
                    <w:txbxContent>
                      <w:p w:rsidR="00502504" w:rsidRDefault="00000000">
                        <w:pPr>
                          <w:spacing w:after="160" w:line="259" w:lineRule="auto"/>
                          <w:ind w:left="0"/>
                          <w:jc w:val="left"/>
                        </w:pPr>
                        <w:r>
                          <w:rPr>
                            <w:w w:val="104"/>
                            <w:sz w:val="17"/>
                          </w:rPr>
                          <w:t>Headline</w:t>
                        </w:r>
                        <w:r>
                          <w:rPr>
                            <w:spacing w:val="4"/>
                            <w:w w:val="104"/>
                            <w:sz w:val="17"/>
                          </w:rPr>
                          <w:t xml:space="preserve"> </w:t>
                        </w:r>
                        <w:r>
                          <w:rPr>
                            <w:w w:val="104"/>
                            <w:sz w:val="17"/>
                          </w:rPr>
                          <w:t>WPI</w:t>
                        </w:r>
                      </w:p>
                    </w:txbxContent>
                  </v:textbox>
                </v:rect>
                <v:shape id="Shape 1328" o:spid="_x0000_s1044" style="position:absolute;left:49106;top:8422;width:7465;height:2799;visibility:visible;mso-wrap-style:square;v-text-anchor:top" coordsize="746531,27994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" path="m724667,l21865,c9789,,,9789,,21865l,258084v,12076,9789,21865,21865,21865l724667,279949v12076,,21864,-9789,21864,-21865l746531,21865c746531,9789,736743,,724667,xe" filled="f" strokeweight=".1215mm">
                  <v:stroke miterlimit="83231f" joinstyle="miter"/>
                  <v:path arrowok="t" textboxrect="0,0,746531,279949"/>
                </v:shape>
                <v:rect id="Rectangle 1330" o:spid="_x0000_s1045" style="position:absolute;left:49878;top:9445;width:7874;height:13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" filled="f" stroked="f">
                  <v:textbox inset="0,0,0,0">
                    <w:txbxContent>
                      <w:p w:rsidR="00502504" w:rsidRDefault="00000000">
                        <w:pPr>
                          <w:spacing w:after="160" w:line="259" w:lineRule="auto"/>
                          <w:ind w:left="0"/>
                          <w:jc w:val="left"/>
                        </w:pPr>
                        <w:r>
                          <w:rPr>
                            <w:w w:val="106"/>
                            <w:sz w:val="17"/>
                          </w:rPr>
                          <w:t>Headline</w:t>
                        </w:r>
                        <w:r>
                          <w:rPr>
                            <w:spacing w:val="4"/>
                            <w:w w:val="106"/>
                            <w:sz w:val="17"/>
                          </w:rPr>
                          <w:t xml:space="preserve"> </w:t>
                        </w:r>
                        <w:r>
                          <w:rPr>
                            <w:w w:val="106"/>
                            <w:sz w:val="17"/>
                          </w:rPr>
                          <w:t>CPI</w:t>
                        </w:r>
                      </w:p>
                    </w:txbxContent>
                  </v:textbox>
                </v:rect>
                <v:shape id="Shape 1331" o:spid="_x0000_s1046" style="position:absolute;left:7487;top:4141;width:2139;height:506;visibility:visible;mso-wrap-style:square;v-text-anchor:top" coordsize="213939,505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" path="m,l213939,50550e" filled="f" strokeweight=".1215mm">
                  <v:stroke miterlimit="83231f" joinstyle="miter"/>
                  <v:path arrowok="t" textboxrect="0,0,213939,50550"/>
                </v:shape>
                <v:shape id="Shape 1332" o:spid="_x0000_s1047" style="position:absolute;left:9477;top:4476;width:416;height:287;visibility:visible;mso-wrap-style:square;v-text-anchor:top" coordsize="41530,287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" path="m6790,l41530,23380,,28740,15936,17333,6790,xe" fillcolor="black" strokeweight=".1182mm">
                  <v:stroke miterlimit="83231f" joinstyle="miter"/>
                  <v:path arrowok="t" textboxrect="0,0,41530,28740"/>
                </v:shape>
                <v:shape id="Shape 1333" o:spid="_x0000_s1048" style="position:absolute;left:7487;top:6574;width:2139;height:505;visibility:visible;mso-wrap-style:square;v-text-anchor:top" coordsize="213939,505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" path="m,50550l213939,e" filled="f" strokeweight=".1215mm">
                  <v:stroke miterlimit="83231f" joinstyle="miter"/>
                  <v:path arrowok="t" textboxrect="0,0,213939,50550"/>
                </v:shape>
                <v:shape id="Shape 1334" o:spid="_x0000_s1049" style="position:absolute;left:9477;top:6457;width:416;height:288;visibility:visible;mso-wrap-style:square;v-text-anchor:top" coordsize="41530,287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" path="m,l41530,5360,6790,28740,15936,11407,,xe" fillcolor="black" strokeweight=".1182mm">
                  <v:stroke miterlimit="83231f" joinstyle="miter"/>
                  <v:path arrowok="t" textboxrect="0,0,41530,28740"/>
                </v:shape>
                <v:shape id="Shape 1335" o:spid="_x0000_s1050" style="position:absolute;left:17475;top:5610;width:2544;height:0;visibility:visible;mso-wrap-style:square;v-text-anchor:top" coordsize="25446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" path="m,l254468,e" filled="f" strokeweight=".36442mm">
                  <v:stroke miterlimit="83231f" joinstyle="miter"/>
                  <v:path arrowok="t" textboxrect="0,0,254468,0"/>
                </v:shape>
                <v:shape id="Shape 1336" o:spid="_x0000_s1051" style="position:absolute;left:19879;top:5413;width:519;height:394;visibility:visible;mso-wrap-style:square;v-text-anchor:top" coordsize="51967,394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" path="m,l51967,19703,,39406,17342,19703,,xe" fillcolor="black" strokeweight=".36442mm">
                  <v:stroke miterlimit="83231f" joinstyle="miter"/>
                  <v:path arrowok="t" textboxrect="0,0,51967,39406"/>
                </v:shape>
                <v:rect id="Rectangle 1337" o:spid="_x0000_s1052" style="position:absolute;left:18264;top:4544;width:2036;height:10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" filled="f" stroked="f">
                  <v:textbox inset="0,0,0,0">
                    <w:txbxContent>
                      <w:p w:rsidR="00502504" w:rsidRDefault="00000000">
                        <w:pPr>
                          <w:spacing w:after="160" w:line="259" w:lineRule="auto"/>
                          <w:ind w:left="0"/>
                          <w:jc w:val="left"/>
                        </w:pPr>
                        <w:r>
                          <w:rPr>
                            <w:w w:val="99"/>
                            <w:sz w:val="14"/>
                          </w:rPr>
                          <w:t>0.35</w:t>
                        </w:r>
                      </w:p>
                    </w:txbxContent>
                  </v:textbox>
                </v:rect>
                <v:shape id="Shape 1338" o:spid="_x0000_s1053" style="position:absolute;left:29360;top:2957;width:4030;height:1271;visibility:visible;mso-wrap-style:square;v-text-anchor:top" coordsize="402993,12717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" path="m,127176l402993,e" filled="f" strokeweight=".24294mm">
                  <v:stroke miterlimit="83231f" joinstyle="miter"/>
                  <v:path arrowok="t" textboxrect="0,0,402993,127176"/>
                </v:shape>
                <v:shape id="Shape 1339" o:spid="_x0000_s1054" style="position:absolute;left:33215;top:2831;width:487;height:329;visibility:visible;mso-wrap-style:square;v-text-anchor:top" coordsize="48648,328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" path="m,l48648,2720,10372,32869,19599,11887,,xe" fillcolor="black" strokeweight=".23167mm">
                  <v:stroke miterlimit="83231f" joinstyle="miter"/>
                  <v:path arrowok="t" textboxrect="0,0,48648,32869"/>
                </v:shape>
                <v:rect id="Rectangle 1340" o:spid="_x0000_s1055" style="position:absolute;left:30652;top:2419;width:2035;height:1039;rotation:-114777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" filled="f" stroked="f">
                  <v:textbox inset="0,0,0,0">
                    <w:txbxContent>
                      <w:p w:rsidR="00502504" w:rsidRDefault="00000000">
                        <w:pPr>
                          <w:spacing w:after="160" w:line="259" w:lineRule="auto"/>
                          <w:ind w:left="0"/>
                          <w:jc w:val="left"/>
                        </w:pPr>
                        <w:r>
                          <w:rPr>
                            <w:sz w:val="14"/>
                          </w:rPr>
                          <w:t>0.29</w:t>
                        </w:r>
                      </w:p>
                    </w:txbxContent>
                  </v:textbox>
                </v:rect>
                <v:shape id="Shape 1341" o:spid="_x0000_s1056" style="position:absolute;left:29360;top:7031;width:3926;height:1273;visibility:visible;mso-wrap-style:square;v-text-anchor:top" coordsize="392573,12730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" path="m,l392573,127303e" filled="f" strokeweight=".24294mm">
                  <v:stroke miterlimit="83231f" joinstyle="miter"/>
                  <v:path arrowok="t" textboxrect="0,0,392573,127303"/>
                </v:shape>
                <v:shape id="Shape 1342" o:spid="_x0000_s1057" style="position:absolute;left:33110;top:8100;width:487;height:328;visibility:visible;mso-wrap-style:square;v-text-anchor:top" coordsize="48670,327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" path="m10632,l48670,30452,,32788,19693,21056,10632,xe" fillcolor="black" strokeweight=".23108mm">
                  <v:stroke miterlimit="83231f" joinstyle="miter"/>
                  <v:path arrowok="t" textboxrect="0,0,48670,32788"/>
                </v:shape>
                <v:rect id="Rectangle 1343" o:spid="_x0000_s1058" style="position:absolute;left:30463;top:8211;width:2035;height:1040;rotation:117746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" filled="f" stroked="f">
                  <v:textbox inset="0,0,0,0">
                    <w:txbxContent>
                      <w:p w:rsidR="00502504" w:rsidRDefault="00000000">
                        <w:pPr>
                          <w:spacing w:after="160" w:line="259" w:lineRule="auto"/>
                          <w:ind w:left="0"/>
                          <w:jc w:val="left"/>
                        </w:pPr>
                        <w:r>
                          <w:rPr>
                            <w:sz w:val="14"/>
                          </w:rPr>
                          <w:t>0.18</w:t>
                        </w:r>
                      </w:p>
                    </w:txbxContent>
                  </v:textbox>
                </v:rect>
                <v:shape id="Shape 1344" o:spid="_x0000_s1059" style="position:absolute;left:42941;top:1399;width:6507;height:0;visibility:visible;mso-wrap-style:square;v-text-anchor:top" coordsize="6507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" path="m,l650700,e" filled="f" strokeweight=".1215mm">
                  <v:stroke miterlimit="83231f" joinstyle="miter"/>
                  <v:path arrowok="t" textboxrect="0,0,650700,0"/>
                </v:shape>
                <v:shape id="Shape 1345" o:spid="_x0000_s1060" style="position:absolute;left:49330;top:1252;width:392;height:295;visibility:visible;mso-wrap-style:square;v-text-anchor:top" coordsize="39188,2953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" path="m,l39188,14767,,29534,12887,14767,,xe" fillcolor="black" strokeweight=".1215mm">
                  <v:stroke miterlimit="83231f" joinstyle="miter"/>
                  <v:path arrowok="t" textboxrect="0,0,39188,29534"/>
                </v:shape>
                <v:rect id="Rectangle 1346" o:spid="_x0000_s1061" style="position:absolute;left:45596;top:377;width:2036;height:10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" filled="f" stroked="f">
                  <v:textbox inset="0,0,0,0">
                    <w:txbxContent>
                      <w:p w:rsidR="00502504" w:rsidRDefault="00000000">
                        <w:pPr>
                          <w:spacing w:after="160" w:line="259" w:lineRule="auto"/>
                          <w:ind w:left="0"/>
                          <w:jc w:val="left"/>
                        </w:pPr>
                        <w:r>
                          <w:rPr>
                            <w:w w:val="99"/>
                            <w:sz w:val="14"/>
                          </w:rPr>
                          <w:t>0.03</w:t>
                        </w:r>
                      </w:p>
                    </w:txbxContent>
                  </v:textbox>
                </v:rect>
                <v:shape id="Shape 1347" o:spid="_x0000_s1062" style="position:absolute;left:42241;top:9821;width:6507;height:0;visibility:visible;mso-wrap-style:square;v-text-anchor:top" coordsize="6507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" path="m,l650700,e" filled="f" strokecolor="#7f7f7f" strokeweight=".1215mm">
                  <v:stroke miterlimit="83231f" joinstyle="miter"/>
                  <v:path arrowok="t" textboxrect="0,0,650700,0"/>
                </v:shape>
                <v:shape id="Shape 1348" o:spid="_x0000_s1063" style="position:absolute;left:48630;top:9674;width:392;height:295;visibility:visible;mso-wrap-style:square;v-text-anchor:top" coordsize="39188,2953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" path="m,l39188,14767,,29534,12887,14767,,xe" fillcolor="#7f7f7f" strokecolor="#7f7f7f" strokeweight=".1215mm">
                  <v:stroke miterlimit="83231f" joinstyle="miter"/>
                  <v:path arrowok="t" textboxrect="0,0,39188,29534"/>
                </v:shape>
                <v:rect id="Rectangle 1349" o:spid="_x0000_s1064" style="position:absolute;left:44897;top:10242;width:2035;height:10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" filled="f" stroked="f">
                  <v:textbox inset="0,0,0,0">
                    <w:txbxContent>
                      <w:p w:rsidR="00502504" w:rsidRDefault="00000000">
                        <w:pPr>
                          <w:spacing w:after="160" w:line="259" w:lineRule="auto"/>
                          <w:ind w:left="0"/>
                          <w:jc w:val="left"/>
                        </w:pPr>
                        <w:r>
                          <w:rPr>
                            <w:color w:val="7F7F7F"/>
                            <w:w w:val="99"/>
                            <w:sz w:val="14"/>
                          </w:rPr>
                          <w:t>0.02</w:t>
                        </w:r>
                      </w:p>
                    </w:txbxContent>
                  </v:textbox>
                </v:rect>
                <w10:anchorlock/>
              </v:group>
            </w:pict>
          </mc:Fallback>
        </mc:AlternateContent>
      </w:r>
    </w:p>
    <w:p w:rsidR="00502504" w:rsidRDefault="00000000" w:rsidP="009711AA">
      <w:pPr>
        <w:spacing w:after="0" w:line="250" w:lineRule="auto"/>
        <w:ind w:left="11" w:hanging="10"/>
        <w:jc w:val="left"/>
      </w:pPr>
      <w:r>
        <w:rPr>
          <w:sz w:val="20"/>
        </w:rPr>
        <w:t>Figure 6: Conceptual transmission map. Edge labels are cumulative positive pass-through estimates (CPT</w:t>
      </w:r>
      <w:r>
        <w:rPr>
          <w:rFonts w:ascii="Cambria" w:eastAsia="Cambria" w:hAnsi="Cambria" w:cs="Cambria"/>
          <w:sz w:val="20"/>
          <w:vertAlign w:val="superscript"/>
        </w:rPr>
        <w:t>+</w:t>
      </w:r>
      <w:r>
        <w:rPr>
          <w:sz w:val="20"/>
        </w:rPr>
        <w:t xml:space="preserve">) from the ADL specifications reported in Tables </w:t>
      </w:r>
      <w:r>
        <w:rPr>
          <w:color w:val="000099"/>
          <w:sz w:val="20"/>
        </w:rPr>
        <w:t>2</w:t>
      </w:r>
      <w:r>
        <w:rPr>
          <w:sz w:val="20"/>
        </w:rPr>
        <w:t>–</w:t>
      </w:r>
      <w:r>
        <w:rPr>
          <w:color w:val="000099"/>
          <w:sz w:val="20"/>
        </w:rPr>
        <w:t>5</w:t>
      </w:r>
      <w:r>
        <w:rPr>
          <w:sz w:val="20"/>
        </w:rPr>
        <w:t>. The headline CPI arrow is dashed to mark that the corresponding coefficient is not statistically distinguishable from zero.</w:t>
      </w:r>
    </w:p>
    <w:p w:rsidR="00502504" w:rsidRDefault="00000000" w:rsidP="009711AA">
      <w:pPr>
        <w:pStyle w:val="Heading2"/>
        <w:spacing w:after="0"/>
        <w:ind w:left="539" w:hanging="538"/>
      </w:pPr>
      <w:r>
        <w:t>The consumer endpoint</w:t>
      </w:r>
    </w:p>
    <w:p w:rsidR="00502504" w:rsidRDefault="00000000" w:rsidP="009711AA">
      <w:pPr>
        <w:spacing w:after="0"/>
        <w:ind w:left="1" w:right="23"/>
      </w:pPr>
      <w:r>
        <w:t xml:space="preserve">Now move to the bottom of the chain. Table </w:t>
      </w:r>
      <w:r>
        <w:rPr>
          <w:color w:val="000099"/>
        </w:rPr>
        <w:t xml:space="preserve">5 </w:t>
      </w:r>
      <w:r>
        <w:t>reports the headline CPI ADL.</w:t>
      </w:r>
    </w:p>
    <w:p w:rsidR="00502504" w:rsidRDefault="00000000" w:rsidP="009711AA">
      <w:pPr>
        <w:spacing w:after="0"/>
        <w:ind w:left="1" w:firstLine="262"/>
        <w:jc w:val="left"/>
      </w:pPr>
      <w:r>
        <w:t>The headline CPI estimates are the smallest and the least precise in the chain. Positive shocks have CPT</w:t>
      </w:r>
      <w:r>
        <w:rPr>
          <w:rFonts w:ascii="Cambria" w:eastAsia="Cambria" w:hAnsi="Cambria" w:cs="Cambria"/>
          <w:vertAlign w:val="superscript"/>
        </w:rPr>
        <w:t>+</w:t>
      </w:r>
      <w:r>
        <w:rPr>
          <w:rFonts w:ascii="Cambria" w:eastAsia="Cambria" w:hAnsi="Cambria" w:cs="Cambria"/>
        </w:rPr>
        <w:t xml:space="preserve">= </w:t>
      </w:r>
      <w:r>
        <w:t>0</w:t>
      </w:r>
      <w:r>
        <w:rPr>
          <w:rFonts w:ascii="Cambria" w:eastAsia="Cambria" w:hAnsi="Cambria" w:cs="Cambria"/>
          <w:i/>
        </w:rPr>
        <w:t>.</w:t>
      </w:r>
      <w:r>
        <w:t xml:space="preserve">021 with </w:t>
      </w:r>
      <w:r>
        <w:rPr>
          <w:i/>
        </w:rPr>
        <w:t xml:space="preserve">p </w:t>
      </w:r>
      <w:r>
        <w:rPr>
          <w:rFonts w:ascii="Cambria" w:eastAsia="Cambria" w:hAnsi="Cambria" w:cs="Cambria"/>
        </w:rPr>
        <w:t xml:space="preserve">= </w:t>
      </w:r>
      <w:r>
        <w:t>0</w:t>
      </w:r>
      <w:r>
        <w:rPr>
          <w:rFonts w:ascii="Cambria" w:eastAsia="Cambria" w:hAnsi="Cambria" w:cs="Cambria"/>
          <w:i/>
        </w:rPr>
        <w:t>.</w:t>
      </w:r>
      <w:r>
        <w:t>12. Negative shocks are essentially flat: CPT</w:t>
      </w:r>
      <w:r>
        <w:rPr>
          <w:rFonts w:ascii="Cambria" w:eastAsia="Cambria" w:hAnsi="Cambria" w:cs="Cambria"/>
          <w:vertAlign w:val="superscript"/>
        </w:rPr>
        <w:t xml:space="preserve">− </w:t>
      </w:r>
      <w:r>
        <w:rPr>
          <w:rFonts w:ascii="Cambria" w:eastAsia="Cambria" w:hAnsi="Cambria" w:cs="Cambria"/>
        </w:rPr>
        <w:t xml:space="preserve">= </w:t>
      </w:r>
      <w:r>
        <w:t>0</w:t>
      </w:r>
      <w:r>
        <w:rPr>
          <w:rFonts w:ascii="Cambria" w:eastAsia="Cambria" w:hAnsi="Cambria" w:cs="Cambria"/>
          <w:i/>
        </w:rPr>
        <w:t>.</w:t>
      </w:r>
      <w:r>
        <w:t xml:space="preserve">001, </w:t>
      </w:r>
      <w:r>
        <w:rPr>
          <w:i/>
        </w:rPr>
        <w:t xml:space="preserve">p </w:t>
      </w:r>
      <w:r>
        <w:rPr>
          <w:rFonts w:ascii="Cambria" w:eastAsia="Cambria" w:hAnsi="Cambria" w:cs="Cambria"/>
        </w:rPr>
        <w:t xml:space="preserve">= </w:t>
      </w:r>
      <w:r>
        <w:t>0</w:t>
      </w:r>
      <w:r>
        <w:rPr>
          <w:rFonts w:ascii="Cambria" w:eastAsia="Cambria" w:hAnsi="Cambria" w:cs="Cambria"/>
          <w:i/>
        </w:rPr>
        <w:t>.</w:t>
      </w:r>
      <w:r>
        <w:t>94. Symmetry is not rejected (</w:t>
      </w:r>
      <w:r>
        <w:rPr>
          <w:i/>
        </w:rPr>
        <w:t xml:space="preserve">p </w:t>
      </w:r>
      <w:r>
        <w:rPr>
          <w:rFonts w:ascii="Cambria" w:eastAsia="Cambria" w:hAnsi="Cambria" w:cs="Cambria"/>
        </w:rPr>
        <w:t xml:space="preserve">= </w:t>
      </w:r>
      <w:r>
        <w:t>0</w:t>
      </w:r>
      <w:r>
        <w:rPr>
          <w:rFonts w:ascii="Cambria" w:eastAsia="Cambria" w:hAnsi="Cambria" w:cs="Cambria"/>
          <w:i/>
        </w:rPr>
        <w:t>.</w:t>
      </w:r>
      <w:r>
        <w:t xml:space="preserve">24). The bootstrap symmetry </w:t>
      </w:r>
      <w:r>
        <w:rPr>
          <w:i/>
        </w:rPr>
        <w:t>p</w:t>
      </w:r>
      <w:r>
        <w:t>-value is similar at 0</w:t>
      </w:r>
      <w:r>
        <w:rPr>
          <w:rFonts w:ascii="Cambria" w:eastAsia="Cambria" w:hAnsi="Cambria" w:cs="Cambria"/>
          <w:i/>
        </w:rPr>
        <w:t>.</w:t>
      </w:r>
      <w:r>
        <w:t>50. Two readings are possible. One is that headline CPI in India is genuinely insulated from oil shocks because the CPI basket is heavily food-weighted, with combined food and beverage weights close to half of the index. The other is that the consumer fuel and tax buffers absorb much of what does come through. Both are likely true, and the data do not let us cleanly separate them.</w:t>
      </w:r>
    </w:p>
    <w:p w:rsidR="00502504" w:rsidRDefault="00000000" w:rsidP="009711AA">
      <w:pPr>
        <w:spacing w:after="0"/>
        <w:ind w:left="1" w:right="23" w:firstLine="269"/>
      </w:pPr>
      <w:r>
        <w:t xml:space="preserve">What the data do let us do is record one institutional fact that any policy reading should not lose. The October 2014 diesel-deregulation dummy in the headline CPI ADL is large and significant in the </w:t>
      </w:r>
      <w:r>
        <w:lastRenderedPageBreak/>
        <w:t xml:space="preserve">negative direction (estimate </w:t>
      </w:r>
      <w:r>
        <w:rPr>
          <w:rFonts w:ascii="Cambria" w:eastAsia="Cambria" w:hAnsi="Cambria" w:cs="Cambria"/>
        </w:rPr>
        <w:t>−</w:t>
      </w:r>
      <w:r>
        <w:t>0</w:t>
      </w:r>
      <w:r>
        <w:rPr>
          <w:rFonts w:ascii="Cambria" w:eastAsia="Cambria" w:hAnsi="Cambria" w:cs="Cambria"/>
          <w:i/>
        </w:rPr>
        <w:t>.</w:t>
      </w:r>
      <w:r>
        <w:t xml:space="preserve">339, </w:t>
      </w:r>
      <w:r>
        <w:rPr>
          <w:i/>
        </w:rPr>
        <w:t xml:space="preserve">p </w:t>
      </w:r>
      <w:r>
        <w:rPr>
          <w:rFonts w:ascii="Cambria" w:eastAsia="Cambria" w:hAnsi="Cambria" w:cs="Cambria"/>
          <w:i/>
        </w:rPr>
        <w:t xml:space="preserve">&lt; </w:t>
      </w:r>
      <w:r>
        <w:t>0</w:t>
      </w:r>
      <w:r>
        <w:rPr>
          <w:rFonts w:ascii="Cambria" w:eastAsia="Cambria" w:hAnsi="Cambria" w:cs="Cambria"/>
          <w:i/>
        </w:rPr>
        <w:t>.</w:t>
      </w:r>
      <w:r>
        <w:t>001). The October 2014 step is, of course, one event, and a single dummy cannot identify a structural channel. But the sign and magnitude are consistent with the institutional reading that diesel-tax revisions have at times moved in a direction that offsets, rather than reinforces, the international price signal in the consumer index.</w:t>
      </w:r>
    </w:p>
    <w:p w:rsidR="00502504" w:rsidRDefault="00000000" w:rsidP="009711AA">
      <w:pPr>
        <w:spacing w:after="0" w:line="248" w:lineRule="auto"/>
        <w:ind w:left="10" w:right="28" w:hanging="10"/>
        <w:jc w:val="center"/>
      </w:pPr>
      <w:r>
        <w:rPr>
          <w:sz w:val="20"/>
        </w:rPr>
        <w:t>Table 4: Mechanism layer ADL models. Retail petrol and wholesale fuel.</w:t>
      </w:r>
    </w:p>
    <w:tbl>
      <w:tblPr>
        <w:tblStyle w:val="TableGrid"/>
        <w:tblW w:w="6872" w:type="dxa"/>
        <w:tblInd w:w="1093" w:type="dxa"/>
        <w:tblCellMar>
          <w:top w:w="22" w:type="dxa"/>
          <w:left w:w="0" w:type="dxa"/>
          <w:bottom w:w="37" w:type="dxa"/>
          <w:right w:w="100" w:type="dxa"/>
        </w:tblCellMar>
        <w:tblLook w:val="04A0" w:firstRow="1" w:lastRow="0" w:firstColumn="1" w:lastColumn="0" w:noHBand="0" w:noVBand="1"/>
      </w:tblPr>
      <w:tblGrid>
        <w:gridCol w:w="4859"/>
        <w:gridCol w:w="646"/>
        <w:gridCol w:w="646"/>
        <w:gridCol w:w="721"/>
      </w:tblGrid>
      <w:tr w:rsidR="00502504">
        <w:trPr>
          <w:trHeight w:val="341"/>
        </w:trPr>
        <w:tc>
          <w:tcPr>
            <w:tcW w:w="4858" w:type="dxa"/>
            <w:tcBorders>
              <w:top w:val="single" w:sz="7" w:space="0" w:color="000000"/>
              <w:left w:val="nil"/>
              <w:bottom w:val="single" w:sz="4" w:space="0" w:color="000000"/>
              <w:right w:val="nil"/>
            </w:tcBorders>
          </w:tcPr>
          <w:p w:rsidR="00502504" w:rsidRDefault="00000000" w:rsidP="009711AA">
            <w:pPr>
              <w:tabs>
                <w:tab w:val="center" w:pos="2831"/>
                <w:tab w:val="center" w:pos="3541"/>
                <w:tab w:val="right" w:pos="4759"/>
              </w:tabs>
              <w:spacing w:after="0" w:line="259" w:lineRule="auto"/>
              <w:ind w:left="0"/>
              <w:jc w:val="left"/>
            </w:pPr>
            <w:r>
              <w:rPr>
                <w:sz w:val="18"/>
              </w:rPr>
              <w:t>Specification</w:t>
            </w:r>
            <w:r>
              <w:rPr>
                <w:sz w:val="18"/>
              </w:rPr>
              <w:tab/>
            </w:r>
            <w:r>
              <w:rPr>
                <w:i/>
                <w:sz w:val="18"/>
              </w:rPr>
              <w:t>N</w:t>
            </w:r>
            <w:r>
              <w:rPr>
                <w:i/>
                <w:sz w:val="18"/>
              </w:rPr>
              <w:tab/>
            </w:r>
            <w:r>
              <w:rPr>
                <w:sz w:val="18"/>
              </w:rPr>
              <w:t>Span (yrs)</w:t>
            </w:r>
            <w:r>
              <w:rPr>
                <w:sz w:val="18"/>
              </w:rPr>
              <w:tab/>
              <w:t xml:space="preserve">Adj. </w:t>
            </w:r>
            <w:r>
              <w:rPr>
                <w:i/>
                <w:sz w:val="18"/>
              </w:rPr>
              <w:t>R</w:t>
            </w:r>
            <w:r>
              <w:rPr>
                <w:sz w:val="18"/>
                <w:vertAlign w:val="superscript"/>
              </w:rPr>
              <w:t>2</w:t>
            </w:r>
          </w:p>
        </w:tc>
        <w:tc>
          <w:tcPr>
            <w:tcW w:w="646" w:type="dxa"/>
            <w:tcBorders>
              <w:top w:val="single" w:sz="7" w:space="0" w:color="000000"/>
              <w:left w:val="nil"/>
              <w:bottom w:val="single" w:sz="4" w:space="0" w:color="000000"/>
              <w:right w:val="nil"/>
            </w:tcBorders>
          </w:tcPr>
          <w:p w:rsidR="00502504" w:rsidRDefault="00000000" w:rsidP="009711AA">
            <w:pPr>
              <w:spacing w:after="0" w:line="259" w:lineRule="auto"/>
              <w:ind w:left="0"/>
              <w:jc w:val="left"/>
            </w:pPr>
            <w:r>
              <w:rPr>
                <w:sz w:val="18"/>
              </w:rPr>
              <w:t>CPT</w:t>
            </w:r>
            <w:r>
              <w:rPr>
                <w:rFonts w:ascii="Cambria" w:eastAsia="Cambria" w:hAnsi="Cambria" w:cs="Cambria"/>
                <w:sz w:val="18"/>
                <w:vertAlign w:val="superscript"/>
              </w:rPr>
              <w:t>+</w:t>
            </w:r>
          </w:p>
        </w:tc>
        <w:tc>
          <w:tcPr>
            <w:tcW w:w="646" w:type="dxa"/>
            <w:tcBorders>
              <w:top w:val="single" w:sz="7" w:space="0" w:color="000000"/>
              <w:left w:val="nil"/>
              <w:bottom w:val="single" w:sz="4" w:space="0" w:color="000000"/>
              <w:right w:val="nil"/>
            </w:tcBorders>
          </w:tcPr>
          <w:p w:rsidR="00502504" w:rsidRDefault="00000000" w:rsidP="009711AA">
            <w:pPr>
              <w:spacing w:after="0" w:line="259" w:lineRule="auto"/>
              <w:ind w:left="0"/>
              <w:jc w:val="left"/>
            </w:pPr>
            <w:r>
              <w:rPr>
                <w:sz w:val="18"/>
              </w:rPr>
              <w:t>CPT</w:t>
            </w:r>
            <w:r>
              <w:rPr>
                <w:rFonts w:ascii="Cambria" w:eastAsia="Cambria" w:hAnsi="Cambria" w:cs="Cambria"/>
                <w:sz w:val="18"/>
                <w:vertAlign w:val="superscript"/>
              </w:rPr>
              <w:t>−</w:t>
            </w:r>
          </w:p>
        </w:tc>
        <w:tc>
          <w:tcPr>
            <w:tcW w:w="721" w:type="dxa"/>
            <w:tcBorders>
              <w:top w:val="single" w:sz="7" w:space="0" w:color="000000"/>
              <w:left w:val="nil"/>
              <w:bottom w:val="single" w:sz="4" w:space="0" w:color="000000"/>
              <w:right w:val="nil"/>
            </w:tcBorders>
          </w:tcPr>
          <w:p w:rsidR="00502504" w:rsidRDefault="00000000" w:rsidP="009711AA">
            <w:pPr>
              <w:spacing w:after="0" w:line="259" w:lineRule="auto"/>
              <w:ind w:left="0"/>
              <w:jc w:val="left"/>
            </w:pPr>
            <w:proofErr w:type="spellStart"/>
            <w:r>
              <w:rPr>
                <w:sz w:val="18"/>
              </w:rPr>
              <w:t>Asym</w:t>
            </w:r>
            <w:proofErr w:type="spellEnd"/>
            <w:r>
              <w:rPr>
                <w:sz w:val="18"/>
              </w:rPr>
              <w:t xml:space="preserve">. </w:t>
            </w:r>
            <w:r>
              <w:rPr>
                <w:i/>
                <w:sz w:val="18"/>
              </w:rPr>
              <w:t>p</w:t>
            </w:r>
          </w:p>
        </w:tc>
      </w:tr>
      <w:tr w:rsidR="00502504">
        <w:trPr>
          <w:trHeight w:val="518"/>
        </w:trPr>
        <w:tc>
          <w:tcPr>
            <w:tcW w:w="4858" w:type="dxa"/>
            <w:tcBorders>
              <w:top w:val="single" w:sz="4" w:space="0" w:color="000000"/>
              <w:left w:val="nil"/>
              <w:bottom w:val="nil"/>
              <w:right w:val="nil"/>
            </w:tcBorders>
          </w:tcPr>
          <w:p w:rsidR="00502504" w:rsidRDefault="00000000" w:rsidP="009711AA">
            <w:pPr>
              <w:spacing w:after="0" w:line="259" w:lineRule="auto"/>
              <w:ind w:left="100"/>
              <w:jc w:val="left"/>
            </w:pPr>
            <w:r>
              <w:rPr>
                <w:i/>
                <w:sz w:val="18"/>
              </w:rPr>
              <w:t xml:space="preserve">Panel A. PPAC Delhi retail petrol on Brent (USD), q </w:t>
            </w:r>
            <w:r>
              <w:rPr>
                <w:rFonts w:ascii="Cambria" w:eastAsia="Cambria" w:hAnsi="Cambria" w:cs="Cambria"/>
                <w:sz w:val="18"/>
              </w:rPr>
              <w:t xml:space="preserve">= </w:t>
            </w:r>
            <w:r>
              <w:rPr>
                <w:sz w:val="18"/>
              </w:rPr>
              <w:t>3</w:t>
            </w:r>
            <w:r>
              <w:rPr>
                <w:i/>
                <w:sz w:val="18"/>
              </w:rPr>
              <w:t>:</w:t>
            </w:r>
          </w:p>
          <w:p w:rsidR="00502504" w:rsidRDefault="00000000" w:rsidP="009711AA">
            <w:pPr>
              <w:tabs>
                <w:tab w:val="center" w:pos="2836"/>
                <w:tab w:val="center" w:pos="3541"/>
                <w:tab w:val="right" w:pos="4759"/>
              </w:tabs>
              <w:spacing w:after="0" w:line="259" w:lineRule="auto"/>
              <w:ind w:left="0"/>
              <w:jc w:val="left"/>
            </w:pPr>
            <w:r>
              <w:rPr>
                <w:sz w:val="18"/>
              </w:rPr>
              <w:t>∆</w:t>
            </w:r>
            <w:proofErr w:type="spellStart"/>
            <w:r>
              <w:rPr>
                <w:sz w:val="18"/>
              </w:rPr>
              <w:t>lnPetrol</w:t>
            </w:r>
            <w:r>
              <w:rPr>
                <w:i/>
                <w:sz w:val="18"/>
                <w:vertAlign w:val="subscript"/>
              </w:rPr>
              <w:t>t</w:t>
            </w:r>
            <w:proofErr w:type="spellEnd"/>
            <w:r>
              <w:rPr>
                <w:i/>
                <w:sz w:val="18"/>
                <w:vertAlign w:val="subscript"/>
              </w:rPr>
              <w:t xml:space="preserve"> </w:t>
            </w:r>
            <w:r>
              <w:rPr>
                <w:sz w:val="18"/>
              </w:rPr>
              <w:t>ADL</w:t>
            </w:r>
            <w:r>
              <w:rPr>
                <w:sz w:val="18"/>
              </w:rPr>
              <w:tab/>
              <w:t>245</w:t>
            </w:r>
            <w:r>
              <w:rPr>
                <w:sz w:val="18"/>
              </w:rPr>
              <w:tab/>
              <w:t>20.42</w:t>
            </w:r>
            <w:r>
              <w:rPr>
                <w:sz w:val="18"/>
              </w:rPr>
              <w:tab/>
              <w:t>0.236</w:t>
            </w:r>
          </w:p>
        </w:tc>
        <w:tc>
          <w:tcPr>
            <w:tcW w:w="646" w:type="dxa"/>
            <w:tcBorders>
              <w:top w:val="single" w:sz="4" w:space="0" w:color="000000"/>
              <w:left w:val="nil"/>
              <w:bottom w:val="nil"/>
              <w:right w:val="nil"/>
            </w:tcBorders>
            <w:vAlign w:val="bottom"/>
          </w:tcPr>
          <w:p w:rsidR="00502504" w:rsidRDefault="00000000" w:rsidP="009711AA">
            <w:pPr>
              <w:spacing w:after="0" w:line="259" w:lineRule="auto"/>
              <w:ind w:left="22"/>
              <w:jc w:val="left"/>
            </w:pPr>
            <w:r>
              <w:rPr>
                <w:sz w:val="18"/>
              </w:rPr>
              <w:t>0.346</w:t>
            </w:r>
          </w:p>
        </w:tc>
        <w:tc>
          <w:tcPr>
            <w:tcW w:w="646" w:type="dxa"/>
            <w:tcBorders>
              <w:top w:val="single" w:sz="4" w:space="0" w:color="000000"/>
              <w:left w:val="nil"/>
              <w:bottom w:val="nil"/>
              <w:right w:val="nil"/>
            </w:tcBorders>
            <w:vAlign w:val="bottom"/>
          </w:tcPr>
          <w:p w:rsidR="00502504" w:rsidRDefault="00000000" w:rsidP="009711AA">
            <w:pPr>
              <w:spacing w:after="0" w:line="259" w:lineRule="auto"/>
              <w:ind w:left="22"/>
              <w:jc w:val="left"/>
            </w:pPr>
            <w:r>
              <w:rPr>
                <w:sz w:val="18"/>
              </w:rPr>
              <w:t>0.191</w:t>
            </w:r>
          </w:p>
        </w:tc>
        <w:tc>
          <w:tcPr>
            <w:tcW w:w="721" w:type="dxa"/>
            <w:tcBorders>
              <w:top w:val="single" w:sz="4" w:space="0" w:color="000000"/>
              <w:left w:val="nil"/>
              <w:bottom w:val="nil"/>
              <w:right w:val="nil"/>
            </w:tcBorders>
            <w:vAlign w:val="bottom"/>
          </w:tcPr>
          <w:p w:rsidR="00502504" w:rsidRDefault="00000000" w:rsidP="009711AA">
            <w:pPr>
              <w:spacing w:after="0" w:line="259" w:lineRule="auto"/>
              <w:ind w:left="109"/>
              <w:jc w:val="left"/>
            </w:pPr>
            <w:r>
              <w:rPr>
                <w:sz w:val="18"/>
              </w:rPr>
              <w:t>0.100</w:t>
            </w:r>
          </w:p>
        </w:tc>
      </w:tr>
      <w:tr w:rsidR="00502504">
        <w:trPr>
          <w:trHeight w:val="254"/>
        </w:trPr>
        <w:tc>
          <w:tcPr>
            <w:tcW w:w="4858" w:type="dxa"/>
            <w:tcBorders>
              <w:top w:val="nil"/>
              <w:left w:val="nil"/>
              <w:bottom w:val="single" w:sz="4" w:space="0" w:color="000000"/>
              <w:right w:val="nil"/>
            </w:tcBorders>
          </w:tcPr>
          <w:p w:rsidR="00502504" w:rsidRDefault="00000000" w:rsidP="009711AA">
            <w:pPr>
              <w:spacing w:after="0" w:line="259" w:lineRule="auto"/>
              <w:ind w:left="113"/>
              <w:jc w:val="left"/>
            </w:pPr>
            <w:r>
              <w:rPr>
                <w:i/>
                <w:sz w:val="18"/>
              </w:rPr>
              <w:t>p</w:t>
            </w:r>
            <w:r>
              <w:rPr>
                <w:sz w:val="18"/>
              </w:rPr>
              <w:t>-value on cumulative coefficient</w:t>
            </w:r>
          </w:p>
        </w:tc>
        <w:tc>
          <w:tcPr>
            <w:tcW w:w="646" w:type="dxa"/>
            <w:tcBorders>
              <w:top w:val="nil"/>
              <w:left w:val="nil"/>
              <w:bottom w:val="single" w:sz="4" w:space="0" w:color="000000"/>
              <w:right w:val="nil"/>
            </w:tcBorders>
          </w:tcPr>
          <w:p w:rsidR="00502504" w:rsidRDefault="00000000" w:rsidP="009711AA">
            <w:pPr>
              <w:spacing w:after="0" w:line="259" w:lineRule="auto"/>
              <w:ind w:left="22"/>
              <w:jc w:val="left"/>
            </w:pPr>
            <w:r>
              <w:rPr>
                <w:sz w:val="18"/>
              </w:rPr>
              <w:t>0.000</w:t>
            </w:r>
          </w:p>
        </w:tc>
        <w:tc>
          <w:tcPr>
            <w:tcW w:w="646" w:type="dxa"/>
            <w:tcBorders>
              <w:top w:val="nil"/>
              <w:left w:val="nil"/>
              <w:bottom w:val="single" w:sz="4" w:space="0" w:color="000000"/>
              <w:right w:val="nil"/>
            </w:tcBorders>
          </w:tcPr>
          <w:p w:rsidR="00502504" w:rsidRDefault="00000000" w:rsidP="009711AA">
            <w:pPr>
              <w:spacing w:after="0" w:line="259" w:lineRule="auto"/>
              <w:ind w:left="22"/>
              <w:jc w:val="left"/>
            </w:pPr>
            <w:r>
              <w:rPr>
                <w:sz w:val="18"/>
              </w:rPr>
              <w:t>0.000</w:t>
            </w:r>
          </w:p>
        </w:tc>
        <w:tc>
          <w:tcPr>
            <w:tcW w:w="721" w:type="dxa"/>
            <w:tcBorders>
              <w:top w:val="nil"/>
              <w:left w:val="nil"/>
              <w:bottom w:val="single" w:sz="4" w:space="0" w:color="000000"/>
              <w:right w:val="nil"/>
            </w:tcBorders>
          </w:tcPr>
          <w:p w:rsidR="00502504" w:rsidRDefault="00502504" w:rsidP="009711AA">
            <w:pPr>
              <w:spacing w:after="0" w:line="259" w:lineRule="auto"/>
              <w:ind w:left="0"/>
              <w:jc w:val="left"/>
            </w:pPr>
          </w:p>
        </w:tc>
      </w:tr>
      <w:tr w:rsidR="00502504">
        <w:trPr>
          <w:trHeight w:val="518"/>
        </w:trPr>
        <w:tc>
          <w:tcPr>
            <w:tcW w:w="4858" w:type="dxa"/>
            <w:tcBorders>
              <w:top w:val="single" w:sz="4" w:space="0" w:color="000000"/>
              <w:left w:val="nil"/>
              <w:bottom w:val="nil"/>
              <w:right w:val="nil"/>
            </w:tcBorders>
          </w:tcPr>
          <w:p w:rsidR="00502504" w:rsidRDefault="00000000" w:rsidP="009711AA">
            <w:pPr>
              <w:spacing w:after="0" w:line="259" w:lineRule="auto"/>
              <w:ind w:left="100"/>
              <w:jc w:val="left"/>
            </w:pPr>
            <w:r>
              <w:rPr>
                <w:i/>
                <w:sz w:val="18"/>
              </w:rPr>
              <w:t>Panel B. WPI Fuel &amp; Power on rupee oil:</w:t>
            </w:r>
          </w:p>
          <w:p w:rsidR="00502504" w:rsidRDefault="00000000" w:rsidP="009711AA">
            <w:pPr>
              <w:tabs>
                <w:tab w:val="center" w:pos="2836"/>
                <w:tab w:val="center" w:pos="3541"/>
                <w:tab w:val="right" w:pos="4759"/>
              </w:tabs>
              <w:spacing w:after="0" w:line="259" w:lineRule="auto"/>
              <w:ind w:left="0"/>
              <w:jc w:val="left"/>
            </w:pPr>
            <w:r>
              <w:rPr>
                <w:sz w:val="18"/>
              </w:rPr>
              <w:t>∆</w:t>
            </w:r>
            <w:proofErr w:type="spellStart"/>
            <w:r>
              <w:rPr>
                <w:sz w:val="18"/>
              </w:rPr>
              <w:t>lnFuel&amp;Power</w:t>
            </w:r>
            <w:r>
              <w:rPr>
                <w:i/>
                <w:sz w:val="18"/>
                <w:vertAlign w:val="subscript"/>
              </w:rPr>
              <w:t>t</w:t>
            </w:r>
            <w:proofErr w:type="spellEnd"/>
            <w:r>
              <w:rPr>
                <w:i/>
                <w:sz w:val="18"/>
                <w:vertAlign w:val="subscript"/>
              </w:rPr>
              <w:t xml:space="preserve"> </w:t>
            </w:r>
            <w:r>
              <w:rPr>
                <w:sz w:val="18"/>
              </w:rPr>
              <w:t>ADL</w:t>
            </w:r>
            <w:r>
              <w:rPr>
                <w:sz w:val="18"/>
              </w:rPr>
              <w:tab/>
              <w:t>371</w:t>
            </w:r>
            <w:r>
              <w:rPr>
                <w:sz w:val="18"/>
              </w:rPr>
              <w:tab/>
              <w:t>30.92</w:t>
            </w:r>
            <w:r>
              <w:rPr>
                <w:sz w:val="18"/>
              </w:rPr>
              <w:tab/>
              <w:t>0.463</w:t>
            </w:r>
          </w:p>
        </w:tc>
        <w:tc>
          <w:tcPr>
            <w:tcW w:w="646" w:type="dxa"/>
            <w:tcBorders>
              <w:top w:val="single" w:sz="4" w:space="0" w:color="000000"/>
              <w:left w:val="nil"/>
              <w:bottom w:val="nil"/>
              <w:right w:val="nil"/>
            </w:tcBorders>
            <w:vAlign w:val="bottom"/>
          </w:tcPr>
          <w:p w:rsidR="00502504" w:rsidRDefault="00000000" w:rsidP="009711AA">
            <w:pPr>
              <w:spacing w:after="0" w:line="259" w:lineRule="auto"/>
              <w:ind w:left="22"/>
              <w:jc w:val="left"/>
            </w:pPr>
            <w:r>
              <w:rPr>
                <w:sz w:val="18"/>
              </w:rPr>
              <w:t>0.287</w:t>
            </w:r>
          </w:p>
        </w:tc>
        <w:tc>
          <w:tcPr>
            <w:tcW w:w="646" w:type="dxa"/>
            <w:tcBorders>
              <w:top w:val="single" w:sz="4" w:space="0" w:color="000000"/>
              <w:left w:val="nil"/>
              <w:bottom w:val="nil"/>
              <w:right w:val="nil"/>
            </w:tcBorders>
            <w:vAlign w:val="bottom"/>
          </w:tcPr>
          <w:p w:rsidR="00502504" w:rsidRDefault="00000000" w:rsidP="009711AA">
            <w:pPr>
              <w:spacing w:after="0" w:line="259" w:lineRule="auto"/>
              <w:ind w:left="22"/>
              <w:jc w:val="left"/>
            </w:pPr>
            <w:r>
              <w:rPr>
                <w:sz w:val="18"/>
              </w:rPr>
              <w:t>0.268</w:t>
            </w:r>
          </w:p>
        </w:tc>
        <w:tc>
          <w:tcPr>
            <w:tcW w:w="721" w:type="dxa"/>
            <w:tcBorders>
              <w:top w:val="single" w:sz="4" w:space="0" w:color="000000"/>
              <w:left w:val="nil"/>
              <w:bottom w:val="nil"/>
              <w:right w:val="nil"/>
            </w:tcBorders>
            <w:vAlign w:val="bottom"/>
          </w:tcPr>
          <w:p w:rsidR="00502504" w:rsidRDefault="00000000" w:rsidP="009711AA">
            <w:pPr>
              <w:spacing w:after="0" w:line="259" w:lineRule="auto"/>
              <w:ind w:left="109"/>
              <w:jc w:val="left"/>
            </w:pPr>
            <w:r>
              <w:rPr>
                <w:sz w:val="18"/>
              </w:rPr>
              <w:t>0.783</w:t>
            </w:r>
          </w:p>
        </w:tc>
      </w:tr>
      <w:tr w:rsidR="00502504">
        <w:trPr>
          <w:trHeight w:val="257"/>
        </w:trPr>
        <w:tc>
          <w:tcPr>
            <w:tcW w:w="4858" w:type="dxa"/>
            <w:tcBorders>
              <w:top w:val="nil"/>
              <w:left w:val="nil"/>
              <w:bottom w:val="single" w:sz="7" w:space="0" w:color="000000"/>
              <w:right w:val="nil"/>
            </w:tcBorders>
          </w:tcPr>
          <w:p w:rsidR="00502504" w:rsidRDefault="00000000" w:rsidP="009711AA">
            <w:pPr>
              <w:spacing w:after="0" w:line="259" w:lineRule="auto"/>
              <w:ind w:left="113"/>
              <w:jc w:val="left"/>
            </w:pPr>
            <w:r>
              <w:rPr>
                <w:i/>
                <w:sz w:val="18"/>
              </w:rPr>
              <w:t>p</w:t>
            </w:r>
            <w:r>
              <w:rPr>
                <w:sz w:val="18"/>
              </w:rPr>
              <w:t>-value on cumulative coefficient</w:t>
            </w:r>
          </w:p>
        </w:tc>
        <w:tc>
          <w:tcPr>
            <w:tcW w:w="646" w:type="dxa"/>
            <w:tcBorders>
              <w:top w:val="nil"/>
              <w:left w:val="nil"/>
              <w:bottom w:val="single" w:sz="7" w:space="0" w:color="000000"/>
              <w:right w:val="nil"/>
            </w:tcBorders>
          </w:tcPr>
          <w:p w:rsidR="00502504" w:rsidRDefault="00000000" w:rsidP="009711AA">
            <w:pPr>
              <w:spacing w:after="0" w:line="259" w:lineRule="auto"/>
              <w:ind w:left="22"/>
              <w:jc w:val="left"/>
            </w:pPr>
            <w:r>
              <w:rPr>
                <w:sz w:val="18"/>
              </w:rPr>
              <w:t>0.000</w:t>
            </w:r>
          </w:p>
        </w:tc>
        <w:tc>
          <w:tcPr>
            <w:tcW w:w="646" w:type="dxa"/>
            <w:tcBorders>
              <w:top w:val="nil"/>
              <w:left w:val="nil"/>
              <w:bottom w:val="single" w:sz="7" w:space="0" w:color="000000"/>
              <w:right w:val="nil"/>
            </w:tcBorders>
          </w:tcPr>
          <w:p w:rsidR="00502504" w:rsidRDefault="00000000" w:rsidP="009711AA">
            <w:pPr>
              <w:spacing w:after="0" w:line="259" w:lineRule="auto"/>
              <w:ind w:left="22"/>
              <w:jc w:val="left"/>
            </w:pPr>
            <w:r>
              <w:rPr>
                <w:sz w:val="18"/>
              </w:rPr>
              <w:t>0.000</w:t>
            </w:r>
          </w:p>
        </w:tc>
        <w:tc>
          <w:tcPr>
            <w:tcW w:w="721" w:type="dxa"/>
            <w:tcBorders>
              <w:top w:val="nil"/>
              <w:left w:val="nil"/>
              <w:bottom w:val="single" w:sz="7" w:space="0" w:color="000000"/>
              <w:right w:val="nil"/>
            </w:tcBorders>
          </w:tcPr>
          <w:p w:rsidR="00502504" w:rsidRDefault="00502504" w:rsidP="009711AA">
            <w:pPr>
              <w:spacing w:after="0" w:line="259" w:lineRule="auto"/>
              <w:ind w:left="0"/>
              <w:jc w:val="left"/>
            </w:pPr>
          </w:p>
        </w:tc>
      </w:tr>
    </w:tbl>
    <w:p w:rsidR="00502504" w:rsidRDefault="00000000" w:rsidP="009711AA">
      <w:pPr>
        <w:spacing w:after="0" w:line="251" w:lineRule="auto"/>
        <w:ind w:left="10" w:hanging="10"/>
        <w:jc w:val="center"/>
      </w:pPr>
      <w:r>
        <w:rPr>
          <w:sz w:val="18"/>
        </w:rPr>
        <w:t xml:space="preserve">Notes: Panel A sample 2004-08 to 2024-12. Panel B sample 1995-05 to 2026-03. Both </w:t>
      </w:r>
      <w:proofErr w:type="spellStart"/>
      <w:r>
        <w:rPr>
          <w:sz w:val="18"/>
        </w:rPr>
        <w:t>panels</w:t>
      </w:r>
      <w:proofErr w:type="spellEnd"/>
      <w:r>
        <w:rPr>
          <w:sz w:val="18"/>
        </w:rPr>
        <w:t xml:space="preserve"> report HAC (Newey–West) inference on the cumulative pass-through. Panel B includes a post-October-2014 diesel deregulation dummy and an April–September 2020 COVID dummy in addition to month fixed effects. The HAC RESET test fails on Panel B at </w:t>
      </w:r>
      <w:r>
        <w:rPr>
          <w:i/>
          <w:sz w:val="18"/>
        </w:rPr>
        <w:t xml:space="preserve">p </w:t>
      </w:r>
      <w:r>
        <w:rPr>
          <w:rFonts w:ascii="Cambria" w:eastAsia="Cambria" w:hAnsi="Cambria" w:cs="Cambria"/>
          <w:i/>
          <w:sz w:val="18"/>
        </w:rPr>
        <w:t xml:space="preserve">&lt; </w:t>
      </w:r>
      <w:r>
        <w:rPr>
          <w:sz w:val="18"/>
        </w:rPr>
        <w:t>0</w:t>
      </w:r>
      <w:r>
        <w:rPr>
          <w:rFonts w:ascii="Cambria" w:eastAsia="Cambria" w:hAnsi="Cambria" w:cs="Cambria"/>
          <w:i/>
          <w:sz w:val="18"/>
        </w:rPr>
        <w:t>.</w:t>
      </w:r>
      <w:r>
        <w:rPr>
          <w:sz w:val="18"/>
        </w:rPr>
        <w:t xml:space="preserve">001 (see Section </w:t>
      </w:r>
      <w:r>
        <w:rPr>
          <w:color w:val="000099"/>
          <w:sz w:val="18"/>
        </w:rPr>
        <w:t>6</w:t>
      </w:r>
      <w:r>
        <w:rPr>
          <w:sz w:val="18"/>
        </w:rPr>
        <w:t>); other diagnostics pass.</w:t>
      </w:r>
    </w:p>
    <w:p w:rsidR="00502504" w:rsidRDefault="00000000" w:rsidP="009711AA">
      <w:pPr>
        <w:spacing w:after="0" w:line="248" w:lineRule="auto"/>
        <w:ind w:left="10" w:right="28" w:hanging="10"/>
        <w:jc w:val="center"/>
      </w:pPr>
      <w:r>
        <w:rPr>
          <w:sz w:val="20"/>
        </w:rPr>
        <w:t>Table 5: Headline CPI ADL on rupee oil. Consumer endpoint.</w:t>
      </w:r>
    </w:p>
    <w:tbl>
      <w:tblPr>
        <w:tblStyle w:val="TableGrid"/>
        <w:tblW w:w="6981" w:type="dxa"/>
        <w:tblInd w:w="1039" w:type="dxa"/>
        <w:tblCellMar>
          <w:top w:w="11" w:type="dxa"/>
          <w:left w:w="0" w:type="dxa"/>
          <w:bottom w:w="15" w:type="dxa"/>
          <w:right w:w="100" w:type="dxa"/>
        </w:tblCellMar>
        <w:tblLook w:val="04A0" w:firstRow="1" w:lastRow="0" w:firstColumn="1" w:lastColumn="0" w:noHBand="0" w:noVBand="1"/>
      </w:tblPr>
      <w:tblGrid>
        <w:gridCol w:w="3279"/>
        <w:gridCol w:w="1688"/>
        <w:gridCol w:w="1293"/>
        <w:gridCol w:w="721"/>
      </w:tblGrid>
      <w:tr w:rsidR="00502504">
        <w:trPr>
          <w:trHeight w:val="341"/>
        </w:trPr>
        <w:tc>
          <w:tcPr>
            <w:tcW w:w="4967" w:type="dxa"/>
            <w:gridSpan w:val="2"/>
            <w:tcBorders>
              <w:top w:val="single" w:sz="7" w:space="0" w:color="000000"/>
              <w:left w:val="nil"/>
              <w:bottom w:val="single" w:sz="4" w:space="0" w:color="000000"/>
              <w:right w:val="nil"/>
            </w:tcBorders>
          </w:tcPr>
          <w:p w:rsidR="00502504" w:rsidRDefault="00000000" w:rsidP="009711AA">
            <w:pPr>
              <w:tabs>
                <w:tab w:val="center" w:pos="2885"/>
                <w:tab w:val="center" w:pos="3650"/>
                <w:tab w:val="right" w:pos="4868"/>
              </w:tabs>
              <w:spacing w:after="0" w:line="259" w:lineRule="auto"/>
              <w:ind w:left="0"/>
              <w:jc w:val="left"/>
            </w:pPr>
            <w:r>
              <w:rPr>
                <w:sz w:val="18"/>
              </w:rPr>
              <w:t>Specification</w:t>
            </w:r>
            <w:r>
              <w:rPr>
                <w:sz w:val="18"/>
              </w:rPr>
              <w:tab/>
            </w:r>
            <w:r>
              <w:rPr>
                <w:i/>
                <w:sz w:val="18"/>
              </w:rPr>
              <w:t>N</w:t>
            </w:r>
            <w:r>
              <w:rPr>
                <w:i/>
                <w:sz w:val="18"/>
              </w:rPr>
              <w:tab/>
            </w:r>
            <w:r>
              <w:rPr>
                <w:sz w:val="18"/>
              </w:rPr>
              <w:t>Span (yrs)</w:t>
            </w:r>
            <w:r>
              <w:rPr>
                <w:sz w:val="18"/>
              </w:rPr>
              <w:tab/>
              <w:t xml:space="preserve">Adj. </w:t>
            </w:r>
            <w:r>
              <w:rPr>
                <w:i/>
                <w:sz w:val="18"/>
              </w:rPr>
              <w:t>R</w:t>
            </w:r>
            <w:r>
              <w:rPr>
                <w:sz w:val="18"/>
                <w:vertAlign w:val="superscript"/>
              </w:rPr>
              <w:t>2</w:t>
            </w:r>
          </w:p>
        </w:tc>
        <w:tc>
          <w:tcPr>
            <w:tcW w:w="1293" w:type="dxa"/>
            <w:tcBorders>
              <w:top w:val="single" w:sz="7" w:space="0" w:color="000000"/>
              <w:left w:val="nil"/>
              <w:bottom w:val="single" w:sz="4" w:space="0" w:color="000000"/>
              <w:right w:val="nil"/>
            </w:tcBorders>
          </w:tcPr>
          <w:p w:rsidR="00502504" w:rsidRDefault="00000000" w:rsidP="009711AA">
            <w:pPr>
              <w:spacing w:after="0" w:line="259" w:lineRule="auto"/>
              <w:ind w:left="0"/>
              <w:jc w:val="left"/>
            </w:pPr>
            <w:r>
              <w:rPr>
                <w:sz w:val="18"/>
              </w:rPr>
              <w:t>CPT</w:t>
            </w:r>
            <w:r>
              <w:rPr>
                <w:rFonts w:ascii="Cambria" w:eastAsia="Cambria" w:hAnsi="Cambria" w:cs="Cambria"/>
                <w:sz w:val="18"/>
                <w:vertAlign w:val="superscript"/>
              </w:rPr>
              <w:t xml:space="preserve">+ </w:t>
            </w:r>
            <w:r>
              <w:rPr>
                <w:sz w:val="18"/>
              </w:rPr>
              <w:t>CPT</w:t>
            </w:r>
            <w:r>
              <w:rPr>
                <w:rFonts w:ascii="Cambria" w:eastAsia="Cambria" w:hAnsi="Cambria" w:cs="Cambria"/>
                <w:sz w:val="18"/>
                <w:vertAlign w:val="superscript"/>
              </w:rPr>
              <w:t>−</w:t>
            </w:r>
          </w:p>
        </w:tc>
        <w:tc>
          <w:tcPr>
            <w:tcW w:w="721" w:type="dxa"/>
            <w:tcBorders>
              <w:top w:val="single" w:sz="7" w:space="0" w:color="000000"/>
              <w:left w:val="nil"/>
              <w:bottom w:val="single" w:sz="4" w:space="0" w:color="000000"/>
              <w:right w:val="nil"/>
            </w:tcBorders>
          </w:tcPr>
          <w:p w:rsidR="00502504" w:rsidRDefault="00000000" w:rsidP="009711AA">
            <w:pPr>
              <w:spacing w:after="0" w:line="259" w:lineRule="auto"/>
              <w:ind w:left="0"/>
              <w:jc w:val="left"/>
            </w:pPr>
            <w:proofErr w:type="spellStart"/>
            <w:r>
              <w:rPr>
                <w:sz w:val="18"/>
              </w:rPr>
              <w:t>Asym</w:t>
            </w:r>
            <w:proofErr w:type="spellEnd"/>
            <w:r>
              <w:rPr>
                <w:sz w:val="18"/>
              </w:rPr>
              <w:t xml:space="preserve">. </w:t>
            </w:r>
            <w:r>
              <w:rPr>
                <w:i/>
                <w:sz w:val="18"/>
              </w:rPr>
              <w:t>p</w:t>
            </w:r>
          </w:p>
        </w:tc>
      </w:tr>
      <w:tr w:rsidR="00502504">
        <w:trPr>
          <w:trHeight w:val="291"/>
        </w:trPr>
        <w:tc>
          <w:tcPr>
            <w:tcW w:w="4967" w:type="dxa"/>
            <w:gridSpan w:val="2"/>
            <w:tcBorders>
              <w:top w:val="single" w:sz="4" w:space="0" w:color="000000"/>
              <w:left w:val="nil"/>
              <w:bottom w:val="nil"/>
              <w:right w:val="nil"/>
            </w:tcBorders>
          </w:tcPr>
          <w:p w:rsidR="00502504" w:rsidRDefault="00000000" w:rsidP="009711AA">
            <w:pPr>
              <w:tabs>
                <w:tab w:val="center" w:pos="2891"/>
                <w:tab w:val="center" w:pos="3650"/>
                <w:tab w:val="right" w:pos="4868"/>
              </w:tabs>
              <w:spacing w:after="0" w:line="259" w:lineRule="auto"/>
              <w:ind w:left="0"/>
              <w:jc w:val="left"/>
            </w:pPr>
            <w:r>
              <w:rPr>
                <w:sz w:val="18"/>
              </w:rPr>
              <w:t>Headline CPI ADL, INR oil</w:t>
            </w:r>
            <w:r>
              <w:rPr>
                <w:sz w:val="18"/>
              </w:rPr>
              <w:tab/>
              <w:t>245</w:t>
            </w:r>
            <w:r>
              <w:rPr>
                <w:sz w:val="18"/>
              </w:rPr>
              <w:tab/>
              <w:t>20.42</w:t>
            </w:r>
            <w:r>
              <w:rPr>
                <w:sz w:val="18"/>
              </w:rPr>
              <w:tab/>
              <w:t>0.449</w:t>
            </w:r>
          </w:p>
        </w:tc>
        <w:tc>
          <w:tcPr>
            <w:tcW w:w="1293" w:type="dxa"/>
            <w:tcBorders>
              <w:top w:val="single" w:sz="4" w:space="0" w:color="000000"/>
              <w:left w:val="nil"/>
              <w:bottom w:val="nil"/>
              <w:right w:val="nil"/>
            </w:tcBorders>
          </w:tcPr>
          <w:p w:rsidR="00502504" w:rsidRDefault="00000000" w:rsidP="009711AA">
            <w:pPr>
              <w:tabs>
                <w:tab w:val="right" w:pos="1193"/>
              </w:tabs>
              <w:spacing w:after="0" w:line="259" w:lineRule="auto"/>
              <w:ind w:left="0"/>
              <w:jc w:val="left"/>
            </w:pPr>
            <w:r>
              <w:rPr>
                <w:sz w:val="18"/>
              </w:rPr>
              <w:t>0.021</w:t>
            </w:r>
            <w:r>
              <w:rPr>
                <w:sz w:val="18"/>
              </w:rPr>
              <w:tab/>
              <w:t>0.001</w:t>
            </w:r>
          </w:p>
        </w:tc>
        <w:tc>
          <w:tcPr>
            <w:tcW w:w="721" w:type="dxa"/>
            <w:tcBorders>
              <w:top w:val="single" w:sz="4" w:space="0" w:color="000000"/>
              <w:left w:val="nil"/>
              <w:bottom w:val="nil"/>
              <w:right w:val="nil"/>
            </w:tcBorders>
          </w:tcPr>
          <w:p w:rsidR="00502504" w:rsidRDefault="00000000" w:rsidP="009711AA">
            <w:pPr>
              <w:spacing w:after="0" w:line="259" w:lineRule="auto"/>
              <w:ind w:left="109"/>
              <w:jc w:val="left"/>
            </w:pPr>
            <w:r>
              <w:rPr>
                <w:sz w:val="18"/>
              </w:rPr>
              <w:t>0.241</w:t>
            </w:r>
          </w:p>
        </w:tc>
      </w:tr>
      <w:tr w:rsidR="00502504">
        <w:trPr>
          <w:trHeight w:val="261"/>
        </w:trPr>
        <w:tc>
          <w:tcPr>
            <w:tcW w:w="4967" w:type="dxa"/>
            <w:gridSpan w:val="2"/>
            <w:tcBorders>
              <w:top w:val="nil"/>
              <w:left w:val="nil"/>
              <w:bottom w:val="single" w:sz="4" w:space="0" w:color="000000"/>
              <w:right w:val="nil"/>
            </w:tcBorders>
          </w:tcPr>
          <w:p w:rsidR="00502504" w:rsidRDefault="00000000" w:rsidP="009711AA">
            <w:pPr>
              <w:spacing w:after="0" w:line="259" w:lineRule="auto"/>
              <w:ind w:left="113"/>
              <w:jc w:val="left"/>
            </w:pPr>
            <w:r>
              <w:rPr>
                <w:i/>
                <w:sz w:val="18"/>
              </w:rPr>
              <w:t>p</w:t>
            </w:r>
            <w:r>
              <w:rPr>
                <w:sz w:val="18"/>
              </w:rPr>
              <w:t>-value on cumulative coefficient</w:t>
            </w:r>
          </w:p>
        </w:tc>
        <w:tc>
          <w:tcPr>
            <w:tcW w:w="1293" w:type="dxa"/>
            <w:tcBorders>
              <w:top w:val="nil"/>
              <w:left w:val="nil"/>
              <w:bottom w:val="single" w:sz="4" w:space="0" w:color="000000"/>
              <w:right w:val="nil"/>
            </w:tcBorders>
          </w:tcPr>
          <w:p w:rsidR="00502504" w:rsidRDefault="00000000" w:rsidP="009711AA">
            <w:pPr>
              <w:tabs>
                <w:tab w:val="right" w:pos="1193"/>
              </w:tabs>
              <w:spacing w:after="0" w:line="259" w:lineRule="auto"/>
              <w:ind w:left="0"/>
              <w:jc w:val="left"/>
            </w:pPr>
            <w:r>
              <w:rPr>
                <w:sz w:val="18"/>
              </w:rPr>
              <w:t>0.122</w:t>
            </w:r>
            <w:r>
              <w:rPr>
                <w:sz w:val="18"/>
              </w:rPr>
              <w:tab/>
              <w:t>0.938</w:t>
            </w:r>
          </w:p>
        </w:tc>
        <w:tc>
          <w:tcPr>
            <w:tcW w:w="721" w:type="dxa"/>
            <w:tcBorders>
              <w:top w:val="nil"/>
              <w:left w:val="nil"/>
              <w:bottom w:val="single" w:sz="4" w:space="0" w:color="000000"/>
              <w:right w:val="nil"/>
            </w:tcBorders>
          </w:tcPr>
          <w:p w:rsidR="00502504" w:rsidRDefault="00502504" w:rsidP="009711AA">
            <w:pPr>
              <w:spacing w:after="0" w:line="259" w:lineRule="auto"/>
              <w:ind w:left="0"/>
              <w:jc w:val="left"/>
            </w:pPr>
          </w:p>
        </w:tc>
      </w:tr>
      <w:tr w:rsidR="00502504">
        <w:trPr>
          <w:trHeight w:val="515"/>
        </w:trPr>
        <w:tc>
          <w:tcPr>
            <w:tcW w:w="4967" w:type="dxa"/>
            <w:gridSpan w:val="2"/>
            <w:tcBorders>
              <w:top w:val="single" w:sz="4" w:space="0" w:color="000000"/>
              <w:left w:val="nil"/>
              <w:bottom w:val="nil"/>
              <w:right w:val="nil"/>
            </w:tcBorders>
          </w:tcPr>
          <w:p w:rsidR="00502504" w:rsidRDefault="00000000" w:rsidP="009711AA">
            <w:pPr>
              <w:spacing w:after="0" w:line="259" w:lineRule="auto"/>
              <w:ind w:left="100"/>
              <w:jc w:val="left"/>
            </w:pPr>
            <w:r>
              <w:rPr>
                <w:i/>
                <w:sz w:val="18"/>
              </w:rPr>
              <w:t>Selected covariate effects (HAC t-tests on the levels coefficients):</w:t>
            </w:r>
          </w:p>
          <w:p w:rsidR="00502504" w:rsidRDefault="00000000" w:rsidP="009711AA">
            <w:pPr>
              <w:tabs>
                <w:tab w:val="center" w:pos="3722"/>
              </w:tabs>
              <w:spacing w:after="0" w:line="259" w:lineRule="auto"/>
              <w:ind w:left="0"/>
              <w:jc w:val="left"/>
            </w:pPr>
            <w:r>
              <w:rPr>
                <w:sz w:val="18"/>
              </w:rPr>
              <w:t>Diesel deregulation step (October 2014)</w:t>
            </w:r>
            <w:r>
              <w:rPr>
                <w:sz w:val="18"/>
              </w:rPr>
              <w:tab/>
            </w:r>
            <w:r>
              <w:rPr>
                <w:i/>
                <w:sz w:val="18"/>
              </w:rPr>
              <w:t>β</w:t>
            </w:r>
            <w:r>
              <w:rPr>
                <w:sz w:val="28"/>
                <w:vertAlign w:val="superscript"/>
              </w:rPr>
              <w:t xml:space="preserve">ˆ </w:t>
            </w:r>
            <w:r>
              <w:rPr>
                <w:rFonts w:ascii="Cambria" w:eastAsia="Cambria" w:hAnsi="Cambria" w:cs="Cambria"/>
                <w:sz w:val="18"/>
              </w:rPr>
              <w:t>= −</w:t>
            </w:r>
            <w:r>
              <w:rPr>
                <w:sz w:val="18"/>
              </w:rPr>
              <w:t>0</w:t>
            </w:r>
            <w:r>
              <w:rPr>
                <w:rFonts w:ascii="Cambria" w:eastAsia="Cambria" w:hAnsi="Cambria" w:cs="Cambria"/>
                <w:i/>
                <w:sz w:val="18"/>
              </w:rPr>
              <w:t>.</w:t>
            </w:r>
            <w:r>
              <w:rPr>
                <w:sz w:val="18"/>
              </w:rPr>
              <w:t>339</w:t>
            </w:r>
          </w:p>
        </w:tc>
        <w:tc>
          <w:tcPr>
            <w:tcW w:w="1293" w:type="dxa"/>
            <w:tcBorders>
              <w:top w:val="single" w:sz="4" w:space="0" w:color="000000"/>
              <w:left w:val="nil"/>
              <w:bottom w:val="nil"/>
              <w:right w:val="nil"/>
            </w:tcBorders>
            <w:vAlign w:val="bottom"/>
          </w:tcPr>
          <w:p w:rsidR="00502504" w:rsidRDefault="00000000" w:rsidP="009711AA">
            <w:pPr>
              <w:spacing w:after="0" w:line="259" w:lineRule="auto"/>
              <w:ind w:left="13"/>
              <w:jc w:val="left"/>
            </w:pPr>
            <w:r>
              <w:rPr>
                <w:i/>
                <w:sz w:val="18"/>
              </w:rPr>
              <w:t xml:space="preserve">p </w:t>
            </w:r>
            <w:r>
              <w:rPr>
                <w:rFonts w:ascii="Cambria" w:eastAsia="Cambria" w:hAnsi="Cambria" w:cs="Cambria"/>
                <w:i/>
                <w:sz w:val="18"/>
              </w:rPr>
              <w:t xml:space="preserve">&lt; </w:t>
            </w:r>
            <w:r>
              <w:rPr>
                <w:sz w:val="18"/>
              </w:rPr>
              <w:t>0</w:t>
            </w:r>
            <w:r>
              <w:rPr>
                <w:rFonts w:ascii="Cambria" w:eastAsia="Cambria" w:hAnsi="Cambria" w:cs="Cambria"/>
                <w:i/>
                <w:sz w:val="18"/>
              </w:rPr>
              <w:t>.</w:t>
            </w:r>
            <w:r>
              <w:rPr>
                <w:sz w:val="18"/>
              </w:rPr>
              <w:t>001</w:t>
            </w:r>
          </w:p>
        </w:tc>
        <w:tc>
          <w:tcPr>
            <w:tcW w:w="721" w:type="dxa"/>
            <w:tcBorders>
              <w:top w:val="single" w:sz="4" w:space="0" w:color="000000"/>
              <w:left w:val="nil"/>
              <w:bottom w:val="nil"/>
              <w:right w:val="nil"/>
            </w:tcBorders>
          </w:tcPr>
          <w:p w:rsidR="00502504" w:rsidRDefault="00502504" w:rsidP="009711AA">
            <w:pPr>
              <w:spacing w:after="0" w:line="259" w:lineRule="auto"/>
              <w:ind w:left="0"/>
              <w:jc w:val="left"/>
            </w:pPr>
          </w:p>
        </w:tc>
      </w:tr>
      <w:tr w:rsidR="00502504">
        <w:trPr>
          <w:trHeight w:val="239"/>
        </w:trPr>
        <w:tc>
          <w:tcPr>
            <w:tcW w:w="3279" w:type="dxa"/>
            <w:tcBorders>
              <w:top w:val="nil"/>
              <w:left w:val="nil"/>
              <w:bottom w:val="nil"/>
              <w:right w:val="nil"/>
            </w:tcBorders>
          </w:tcPr>
          <w:p w:rsidR="00502504" w:rsidRDefault="00000000" w:rsidP="009711AA">
            <w:pPr>
              <w:spacing w:after="0" w:line="259" w:lineRule="auto"/>
              <w:ind w:left="100"/>
              <w:jc w:val="left"/>
            </w:pPr>
            <w:r>
              <w:rPr>
                <w:sz w:val="18"/>
              </w:rPr>
              <w:t>Petrol deregulation step (June 2010)</w:t>
            </w:r>
          </w:p>
        </w:tc>
        <w:tc>
          <w:tcPr>
            <w:tcW w:w="1688" w:type="dxa"/>
            <w:tcBorders>
              <w:top w:val="nil"/>
              <w:left w:val="nil"/>
              <w:bottom w:val="nil"/>
              <w:right w:val="nil"/>
            </w:tcBorders>
          </w:tcPr>
          <w:p w:rsidR="00502504" w:rsidRDefault="00000000" w:rsidP="009711AA">
            <w:pPr>
              <w:spacing w:after="0" w:line="259" w:lineRule="auto"/>
              <w:ind w:left="39"/>
              <w:jc w:val="left"/>
            </w:pPr>
            <w:r>
              <w:rPr>
                <w:sz w:val="18"/>
              </w:rPr>
              <w:t>ˆ</w:t>
            </w:r>
          </w:p>
          <w:p w:rsidR="00502504" w:rsidRDefault="00000000" w:rsidP="009711AA">
            <w:pPr>
              <w:spacing w:after="0" w:line="259" w:lineRule="auto"/>
              <w:ind w:left="0"/>
              <w:jc w:val="left"/>
            </w:pPr>
            <w:r>
              <w:rPr>
                <w:i/>
                <w:sz w:val="18"/>
              </w:rPr>
              <w:t>β</w:t>
            </w:r>
            <w:r>
              <w:rPr>
                <w:rFonts w:ascii="Cambria" w:eastAsia="Cambria" w:hAnsi="Cambria" w:cs="Cambria"/>
                <w:sz w:val="18"/>
              </w:rPr>
              <w:t>=+</w:t>
            </w:r>
            <w:r>
              <w:rPr>
                <w:sz w:val="18"/>
              </w:rPr>
              <w:t>0</w:t>
            </w:r>
            <w:r>
              <w:rPr>
                <w:rFonts w:ascii="Cambria" w:eastAsia="Cambria" w:hAnsi="Cambria" w:cs="Cambria"/>
                <w:i/>
                <w:sz w:val="18"/>
              </w:rPr>
              <w:t>.</w:t>
            </w:r>
            <w:r>
              <w:rPr>
                <w:sz w:val="18"/>
              </w:rPr>
              <w:t>116</w:t>
            </w:r>
          </w:p>
        </w:tc>
        <w:tc>
          <w:tcPr>
            <w:tcW w:w="1293" w:type="dxa"/>
            <w:tcBorders>
              <w:top w:val="nil"/>
              <w:left w:val="nil"/>
              <w:bottom w:val="nil"/>
              <w:right w:val="nil"/>
            </w:tcBorders>
          </w:tcPr>
          <w:p w:rsidR="00502504" w:rsidRDefault="00000000" w:rsidP="009711AA">
            <w:pPr>
              <w:spacing w:after="0" w:line="259" w:lineRule="auto"/>
              <w:ind w:left="13"/>
              <w:jc w:val="left"/>
            </w:pPr>
            <w:r>
              <w:rPr>
                <w:i/>
                <w:sz w:val="18"/>
              </w:rPr>
              <w:t xml:space="preserve">p </w:t>
            </w:r>
            <w:r>
              <w:rPr>
                <w:rFonts w:ascii="Cambria" w:eastAsia="Cambria" w:hAnsi="Cambria" w:cs="Cambria"/>
                <w:sz w:val="18"/>
              </w:rPr>
              <w:t xml:space="preserve">= </w:t>
            </w:r>
            <w:r>
              <w:rPr>
                <w:sz w:val="18"/>
              </w:rPr>
              <w:t>0</w:t>
            </w:r>
            <w:r>
              <w:rPr>
                <w:rFonts w:ascii="Cambria" w:eastAsia="Cambria" w:hAnsi="Cambria" w:cs="Cambria"/>
                <w:i/>
                <w:sz w:val="18"/>
              </w:rPr>
              <w:t>.</w:t>
            </w:r>
            <w:r>
              <w:rPr>
                <w:sz w:val="18"/>
              </w:rPr>
              <w:t>307</w:t>
            </w:r>
          </w:p>
        </w:tc>
        <w:tc>
          <w:tcPr>
            <w:tcW w:w="721" w:type="dxa"/>
            <w:tcBorders>
              <w:top w:val="nil"/>
              <w:left w:val="nil"/>
              <w:bottom w:val="nil"/>
              <w:right w:val="nil"/>
            </w:tcBorders>
          </w:tcPr>
          <w:p w:rsidR="00502504" w:rsidRDefault="00502504" w:rsidP="009711AA">
            <w:pPr>
              <w:spacing w:after="0" w:line="259" w:lineRule="auto"/>
              <w:ind w:left="0"/>
              <w:jc w:val="left"/>
            </w:pPr>
          </w:p>
        </w:tc>
      </w:tr>
      <w:tr w:rsidR="00502504">
        <w:trPr>
          <w:trHeight w:val="299"/>
        </w:trPr>
        <w:tc>
          <w:tcPr>
            <w:tcW w:w="3279" w:type="dxa"/>
            <w:tcBorders>
              <w:top w:val="nil"/>
              <w:left w:val="nil"/>
              <w:bottom w:val="single" w:sz="7" w:space="0" w:color="000000"/>
              <w:right w:val="nil"/>
            </w:tcBorders>
          </w:tcPr>
          <w:p w:rsidR="00502504" w:rsidRDefault="00000000" w:rsidP="009711AA">
            <w:pPr>
              <w:spacing w:after="0" w:line="259" w:lineRule="auto"/>
              <w:ind w:left="100"/>
              <w:jc w:val="left"/>
            </w:pPr>
            <w:r>
              <w:rPr>
                <w:sz w:val="18"/>
              </w:rPr>
              <w:t>COVID window (April–September 2020)</w:t>
            </w:r>
          </w:p>
        </w:tc>
        <w:tc>
          <w:tcPr>
            <w:tcW w:w="1688" w:type="dxa"/>
            <w:tcBorders>
              <w:top w:val="nil"/>
              <w:left w:val="nil"/>
              <w:bottom w:val="single" w:sz="7" w:space="0" w:color="000000"/>
              <w:right w:val="nil"/>
            </w:tcBorders>
          </w:tcPr>
          <w:p w:rsidR="00502504" w:rsidRDefault="00000000" w:rsidP="009711AA">
            <w:pPr>
              <w:spacing w:after="0" w:line="259" w:lineRule="auto"/>
              <w:ind w:left="39"/>
              <w:jc w:val="left"/>
            </w:pPr>
            <w:r>
              <w:rPr>
                <w:sz w:val="18"/>
              </w:rPr>
              <w:t>ˆ</w:t>
            </w:r>
          </w:p>
          <w:p w:rsidR="00502504" w:rsidRDefault="00000000" w:rsidP="009711AA">
            <w:pPr>
              <w:spacing w:after="0" w:line="259" w:lineRule="auto"/>
              <w:ind w:left="0"/>
              <w:jc w:val="left"/>
            </w:pPr>
            <w:r>
              <w:rPr>
                <w:i/>
                <w:sz w:val="18"/>
              </w:rPr>
              <w:t>β</w:t>
            </w:r>
            <w:r>
              <w:rPr>
                <w:rFonts w:ascii="Cambria" w:eastAsia="Cambria" w:hAnsi="Cambria" w:cs="Cambria"/>
                <w:sz w:val="18"/>
              </w:rPr>
              <w:t>= −</w:t>
            </w:r>
            <w:r>
              <w:rPr>
                <w:sz w:val="18"/>
              </w:rPr>
              <w:t>0</w:t>
            </w:r>
            <w:r>
              <w:rPr>
                <w:rFonts w:ascii="Cambria" w:eastAsia="Cambria" w:hAnsi="Cambria" w:cs="Cambria"/>
                <w:i/>
                <w:sz w:val="18"/>
              </w:rPr>
              <w:t>.</w:t>
            </w:r>
            <w:r>
              <w:rPr>
                <w:sz w:val="18"/>
              </w:rPr>
              <w:t>345</w:t>
            </w:r>
          </w:p>
        </w:tc>
        <w:tc>
          <w:tcPr>
            <w:tcW w:w="1293" w:type="dxa"/>
            <w:tcBorders>
              <w:top w:val="nil"/>
              <w:left w:val="nil"/>
              <w:bottom w:val="single" w:sz="7" w:space="0" w:color="000000"/>
              <w:right w:val="nil"/>
            </w:tcBorders>
          </w:tcPr>
          <w:p w:rsidR="00502504" w:rsidRDefault="00000000" w:rsidP="009711AA">
            <w:pPr>
              <w:spacing w:after="0" w:line="259" w:lineRule="auto"/>
              <w:ind w:left="13"/>
              <w:jc w:val="left"/>
            </w:pPr>
            <w:r>
              <w:rPr>
                <w:i/>
                <w:sz w:val="18"/>
              </w:rPr>
              <w:t xml:space="preserve">p </w:t>
            </w:r>
            <w:r>
              <w:rPr>
                <w:rFonts w:ascii="Cambria" w:eastAsia="Cambria" w:hAnsi="Cambria" w:cs="Cambria"/>
                <w:sz w:val="18"/>
              </w:rPr>
              <w:t xml:space="preserve">= </w:t>
            </w:r>
            <w:r>
              <w:rPr>
                <w:sz w:val="18"/>
              </w:rPr>
              <w:t>0</w:t>
            </w:r>
            <w:r>
              <w:rPr>
                <w:rFonts w:ascii="Cambria" w:eastAsia="Cambria" w:hAnsi="Cambria" w:cs="Cambria"/>
                <w:i/>
                <w:sz w:val="18"/>
              </w:rPr>
              <w:t>.</w:t>
            </w:r>
            <w:r>
              <w:rPr>
                <w:sz w:val="18"/>
              </w:rPr>
              <w:t>507</w:t>
            </w:r>
          </w:p>
        </w:tc>
        <w:tc>
          <w:tcPr>
            <w:tcW w:w="721" w:type="dxa"/>
            <w:tcBorders>
              <w:top w:val="nil"/>
              <w:left w:val="nil"/>
              <w:bottom w:val="single" w:sz="7" w:space="0" w:color="000000"/>
              <w:right w:val="nil"/>
            </w:tcBorders>
          </w:tcPr>
          <w:p w:rsidR="00502504" w:rsidRDefault="00502504" w:rsidP="009711AA">
            <w:pPr>
              <w:spacing w:after="0" w:line="259" w:lineRule="auto"/>
              <w:ind w:left="0"/>
              <w:jc w:val="left"/>
            </w:pPr>
          </w:p>
        </w:tc>
      </w:tr>
    </w:tbl>
    <w:p w:rsidR="00502504" w:rsidRDefault="00000000" w:rsidP="009711AA">
      <w:pPr>
        <w:spacing w:after="0" w:line="251" w:lineRule="auto"/>
        <w:ind w:left="10" w:hanging="10"/>
        <w:jc w:val="center"/>
      </w:pPr>
      <w:r>
        <w:rPr>
          <w:sz w:val="18"/>
        </w:rPr>
        <w:t xml:space="preserve">Notes: Sample 2004-08 to 2024-12. Specification analogous to Table </w:t>
      </w:r>
      <w:r>
        <w:rPr>
          <w:color w:val="000099"/>
          <w:sz w:val="18"/>
        </w:rPr>
        <w:t xml:space="preserve">2 </w:t>
      </w:r>
      <w:r>
        <w:rPr>
          <w:sz w:val="18"/>
        </w:rPr>
        <w:t xml:space="preserve">with </w:t>
      </w:r>
      <w:r>
        <w:rPr>
          <w:i/>
          <w:sz w:val="18"/>
        </w:rPr>
        <w:t xml:space="preserve">q </w:t>
      </w:r>
      <w:r>
        <w:rPr>
          <w:rFonts w:ascii="Cambria" w:eastAsia="Cambria" w:hAnsi="Cambria" w:cs="Cambria"/>
          <w:sz w:val="18"/>
        </w:rPr>
        <w:t xml:space="preserve">= </w:t>
      </w:r>
      <w:r>
        <w:rPr>
          <w:sz w:val="18"/>
        </w:rPr>
        <w:t xml:space="preserve">3 on the asymmetric oil components, an IIP control for industrial activity, and step dummies for the petrol and diesel deregulation events. The bootstrap </w:t>
      </w:r>
      <w:r>
        <w:rPr>
          <w:i/>
          <w:sz w:val="18"/>
        </w:rPr>
        <w:t>p</w:t>
      </w:r>
      <w:r>
        <w:rPr>
          <w:sz w:val="18"/>
        </w:rPr>
        <w:t>-value on the symmetry restriction is 0</w:t>
      </w:r>
      <w:r>
        <w:rPr>
          <w:rFonts w:ascii="Cambria" w:eastAsia="Cambria" w:hAnsi="Cambria" w:cs="Cambria"/>
          <w:i/>
          <w:sz w:val="18"/>
        </w:rPr>
        <w:t>.</w:t>
      </w:r>
      <w:r>
        <w:rPr>
          <w:sz w:val="18"/>
        </w:rPr>
        <w:t>500.</w:t>
      </w:r>
    </w:p>
    <w:p w:rsidR="00502504" w:rsidRDefault="00000000" w:rsidP="009711AA">
      <w:pPr>
        <w:pStyle w:val="Heading2"/>
        <w:spacing w:after="0"/>
        <w:ind w:left="539" w:hanging="538"/>
      </w:pPr>
      <w:r>
        <w:t>Putting it together</w:t>
      </w:r>
    </w:p>
    <w:p w:rsidR="00502504" w:rsidRDefault="00000000" w:rsidP="009711AA">
      <w:pPr>
        <w:spacing w:after="0"/>
        <w:ind w:left="1" w:right="23"/>
      </w:pPr>
      <w:r>
        <w:t xml:space="preserve">Table </w:t>
      </w:r>
      <w:r>
        <w:rPr>
          <w:color w:val="000099"/>
        </w:rPr>
        <w:t xml:space="preserve">6 </w:t>
      </w:r>
      <w:r>
        <w:t>stitches the four CPT</w:t>
      </w:r>
      <w:r>
        <w:rPr>
          <w:rFonts w:ascii="Cambria" w:eastAsia="Cambria" w:hAnsi="Cambria" w:cs="Cambria"/>
          <w:vertAlign w:val="superscript"/>
        </w:rPr>
        <w:t xml:space="preserve">+ </w:t>
      </w:r>
      <w:r>
        <w:t>estimates into a single layered comparison and adds the pre/post-2010 split for the two wholesale models.</w:t>
      </w:r>
    </w:p>
    <w:p w:rsidR="00502504" w:rsidRDefault="00000000" w:rsidP="009711AA">
      <w:pPr>
        <w:spacing w:after="0"/>
        <w:ind w:left="1" w:right="23" w:firstLine="272"/>
      </w:pPr>
      <w:r>
        <w:t>The picture is monotone in the obvious direction. Retail petrol has CPT</w:t>
      </w:r>
      <w:r>
        <w:rPr>
          <w:rFonts w:ascii="Cambria" w:eastAsia="Cambria" w:hAnsi="Cambria" w:cs="Cambria"/>
          <w:vertAlign w:val="superscript"/>
        </w:rPr>
        <w:t xml:space="preserve">+ </w:t>
      </w:r>
      <w:r>
        <w:rPr>
          <w:rFonts w:ascii="Cambria" w:eastAsia="Cambria" w:hAnsi="Cambria" w:cs="Cambria"/>
        </w:rPr>
        <w:t xml:space="preserve">= </w:t>
      </w:r>
      <w:r>
        <w:t>0</w:t>
      </w:r>
      <w:r>
        <w:rPr>
          <w:rFonts w:ascii="Cambria" w:eastAsia="Cambria" w:hAnsi="Cambria" w:cs="Cambria"/>
          <w:i/>
        </w:rPr>
        <w:t>.</w:t>
      </w:r>
      <w:r>
        <w:t>35. The two fuel</w:t>
      </w:r>
      <w:r w:rsidR="001B6BDE">
        <w:t xml:space="preserve"> </w:t>
      </w:r>
      <w:r>
        <w:t>sensitive subindices come in at 0</w:t>
      </w:r>
      <w:r>
        <w:rPr>
          <w:rFonts w:ascii="Cambria" w:eastAsia="Cambria" w:hAnsi="Cambria" w:cs="Cambria"/>
          <w:i/>
        </w:rPr>
        <w:t>.</w:t>
      </w:r>
      <w:r>
        <w:t>29 (WPI Fuel and Power) and 0</w:t>
      </w:r>
      <w:r>
        <w:rPr>
          <w:rFonts w:ascii="Cambria" w:eastAsia="Cambria" w:hAnsi="Cambria" w:cs="Cambria"/>
          <w:i/>
        </w:rPr>
        <w:t>.</w:t>
      </w:r>
      <w:r>
        <w:t>18 (CPI Fuel and Light). Headline WPI is at 0</w:t>
      </w:r>
      <w:r>
        <w:rPr>
          <w:rFonts w:ascii="Cambria" w:eastAsia="Cambria" w:hAnsi="Cambria" w:cs="Cambria"/>
          <w:i/>
        </w:rPr>
        <w:t>.</w:t>
      </w:r>
      <w:r>
        <w:t>03. Headline CPI is at 0</w:t>
      </w:r>
      <w:r>
        <w:rPr>
          <w:rFonts w:ascii="Cambria" w:eastAsia="Cambria" w:hAnsi="Cambria" w:cs="Cambria"/>
          <w:i/>
        </w:rPr>
        <w:t>.</w:t>
      </w:r>
      <w:r>
        <w:t>02 and not significant. Roughly an order of magnitude is lost between the pump and the consumer. Most of that loss happens between the fuel-sensitive subindices and the headline aggregates, which is mechanical: fuel weights in the headline indices are small (about 13 percent in the WPI 2011–12 series and about 7 percent in the CPI 2010 base), so a large move in fuel cannot mathematically produce more than a small move in the aggregate unless non-fuel components correlate with it. The CPI Fuel and Light bridge equation, although it sits on a shorter sample (164 monthly observations beginning May 2011 and therefore not eligible as a headline mandate), confirms the qualitative direction: PPAC petrol passes into CPI Fuel and Light with CPT</w:t>
      </w:r>
      <w:r>
        <w:rPr>
          <w:rFonts w:ascii="Cambria" w:eastAsia="Cambria" w:hAnsi="Cambria" w:cs="Cambria"/>
          <w:vertAlign w:val="superscript"/>
        </w:rPr>
        <w:t>+</w:t>
      </w:r>
      <w:r>
        <w:rPr>
          <w:rFonts w:ascii="Cambria" w:eastAsia="Cambria" w:hAnsi="Cambria" w:cs="Cambria"/>
        </w:rPr>
        <w:t xml:space="preserve">= </w:t>
      </w:r>
      <w:r>
        <w:t>0</w:t>
      </w:r>
      <w:r>
        <w:rPr>
          <w:rFonts w:ascii="Cambria" w:eastAsia="Cambria" w:hAnsi="Cambria" w:cs="Cambria"/>
          <w:i/>
        </w:rPr>
        <w:t>.</w:t>
      </w:r>
      <w:r>
        <w:t>178 (</w:t>
      </w:r>
      <w:r>
        <w:rPr>
          <w:i/>
        </w:rPr>
        <w:t xml:space="preserve">p </w:t>
      </w:r>
      <w:r>
        <w:rPr>
          <w:rFonts w:ascii="Cambria" w:eastAsia="Cambria" w:hAnsi="Cambria" w:cs="Cambria"/>
        </w:rPr>
        <w:t xml:space="preserve">= </w:t>
      </w:r>
      <w:r>
        <w:t>0</w:t>
      </w:r>
      <w:r>
        <w:rPr>
          <w:rFonts w:ascii="Cambria" w:eastAsia="Cambria" w:hAnsi="Cambria" w:cs="Cambria"/>
          <w:i/>
        </w:rPr>
        <w:t>.</w:t>
      </w:r>
      <w:r>
        <w:t>002) and a smaller negative-side response.</w:t>
      </w:r>
    </w:p>
    <w:p w:rsidR="001B6BDE" w:rsidRPr="001B6BDE" w:rsidRDefault="00000000" w:rsidP="001B6BDE">
      <w:pPr>
        <w:spacing w:after="0" w:line="259" w:lineRule="auto"/>
        <w:ind w:left="10" w:right="23" w:hanging="10"/>
      </w:pPr>
      <w:r w:rsidRPr="001B6BDE">
        <w:t>We pick out one judgement call. The evidence here is more cautious about asymmetry than the</w:t>
      </w:r>
      <w:r w:rsidR="001B6BDE" w:rsidRPr="001B6BDE">
        <w:t xml:space="preserve"> </w:t>
      </w:r>
    </w:p>
    <w:p w:rsidR="00502504" w:rsidRPr="001B6BDE" w:rsidRDefault="001B6BDE" w:rsidP="001B6BDE">
      <w:pPr>
        <w:spacing w:after="0" w:line="259" w:lineRule="auto"/>
        <w:ind w:left="10" w:right="23" w:hanging="10"/>
      </w:pPr>
      <w:r>
        <w:t>r</w:t>
      </w:r>
      <w:r w:rsidRPr="001B6BDE">
        <w:t>ecent</w:t>
      </w:r>
      <w:r>
        <w:t xml:space="preserve"> I</w:t>
      </w:r>
      <w:r w:rsidR="00000000" w:rsidRPr="001B6BDE">
        <w:t xml:space="preserve">ndian NARDL literature, which often headlines asymmetric long-run multipliers as the primary result. We do find asymmetry signals, but they are concentrated at the pump, are borderline at </w:t>
      </w:r>
      <w:r w:rsidR="00000000" w:rsidRPr="001B6BDE">
        <w:lastRenderedPageBreak/>
        <w:t>conventional significance (</w:t>
      </w:r>
      <w:r w:rsidR="00000000" w:rsidRPr="001B6BDE">
        <w:rPr>
          <w:i/>
        </w:rPr>
        <w:t xml:space="preserve">p </w:t>
      </w:r>
      <w:r w:rsidR="00000000" w:rsidRPr="001B6BDE">
        <w:rPr>
          <w:rFonts w:eastAsia="Cambria"/>
        </w:rPr>
        <w:t xml:space="preserve">= </w:t>
      </w:r>
      <w:r w:rsidR="00000000" w:rsidRPr="001B6BDE">
        <w:t>0</w:t>
      </w:r>
      <w:r w:rsidR="00000000" w:rsidRPr="001B6BDE">
        <w:rPr>
          <w:rFonts w:eastAsia="Cambria"/>
          <w:i/>
        </w:rPr>
        <w:t>.</w:t>
      </w:r>
      <w:r w:rsidR="00000000" w:rsidRPr="001B6BDE">
        <w:t>10), and are not robust to moving up the chain. The integrated reading is that the most stable and quantitatively meaningful empirical feature in this dataset is attenuation across layers, not asymmetry within any single layer.</w:t>
      </w:r>
    </w:p>
    <w:p w:rsidR="00502504" w:rsidRDefault="00000000" w:rsidP="009711AA">
      <w:pPr>
        <w:spacing w:after="0" w:line="248" w:lineRule="auto"/>
        <w:ind w:left="10" w:right="28" w:hanging="10"/>
        <w:jc w:val="center"/>
      </w:pPr>
      <w:r>
        <w:rPr>
          <w:sz w:val="20"/>
        </w:rPr>
        <w:t>Table 6: Integrated attenuation across price layers and pre/post-2010 split.</w:t>
      </w:r>
    </w:p>
    <w:tbl>
      <w:tblPr>
        <w:tblStyle w:val="TableGrid"/>
        <w:tblW w:w="6532" w:type="dxa"/>
        <w:tblInd w:w="1263" w:type="dxa"/>
        <w:tblCellMar>
          <w:top w:w="12" w:type="dxa"/>
          <w:left w:w="0" w:type="dxa"/>
          <w:bottom w:w="36" w:type="dxa"/>
          <w:right w:w="16" w:type="dxa"/>
        </w:tblCellMar>
        <w:tblLook w:val="04A0" w:firstRow="1" w:lastRow="0" w:firstColumn="1" w:lastColumn="0" w:noHBand="0" w:noVBand="1"/>
      </w:tblPr>
      <w:tblGrid>
        <w:gridCol w:w="2067"/>
        <w:gridCol w:w="1789"/>
        <w:gridCol w:w="428"/>
        <w:gridCol w:w="966"/>
        <w:gridCol w:w="607"/>
        <w:gridCol w:w="675"/>
      </w:tblGrid>
      <w:tr w:rsidR="00502504">
        <w:trPr>
          <w:trHeight w:val="336"/>
        </w:trPr>
        <w:tc>
          <w:tcPr>
            <w:tcW w:w="4284" w:type="dxa"/>
            <w:gridSpan w:val="3"/>
            <w:tcBorders>
              <w:top w:val="single" w:sz="7" w:space="0" w:color="000000"/>
              <w:left w:val="nil"/>
              <w:bottom w:val="single" w:sz="4" w:space="0" w:color="000000"/>
              <w:right w:val="nil"/>
            </w:tcBorders>
          </w:tcPr>
          <w:p w:rsidR="00502504" w:rsidRDefault="00000000" w:rsidP="009711AA">
            <w:pPr>
              <w:tabs>
                <w:tab w:val="center" w:pos="2764"/>
                <w:tab w:val="right" w:pos="4268"/>
              </w:tabs>
              <w:spacing w:after="0" w:line="259" w:lineRule="auto"/>
              <w:ind w:left="0"/>
              <w:jc w:val="left"/>
            </w:pPr>
            <w:r>
              <w:rPr>
                <w:sz w:val="18"/>
              </w:rPr>
              <w:t>Layer</w:t>
            </w:r>
            <w:r>
              <w:rPr>
                <w:sz w:val="18"/>
              </w:rPr>
              <w:tab/>
              <w:t>Dependent variable</w:t>
            </w:r>
            <w:r>
              <w:rPr>
                <w:sz w:val="18"/>
              </w:rPr>
              <w:tab/>
            </w:r>
            <w:r>
              <w:rPr>
                <w:i/>
                <w:sz w:val="18"/>
              </w:rPr>
              <w:t>N</w:t>
            </w:r>
          </w:p>
        </w:tc>
        <w:tc>
          <w:tcPr>
            <w:tcW w:w="966" w:type="dxa"/>
            <w:tcBorders>
              <w:top w:val="single" w:sz="7" w:space="0" w:color="000000"/>
              <w:left w:val="nil"/>
              <w:bottom w:val="single" w:sz="4" w:space="0" w:color="000000"/>
              <w:right w:val="nil"/>
            </w:tcBorders>
          </w:tcPr>
          <w:p w:rsidR="00502504" w:rsidRDefault="00000000" w:rsidP="009711AA">
            <w:pPr>
              <w:spacing w:after="0" w:line="259" w:lineRule="auto"/>
              <w:ind w:left="448"/>
              <w:jc w:val="left"/>
            </w:pPr>
            <w:r>
              <w:rPr>
                <w:sz w:val="18"/>
              </w:rPr>
              <w:t>Span</w:t>
            </w:r>
          </w:p>
        </w:tc>
        <w:tc>
          <w:tcPr>
            <w:tcW w:w="607" w:type="dxa"/>
            <w:tcBorders>
              <w:top w:val="single" w:sz="7" w:space="0" w:color="000000"/>
              <w:left w:val="nil"/>
              <w:bottom w:val="single" w:sz="4" w:space="0" w:color="000000"/>
              <w:right w:val="nil"/>
            </w:tcBorders>
          </w:tcPr>
          <w:p w:rsidR="00502504" w:rsidRDefault="00000000" w:rsidP="009711AA">
            <w:pPr>
              <w:spacing w:after="0" w:line="259" w:lineRule="auto"/>
              <w:ind w:left="0"/>
              <w:jc w:val="left"/>
            </w:pPr>
            <w:r>
              <w:rPr>
                <w:sz w:val="18"/>
              </w:rPr>
              <w:t>CPT</w:t>
            </w:r>
            <w:r>
              <w:rPr>
                <w:rFonts w:ascii="Cambria" w:eastAsia="Cambria" w:hAnsi="Cambria" w:cs="Cambria"/>
                <w:sz w:val="18"/>
                <w:vertAlign w:val="superscript"/>
              </w:rPr>
              <w:t>+</w:t>
            </w:r>
          </w:p>
        </w:tc>
        <w:tc>
          <w:tcPr>
            <w:tcW w:w="675" w:type="dxa"/>
            <w:tcBorders>
              <w:top w:val="single" w:sz="7" w:space="0" w:color="000000"/>
              <w:left w:val="nil"/>
              <w:bottom w:val="single" w:sz="4" w:space="0" w:color="000000"/>
              <w:right w:val="nil"/>
            </w:tcBorders>
          </w:tcPr>
          <w:p w:rsidR="00502504" w:rsidRDefault="00000000" w:rsidP="009711AA">
            <w:pPr>
              <w:spacing w:after="0" w:line="259" w:lineRule="auto"/>
              <w:ind w:left="0"/>
            </w:pPr>
            <w:r>
              <w:rPr>
                <w:sz w:val="18"/>
              </w:rPr>
              <w:t>CPT</w:t>
            </w:r>
            <w:r>
              <w:rPr>
                <w:rFonts w:ascii="Cambria" w:eastAsia="Cambria" w:hAnsi="Cambria" w:cs="Cambria"/>
                <w:sz w:val="18"/>
                <w:vertAlign w:val="superscript"/>
              </w:rPr>
              <w:t xml:space="preserve">+ </w:t>
            </w:r>
            <w:r>
              <w:rPr>
                <w:i/>
                <w:sz w:val="18"/>
              </w:rPr>
              <w:t>p</w:t>
            </w:r>
          </w:p>
        </w:tc>
      </w:tr>
      <w:tr w:rsidR="00502504">
        <w:trPr>
          <w:trHeight w:val="537"/>
        </w:trPr>
        <w:tc>
          <w:tcPr>
            <w:tcW w:w="4284" w:type="dxa"/>
            <w:gridSpan w:val="3"/>
            <w:tcBorders>
              <w:top w:val="single" w:sz="4" w:space="0" w:color="000000"/>
              <w:left w:val="nil"/>
              <w:bottom w:val="nil"/>
              <w:right w:val="nil"/>
            </w:tcBorders>
          </w:tcPr>
          <w:p w:rsidR="00502504" w:rsidRDefault="00000000" w:rsidP="009711AA">
            <w:pPr>
              <w:spacing w:after="0" w:line="259" w:lineRule="auto"/>
              <w:ind w:left="80"/>
              <w:jc w:val="left"/>
            </w:pPr>
            <w:r>
              <w:rPr>
                <w:i/>
                <w:sz w:val="18"/>
              </w:rPr>
              <w:t>Panel A. Layered cross-section (full available samples):</w:t>
            </w:r>
          </w:p>
          <w:p w:rsidR="00502504" w:rsidRDefault="00000000" w:rsidP="009711AA">
            <w:pPr>
              <w:tabs>
                <w:tab w:val="center" w:pos="2581"/>
                <w:tab w:val="right" w:pos="4268"/>
              </w:tabs>
              <w:spacing w:after="0" w:line="259" w:lineRule="auto"/>
              <w:ind w:left="0"/>
              <w:jc w:val="left"/>
            </w:pPr>
            <w:r>
              <w:rPr>
                <w:sz w:val="18"/>
              </w:rPr>
              <w:t>Retail fuel pump</w:t>
            </w:r>
            <w:r>
              <w:rPr>
                <w:sz w:val="18"/>
              </w:rPr>
              <w:tab/>
              <w:t>∆</w:t>
            </w:r>
            <w:proofErr w:type="spellStart"/>
            <w:r>
              <w:rPr>
                <w:sz w:val="18"/>
              </w:rPr>
              <w:t>lnPetrol</w:t>
            </w:r>
            <w:r>
              <w:rPr>
                <w:i/>
                <w:sz w:val="18"/>
                <w:vertAlign w:val="subscript"/>
              </w:rPr>
              <w:t>t</w:t>
            </w:r>
            <w:r>
              <w:rPr>
                <w:sz w:val="18"/>
                <w:vertAlign w:val="superscript"/>
              </w:rPr>
              <w:t>Delhi</w:t>
            </w:r>
            <w:proofErr w:type="spellEnd"/>
            <w:r>
              <w:rPr>
                <w:sz w:val="18"/>
                <w:vertAlign w:val="superscript"/>
              </w:rPr>
              <w:tab/>
            </w:r>
            <w:r>
              <w:rPr>
                <w:sz w:val="18"/>
              </w:rPr>
              <w:t>245</w:t>
            </w:r>
          </w:p>
        </w:tc>
        <w:tc>
          <w:tcPr>
            <w:tcW w:w="966" w:type="dxa"/>
            <w:tcBorders>
              <w:top w:val="single" w:sz="4" w:space="0" w:color="000000"/>
              <w:left w:val="nil"/>
              <w:bottom w:val="nil"/>
              <w:right w:val="nil"/>
            </w:tcBorders>
            <w:vAlign w:val="bottom"/>
          </w:tcPr>
          <w:p w:rsidR="00502504" w:rsidRDefault="00000000" w:rsidP="009711AA">
            <w:pPr>
              <w:spacing w:after="0" w:line="259" w:lineRule="auto"/>
              <w:ind w:left="86"/>
              <w:jc w:val="center"/>
            </w:pPr>
            <w:r>
              <w:rPr>
                <w:sz w:val="18"/>
              </w:rPr>
              <w:t>20.4 yrs</w:t>
            </w:r>
          </w:p>
        </w:tc>
        <w:tc>
          <w:tcPr>
            <w:tcW w:w="607" w:type="dxa"/>
            <w:tcBorders>
              <w:top w:val="single" w:sz="4" w:space="0" w:color="000000"/>
              <w:left w:val="nil"/>
              <w:bottom w:val="nil"/>
              <w:right w:val="nil"/>
            </w:tcBorders>
            <w:vAlign w:val="bottom"/>
          </w:tcPr>
          <w:p w:rsidR="00502504" w:rsidRDefault="00000000" w:rsidP="009711AA">
            <w:pPr>
              <w:spacing w:after="0" w:line="259" w:lineRule="auto"/>
              <w:ind w:left="44"/>
              <w:jc w:val="left"/>
            </w:pPr>
            <w:r>
              <w:rPr>
                <w:sz w:val="18"/>
              </w:rPr>
              <w:t>0.346</w:t>
            </w:r>
          </w:p>
        </w:tc>
        <w:tc>
          <w:tcPr>
            <w:tcW w:w="675" w:type="dxa"/>
            <w:tcBorders>
              <w:top w:val="single" w:sz="4" w:space="0" w:color="000000"/>
              <w:left w:val="nil"/>
              <w:bottom w:val="nil"/>
              <w:right w:val="nil"/>
            </w:tcBorders>
            <w:vAlign w:val="bottom"/>
          </w:tcPr>
          <w:p w:rsidR="00502504" w:rsidRDefault="00000000" w:rsidP="009711AA">
            <w:pPr>
              <w:spacing w:after="0" w:line="259" w:lineRule="auto"/>
              <w:ind w:left="0" w:right="64"/>
              <w:jc w:val="right"/>
            </w:pPr>
            <w:r>
              <w:rPr>
                <w:sz w:val="18"/>
              </w:rPr>
              <w:t>0.000</w:t>
            </w:r>
          </w:p>
        </w:tc>
      </w:tr>
      <w:tr w:rsidR="00502504">
        <w:trPr>
          <w:trHeight w:val="210"/>
        </w:trPr>
        <w:tc>
          <w:tcPr>
            <w:tcW w:w="2067" w:type="dxa"/>
            <w:tcBorders>
              <w:top w:val="nil"/>
              <w:left w:val="nil"/>
              <w:bottom w:val="nil"/>
              <w:right w:val="nil"/>
            </w:tcBorders>
          </w:tcPr>
          <w:p w:rsidR="00502504" w:rsidRDefault="00000000" w:rsidP="009711AA">
            <w:pPr>
              <w:spacing w:after="0" w:line="259" w:lineRule="auto"/>
              <w:ind w:left="80"/>
              <w:jc w:val="left"/>
            </w:pPr>
            <w:r>
              <w:rPr>
                <w:sz w:val="18"/>
              </w:rPr>
              <w:t>Wholesale fuel</w:t>
            </w:r>
          </w:p>
        </w:tc>
        <w:tc>
          <w:tcPr>
            <w:tcW w:w="1789" w:type="dxa"/>
            <w:tcBorders>
              <w:top w:val="nil"/>
              <w:left w:val="nil"/>
              <w:bottom w:val="nil"/>
              <w:right w:val="nil"/>
            </w:tcBorders>
          </w:tcPr>
          <w:p w:rsidR="00502504" w:rsidRDefault="00000000" w:rsidP="009711AA">
            <w:pPr>
              <w:spacing w:after="0" w:line="259" w:lineRule="auto"/>
              <w:ind w:left="0"/>
              <w:jc w:val="left"/>
            </w:pPr>
            <w:r>
              <w:rPr>
                <w:sz w:val="18"/>
              </w:rPr>
              <w:t>∆</w:t>
            </w:r>
            <w:proofErr w:type="spellStart"/>
            <w:r>
              <w:rPr>
                <w:sz w:val="18"/>
              </w:rPr>
              <w:t>lnWPI</w:t>
            </w:r>
            <w:proofErr w:type="spellEnd"/>
            <w:r>
              <w:rPr>
                <w:sz w:val="18"/>
              </w:rPr>
              <w:t xml:space="preserve"> </w:t>
            </w:r>
            <w:proofErr w:type="spellStart"/>
            <w:r>
              <w:rPr>
                <w:sz w:val="18"/>
              </w:rPr>
              <w:t>Fuel&amp;Power</w:t>
            </w:r>
            <w:r>
              <w:rPr>
                <w:i/>
                <w:sz w:val="18"/>
                <w:vertAlign w:val="subscript"/>
              </w:rPr>
              <w:t>t</w:t>
            </w:r>
            <w:proofErr w:type="spellEnd"/>
          </w:p>
        </w:tc>
        <w:tc>
          <w:tcPr>
            <w:tcW w:w="428" w:type="dxa"/>
            <w:tcBorders>
              <w:top w:val="nil"/>
              <w:left w:val="nil"/>
              <w:bottom w:val="nil"/>
              <w:right w:val="nil"/>
            </w:tcBorders>
          </w:tcPr>
          <w:p w:rsidR="00502504" w:rsidRDefault="00000000" w:rsidP="009711AA">
            <w:pPr>
              <w:spacing w:after="0" w:line="259" w:lineRule="auto"/>
              <w:ind w:left="0"/>
              <w:jc w:val="left"/>
            </w:pPr>
            <w:r>
              <w:rPr>
                <w:sz w:val="18"/>
              </w:rPr>
              <w:t>371</w:t>
            </w:r>
          </w:p>
        </w:tc>
        <w:tc>
          <w:tcPr>
            <w:tcW w:w="966" w:type="dxa"/>
            <w:tcBorders>
              <w:top w:val="nil"/>
              <w:left w:val="nil"/>
              <w:bottom w:val="nil"/>
              <w:right w:val="nil"/>
            </w:tcBorders>
          </w:tcPr>
          <w:p w:rsidR="00502504" w:rsidRDefault="00000000" w:rsidP="009711AA">
            <w:pPr>
              <w:spacing w:after="0" w:line="259" w:lineRule="auto"/>
              <w:ind w:left="86"/>
              <w:jc w:val="center"/>
            </w:pPr>
            <w:r>
              <w:rPr>
                <w:sz w:val="18"/>
              </w:rPr>
              <w:t>30.9 yrs</w:t>
            </w:r>
          </w:p>
        </w:tc>
        <w:tc>
          <w:tcPr>
            <w:tcW w:w="607" w:type="dxa"/>
            <w:tcBorders>
              <w:top w:val="nil"/>
              <w:left w:val="nil"/>
              <w:bottom w:val="nil"/>
              <w:right w:val="nil"/>
            </w:tcBorders>
          </w:tcPr>
          <w:p w:rsidR="00502504" w:rsidRDefault="00000000" w:rsidP="009711AA">
            <w:pPr>
              <w:spacing w:after="0" w:line="259" w:lineRule="auto"/>
              <w:ind w:left="44"/>
              <w:jc w:val="left"/>
            </w:pPr>
            <w:r>
              <w:rPr>
                <w:sz w:val="18"/>
              </w:rPr>
              <w:t>0.287</w:t>
            </w:r>
          </w:p>
        </w:tc>
        <w:tc>
          <w:tcPr>
            <w:tcW w:w="675" w:type="dxa"/>
            <w:tcBorders>
              <w:top w:val="nil"/>
              <w:left w:val="nil"/>
              <w:bottom w:val="nil"/>
              <w:right w:val="nil"/>
            </w:tcBorders>
          </w:tcPr>
          <w:p w:rsidR="00502504" w:rsidRDefault="00000000" w:rsidP="009711AA">
            <w:pPr>
              <w:spacing w:after="0" w:line="259" w:lineRule="auto"/>
              <w:ind w:left="0" w:right="64"/>
              <w:jc w:val="right"/>
            </w:pPr>
            <w:r>
              <w:rPr>
                <w:sz w:val="18"/>
              </w:rPr>
              <w:t>0.000</w:t>
            </w:r>
          </w:p>
        </w:tc>
      </w:tr>
      <w:tr w:rsidR="00502504">
        <w:trPr>
          <w:trHeight w:val="229"/>
        </w:trPr>
        <w:tc>
          <w:tcPr>
            <w:tcW w:w="2067" w:type="dxa"/>
            <w:tcBorders>
              <w:top w:val="nil"/>
              <w:left w:val="nil"/>
              <w:bottom w:val="nil"/>
              <w:right w:val="nil"/>
            </w:tcBorders>
          </w:tcPr>
          <w:p w:rsidR="00502504" w:rsidRDefault="00000000" w:rsidP="009711AA">
            <w:pPr>
              <w:spacing w:after="0" w:line="259" w:lineRule="auto"/>
              <w:ind w:left="80"/>
              <w:jc w:val="left"/>
            </w:pPr>
            <w:r>
              <w:rPr>
                <w:sz w:val="18"/>
              </w:rPr>
              <w:t>Consumer fuel (bridge)</w:t>
            </w:r>
          </w:p>
        </w:tc>
        <w:tc>
          <w:tcPr>
            <w:tcW w:w="1789" w:type="dxa"/>
            <w:tcBorders>
              <w:top w:val="nil"/>
              <w:left w:val="nil"/>
              <w:bottom w:val="nil"/>
              <w:right w:val="nil"/>
            </w:tcBorders>
          </w:tcPr>
          <w:p w:rsidR="00502504" w:rsidRDefault="00000000" w:rsidP="009711AA">
            <w:pPr>
              <w:spacing w:after="0" w:line="259" w:lineRule="auto"/>
              <w:ind w:left="0"/>
              <w:jc w:val="left"/>
            </w:pPr>
            <w:r>
              <w:rPr>
                <w:sz w:val="18"/>
              </w:rPr>
              <w:t>∆</w:t>
            </w:r>
            <w:proofErr w:type="spellStart"/>
            <w:r>
              <w:rPr>
                <w:sz w:val="18"/>
              </w:rPr>
              <w:t>lnCPI</w:t>
            </w:r>
            <w:proofErr w:type="spellEnd"/>
            <w:r>
              <w:rPr>
                <w:sz w:val="18"/>
              </w:rPr>
              <w:t xml:space="preserve"> </w:t>
            </w:r>
            <w:proofErr w:type="spellStart"/>
            <w:r>
              <w:rPr>
                <w:sz w:val="18"/>
              </w:rPr>
              <w:t>Fuel&amp;Light</w:t>
            </w:r>
            <w:r>
              <w:rPr>
                <w:i/>
                <w:sz w:val="18"/>
                <w:vertAlign w:val="subscript"/>
              </w:rPr>
              <w:t>t</w:t>
            </w:r>
            <w:proofErr w:type="spellEnd"/>
          </w:p>
        </w:tc>
        <w:tc>
          <w:tcPr>
            <w:tcW w:w="428" w:type="dxa"/>
            <w:tcBorders>
              <w:top w:val="nil"/>
              <w:left w:val="nil"/>
              <w:bottom w:val="nil"/>
              <w:right w:val="nil"/>
            </w:tcBorders>
          </w:tcPr>
          <w:p w:rsidR="00502504" w:rsidRDefault="00000000" w:rsidP="009711AA">
            <w:pPr>
              <w:spacing w:after="0" w:line="259" w:lineRule="auto"/>
              <w:ind w:left="0"/>
              <w:jc w:val="left"/>
            </w:pPr>
            <w:r>
              <w:rPr>
                <w:sz w:val="18"/>
              </w:rPr>
              <w:t>164</w:t>
            </w:r>
          </w:p>
        </w:tc>
        <w:tc>
          <w:tcPr>
            <w:tcW w:w="966" w:type="dxa"/>
            <w:tcBorders>
              <w:top w:val="nil"/>
              <w:left w:val="nil"/>
              <w:bottom w:val="nil"/>
              <w:right w:val="nil"/>
            </w:tcBorders>
          </w:tcPr>
          <w:p w:rsidR="00502504" w:rsidRDefault="00000000" w:rsidP="009711AA">
            <w:pPr>
              <w:spacing w:after="0" w:line="259" w:lineRule="auto"/>
              <w:ind w:left="86"/>
              <w:jc w:val="center"/>
            </w:pPr>
            <w:r>
              <w:rPr>
                <w:sz w:val="18"/>
              </w:rPr>
              <w:t>13.7 yrs</w:t>
            </w:r>
          </w:p>
        </w:tc>
        <w:tc>
          <w:tcPr>
            <w:tcW w:w="607" w:type="dxa"/>
            <w:tcBorders>
              <w:top w:val="nil"/>
              <w:left w:val="nil"/>
              <w:bottom w:val="nil"/>
              <w:right w:val="nil"/>
            </w:tcBorders>
          </w:tcPr>
          <w:p w:rsidR="00502504" w:rsidRDefault="00000000" w:rsidP="009711AA">
            <w:pPr>
              <w:spacing w:after="0" w:line="259" w:lineRule="auto"/>
              <w:ind w:left="44"/>
              <w:jc w:val="left"/>
            </w:pPr>
            <w:r>
              <w:rPr>
                <w:sz w:val="18"/>
              </w:rPr>
              <w:t>0.178</w:t>
            </w:r>
          </w:p>
        </w:tc>
        <w:tc>
          <w:tcPr>
            <w:tcW w:w="675" w:type="dxa"/>
            <w:tcBorders>
              <w:top w:val="nil"/>
              <w:left w:val="nil"/>
              <w:bottom w:val="nil"/>
              <w:right w:val="nil"/>
            </w:tcBorders>
          </w:tcPr>
          <w:p w:rsidR="00502504" w:rsidRDefault="00000000" w:rsidP="009711AA">
            <w:pPr>
              <w:spacing w:after="0" w:line="259" w:lineRule="auto"/>
              <w:ind w:left="0" w:right="64"/>
              <w:jc w:val="right"/>
            </w:pPr>
            <w:r>
              <w:rPr>
                <w:sz w:val="18"/>
              </w:rPr>
              <w:t>0.002</w:t>
            </w:r>
          </w:p>
        </w:tc>
      </w:tr>
      <w:tr w:rsidR="00502504">
        <w:trPr>
          <w:trHeight w:val="210"/>
        </w:trPr>
        <w:tc>
          <w:tcPr>
            <w:tcW w:w="2067" w:type="dxa"/>
            <w:tcBorders>
              <w:top w:val="nil"/>
              <w:left w:val="nil"/>
              <w:bottom w:val="nil"/>
              <w:right w:val="nil"/>
            </w:tcBorders>
          </w:tcPr>
          <w:p w:rsidR="00502504" w:rsidRDefault="00000000" w:rsidP="009711AA">
            <w:pPr>
              <w:spacing w:after="0" w:line="259" w:lineRule="auto"/>
              <w:ind w:left="80"/>
              <w:jc w:val="left"/>
            </w:pPr>
            <w:r>
              <w:rPr>
                <w:sz w:val="18"/>
              </w:rPr>
              <w:t>Wholesale headline</w:t>
            </w:r>
          </w:p>
        </w:tc>
        <w:tc>
          <w:tcPr>
            <w:tcW w:w="1789" w:type="dxa"/>
            <w:tcBorders>
              <w:top w:val="nil"/>
              <w:left w:val="nil"/>
              <w:bottom w:val="nil"/>
              <w:right w:val="nil"/>
            </w:tcBorders>
          </w:tcPr>
          <w:p w:rsidR="00502504" w:rsidRDefault="00000000" w:rsidP="009711AA">
            <w:pPr>
              <w:spacing w:after="0" w:line="259" w:lineRule="auto"/>
              <w:ind w:left="0"/>
              <w:jc w:val="left"/>
            </w:pPr>
            <w:r>
              <w:rPr>
                <w:sz w:val="18"/>
              </w:rPr>
              <w:t>∆</w:t>
            </w:r>
            <w:proofErr w:type="spellStart"/>
            <w:r>
              <w:rPr>
                <w:sz w:val="18"/>
              </w:rPr>
              <w:t>lnWPI</w:t>
            </w:r>
            <w:r>
              <w:rPr>
                <w:i/>
                <w:sz w:val="18"/>
                <w:vertAlign w:val="subscript"/>
              </w:rPr>
              <w:t>t</w:t>
            </w:r>
            <w:proofErr w:type="spellEnd"/>
          </w:p>
        </w:tc>
        <w:tc>
          <w:tcPr>
            <w:tcW w:w="428" w:type="dxa"/>
            <w:tcBorders>
              <w:top w:val="nil"/>
              <w:left w:val="nil"/>
              <w:bottom w:val="nil"/>
              <w:right w:val="nil"/>
            </w:tcBorders>
          </w:tcPr>
          <w:p w:rsidR="00502504" w:rsidRDefault="00000000" w:rsidP="009711AA">
            <w:pPr>
              <w:spacing w:after="0" w:line="259" w:lineRule="auto"/>
              <w:ind w:left="0"/>
              <w:jc w:val="left"/>
            </w:pPr>
            <w:r>
              <w:rPr>
                <w:sz w:val="18"/>
              </w:rPr>
              <w:t>515</w:t>
            </w:r>
          </w:p>
        </w:tc>
        <w:tc>
          <w:tcPr>
            <w:tcW w:w="966" w:type="dxa"/>
            <w:tcBorders>
              <w:top w:val="nil"/>
              <w:left w:val="nil"/>
              <w:bottom w:val="nil"/>
              <w:right w:val="nil"/>
            </w:tcBorders>
          </w:tcPr>
          <w:p w:rsidR="00502504" w:rsidRDefault="00000000" w:rsidP="009711AA">
            <w:pPr>
              <w:spacing w:after="0" w:line="259" w:lineRule="auto"/>
              <w:ind w:left="86"/>
              <w:jc w:val="center"/>
            </w:pPr>
            <w:r>
              <w:rPr>
                <w:sz w:val="18"/>
              </w:rPr>
              <w:t>42.9 yrs</w:t>
            </w:r>
          </w:p>
        </w:tc>
        <w:tc>
          <w:tcPr>
            <w:tcW w:w="607" w:type="dxa"/>
            <w:tcBorders>
              <w:top w:val="nil"/>
              <w:left w:val="nil"/>
              <w:bottom w:val="nil"/>
              <w:right w:val="nil"/>
            </w:tcBorders>
          </w:tcPr>
          <w:p w:rsidR="00502504" w:rsidRDefault="00000000" w:rsidP="009711AA">
            <w:pPr>
              <w:spacing w:after="0" w:line="259" w:lineRule="auto"/>
              <w:ind w:left="44"/>
              <w:jc w:val="left"/>
            </w:pPr>
            <w:r>
              <w:rPr>
                <w:sz w:val="18"/>
              </w:rPr>
              <w:t>0.030</w:t>
            </w:r>
          </w:p>
        </w:tc>
        <w:tc>
          <w:tcPr>
            <w:tcW w:w="675" w:type="dxa"/>
            <w:tcBorders>
              <w:top w:val="nil"/>
              <w:left w:val="nil"/>
              <w:bottom w:val="nil"/>
              <w:right w:val="nil"/>
            </w:tcBorders>
          </w:tcPr>
          <w:p w:rsidR="00502504" w:rsidRDefault="00000000" w:rsidP="009711AA">
            <w:pPr>
              <w:spacing w:after="0" w:line="259" w:lineRule="auto"/>
              <w:ind w:left="0" w:right="64"/>
              <w:jc w:val="right"/>
            </w:pPr>
            <w:r>
              <w:rPr>
                <w:sz w:val="18"/>
              </w:rPr>
              <w:t>0.024</w:t>
            </w:r>
          </w:p>
        </w:tc>
      </w:tr>
      <w:tr w:rsidR="00502504">
        <w:trPr>
          <w:trHeight w:val="254"/>
        </w:trPr>
        <w:tc>
          <w:tcPr>
            <w:tcW w:w="2067" w:type="dxa"/>
            <w:tcBorders>
              <w:top w:val="nil"/>
              <w:left w:val="nil"/>
              <w:bottom w:val="single" w:sz="4" w:space="0" w:color="000000"/>
              <w:right w:val="nil"/>
            </w:tcBorders>
          </w:tcPr>
          <w:p w:rsidR="00502504" w:rsidRDefault="00000000" w:rsidP="009711AA">
            <w:pPr>
              <w:spacing w:after="0" w:line="259" w:lineRule="auto"/>
              <w:ind w:left="80"/>
              <w:jc w:val="left"/>
            </w:pPr>
            <w:r>
              <w:rPr>
                <w:sz w:val="18"/>
              </w:rPr>
              <w:t>Consumer headline</w:t>
            </w:r>
          </w:p>
        </w:tc>
        <w:tc>
          <w:tcPr>
            <w:tcW w:w="1789" w:type="dxa"/>
            <w:tcBorders>
              <w:top w:val="nil"/>
              <w:left w:val="nil"/>
              <w:bottom w:val="single" w:sz="4" w:space="0" w:color="000000"/>
              <w:right w:val="nil"/>
            </w:tcBorders>
          </w:tcPr>
          <w:p w:rsidR="00502504" w:rsidRDefault="00000000" w:rsidP="009711AA">
            <w:pPr>
              <w:spacing w:after="0" w:line="259" w:lineRule="auto"/>
              <w:ind w:left="0"/>
              <w:jc w:val="left"/>
            </w:pPr>
            <w:r>
              <w:rPr>
                <w:sz w:val="18"/>
              </w:rPr>
              <w:t>∆</w:t>
            </w:r>
            <w:proofErr w:type="spellStart"/>
            <w:r>
              <w:rPr>
                <w:sz w:val="18"/>
              </w:rPr>
              <w:t>lnCPI</w:t>
            </w:r>
            <w:r>
              <w:rPr>
                <w:i/>
                <w:sz w:val="18"/>
                <w:vertAlign w:val="subscript"/>
              </w:rPr>
              <w:t>t</w:t>
            </w:r>
            <w:proofErr w:type="spellEnd"/>
          </w:p>
        </w:tc>
        <w:tc>
          <w:tcPr>
            <w:tcW w:w="428" w:type="dxa"/>
            <w:tcBorders>
              <w:top w:val="nil"/>
              <w:left w:val="nil"/>
              <w:bottom w:val="single" w:sz="4" w:space="0" w:color="000000"/>
              <w:right w:val="nil"/>
            </w:tcBorders>
          </w:tcPr>
          <w:p w:rsidR="00502504" w:rsidRDefault="00000000" w:rsidP="009711AA">
            <w:pPr>
              <w:spacing w:after="0" w:line="259" w:lineRule="auto"/>
              <w:ind w:left="0"/>
              <w:jc w:val="left"/>
            </w:pPr>
            <w:r>
              <w:rPr>
                <w:sz w:val="18"/>
              </w:rPr>
              <w:t>245</w:t>
            </w:r>
          </w:p>
        </w:tc>
        <w:tc>
          <w:tcPr>
            <w:tcW w:w="966" w:type="dxa"/>
            <w:tcBorders>
              <w:top w:val="nil"/>
              <w:left w:val="nil"/>
              <w:bottom w:val="single" w:sz="4" w:space="0" w:color="000000"/>
              <w:right w:val="nil"/>
            </w:tcBorders>
          </w:tcPr>
          <w:p w:rsidR="00502504" w:rsidRDefault="00000000" w:rsidP="009711AA">
            <w:pPr>
              <w:spacing w:after="0" w:line="259" w:lineRule="auto"/>
              <w:ind w:left="86"/>
              <w:jc w:val="center"/>
            </w:pPr>
            <w:r>
              <w:rPr>
                <w:sz w:val="18"/>
              </w:rPr>
              <w:t>20.4 yrs</w:t>
            </w:r>
          </w:p>
        </w:tc>
        <w:tc>
          <w:tcPr>
            <w:tcW w:w="607" w:type="dxa"/>
            <w:tcBorders>
              <w:top w:val="nil"/>
              <w:left w:val="nil"/>
              <w:bottom w:val="single" w:sz="4" w:space="0" w:color="000000"/>
              <w:right w:val="nil"/>
            </w:tcBorders>
          </w:tcPr>
          <w:p w:rsidR="00502504" w:rsidRDefault="00000000" w:rsidP="009711AA">
            <w:pPr>
              <w:spacing w:after="0" w:line="259" w:lineRule="auto"/>
              <w:ind w:left="44"/>
              <w:jc w:val="left"/>
            </w:pPr>
            <w:r>
              <w:rPr>
                <w:sz w:val="18"/>
              </w:rPr>
              <w:t>0.021</w:t>
            </w:r>
          </w:p>
        </w:tc>
        <w:tc>
          <w:tcPr>
            <w:tcW w:w="675" w:type="dxa"/>
            <w:tcBorders>
              <w:top w:val="nil"/>
              <w:left w:val="nil"/>
              <w:bottom w:val="single" w:sz="4" w:space="0" w:color="000000"/>
              <w:right w:val="nil"/>
            </w:tcBorders>
          </w:tcPr>
          <w:p w:rsidR="00502504" w:rsidRDefault="00000000" w:rsidP="009711AA">
            <w:pPr>
              <w:spacing w:after="0" w:line="259" w:lineRule="auto"/>
              <w:ind w:left="0" w:right="64"/>
              <w:jc w:val="right"/>
            </w:pPr>
            <w:r>
              <w:rPr>
                <w:sz w:val="18"/>
              </w:rPr>
              <w:t>0.122</w:t>
            </w:r>
          </w:p>
        </w:tc>
      </w:tr>
      <w:tr w:rsidR="00502504">
        <w:trPr>
          <w:trHeight w:val="518"/>
        </w:trPr>
        <w:tc>
          <w:tcPr>
            <w:tcW w:w="2067" w:type="dxa"/>
            <w:tcBorders>
              <w:top w:val="single" w:sz="4" w:space="0" w:color="000000"/>
              <w:left w:val="nil"/>
              <w:bottom w:val="nil"/>
              <w:right w:val="nil"/>
            </w:tcBorders>
          </w:tcPr>
          <w:p w:rsidR="00502504" w:rsidRDefault="00000000" w:rsidP="009711AA">
            <w:pPr>
              <w:spacing w:after="0" w:line="259" w:lineRule="auto"/>
              <w:ind w:left="80"/>
              <w:jc w:val="left"/>
            </w:pPr>
            <w:r>
              <w:rPr>
                <w:i/>
                <w:sz w:val="18"/>
              </w:rPr>
              <w:t xml:space="preserve">Panel B. Pre/post-2010 </w:t>
            </w:r>
            <w:proofErr w:type="spellStart"/>
            <w:r>
              <w:rPr>
                <w:i/>
                <w:sz w:val="18"/>
              </w:rPr>
              <w:t>spli</w:t>
            </w:r>
            <w:proofErr w:type="spellEnd"/>
          </w:p>
          <w:p w:rsidR="00502504" w:rsidRDefault="00000000" w:rsidP="009711AA">
            <w:pPr>
              <w:spacing w:after="0" w:line="259" w:lineRule="auto"/>
              <w:ind w:left="80"/>
              <w:jc w:val="left"/>
            </w:pPr>
            <w:r>
              <w:rPr>
                <w:sz w:val="18"/>
              </w:rPr>
              <w:t>Headline WPI, pre-2010</w:t>
            </w:r>
          </w:p>
        </w:tc>
        <w:tc>
          <w:tcPr>
            <w:tcW w:w="1789" w:type="dxa"/>
            <w:tcBorders>
              <w:top w:val="single" w:sz="4" w:space="0" w:color="000000"/>
              <w:left w:val="nil"/>
              <w:bottom w:val="nil"/>
              <w:right w:val="nil"/>
            </w:tcBorders>
          </w:tcPr>
          <w:p w:rsidR="00502504" w:rsidRDefault="00000000" w:rsidP="009711AA">
            <w:pPr>
              <w:spacing w:after="0" w:line="259" w:lineRule="auto"/>
              <w:ind w:left="-16"/>
              <w:jc w:val="left"/>
            </w:pPr>
            <w:r>
              <w:rPr>
                <w:i/>
                <w:sz w:val="18"/>
              </w:rPr>
              <w:t>t (wholesale models):</w:t>
            </w:r>
          </w:p>
          <w:p w:rsidR="00502504" w:rsidRDefault="00000000" w:rsidP="009711AA">
            <w:pPr>
              <w:spacing w:after="0" w:line="259" w:lineRule="auto"/>
              <w:ind w:left="0"/>
              <w:jc w:val="left"/>
            </w:pPr>
            <w:r>
              <w:rPr>
                <w:sz w:val="18"/>
              </w:rPr>
              <w:t>∆</w:t>
            </w:r>
            <w:proofErr w:type="spellStart"/>
            <w:r>
              <w:rPr>
                <w:sz w:val="18"/>
              </w:rPr>
              <w:t>lnWPI</w:t>
            </w:r>
            <w:r>
              <w:rPr>
                <w:i/>
                <w:sz w:val="18"/>
                <w:vertAlign w:val="subscript"/>
              </w:rPr>
              <w:t>t</w:t>
            </w:r>
            <w:proofErr w:type="spellEnd"/>
          </w:p>
        </w:tc>
        <w:tc>
          <w:tcPr>
            <w:tcW w:w="428" w:type="dxa"/>
            <w:tcBorders>
              <w:top w:val="single" w:sz="4" w:space="0" w:color="000000"/>
              <w:left w:val="nil"/>
              <w:bottom w:val="nil"/>
              <w:right w:val="nil"/>
            </w:tcBorders>
            <w:vAlign w:val="bottom"/>
          </w:tcPr>
          <w:p w:rsidR="00502504" w:rsidRDefault="00000000" w:rsidP="009711AA">
            <w:pPr>
              <w:spacing w:after="0" w:line="259" w:lineRule="auto"/>
              <w:ind w:left="0"/>
              <w:jc w:val="left"/>
            </w:pPr>
            <w:r>
              <w:rPr>
                <w:sz w:val="18"/>
              </w:rPr>
              <w:t>323</w:t>
            </w:r>
          </w:p>
        </w:tc>
        <w:tc>
          <w:tcPr>
            <w:tcW w:w="966" w:type="dxa"/>
            <w:tcBorders>
              <w:top w:val="single" w:sz="4" w:space="0" w:color="000000"/>
              <w:left w:val="nil"/>
              <w:bottom w:val="nil"/>
              <w:right w:val="nil"/>
            </w:tcBorders>
            <w:vAlign w:val="bottom"/>
          </w:tcPr>
          <w:p w:rsidR="00502504" w:rsidRDefault="00000000" w:rsidP="009711AA">
            <w:pPr>
              <w:spacing w:after="0" w:line="259" w:lineRule="auto"/>
              <w:ind w:left="0"/>
              <w:jc w:val="left"/>
            </w:pPr>
            <w:r>
              <w:rPr>
                <w:sz w:val="18"/>
              </w:rPr>
              <w:t>1983–2010</w:t>
            </w:r>
          </w:p>
        </w:tc>
        <w:tc>
          <w:tcPr>
            <w:tcW w:w="607" w:type="dxa"/>
            <w:tcBorders>
              <w:top w:val="single" w:sz="4" w:space="0" w:color="000000"/>
              <w:left w:val="nil"/>
              <w:bottom w:val="nil"/>
              <w:right w:val="nil"/>
            </w:tcBorders>
            <w:vAlign w:val="bottom"/>
          </w:tcPr>
          <w:p w:rsidR="00502504" w:rsidRDefault="00000000" w:rsidP="009711AA">
            <w:pPr>
              <w:spacing w:after="0" w:line="259" w:lineRule="auto"/>
              <w:ind w:left="44"/>
              <w:jc w:val="left"/>
            </w:pPr>
            <w:r>
              <w:rPr>
                <w:sz w:val="18"/>
              </w:rPr>
              <w:t>0.012</w:t>
            </w:r>
          </w:p>
        </w:tc>
        <w:tc>
          <w:tcPr>
            <w:tcW w:w="675" w:type="dxa"/>
            <w:tcBorders>
              <w:top w:val="single" w:sz="4" w:space="0" w:color="000000"/>
              <w:left w:val="nil"/>
              <w:bottom w:val="nil"/>
              <w:right w:val="nil"/>
            </w:tcBorders>
            <w:vAlign w:val="bottom"/>
          </w:tcPr>
          <w:p w:rsidR="00502504" w:rsidRDefault="00000000" w:rsidP="009711AA">
            <w:pPr>
              <w:spacing w:after="0" w:line="259" w:lineRule="auto"/>
              <w:ind w:left="0" w:right="64"/>
              <w:jc w:val="right"/>
            </w:pPr>
            <w:r>
              <w:rPr>
                <w:sz w:val="18"/>
              </w:rPr>
              <w:t>0.381</w:t>
            </w:r>
          </w:p>
        </w:tc>
      </w:tr>
      <w:tr w:rsidR="00502504">
        <w:trPr>
          <w:trHeight w:val="219"/>
        </w:trPr>
        <w:tc>
          <w:tcPr>
            <w:tcW w:w="2067" w:type="dxa"/>
            <w:tcBorders>
              <w:top w:val="nil"/>
              <w:left w:val="nil"/>
              <w:bottom w:val="nil"/>
              <w:right w:val="nil"/>
            </w:tcBorders>
          </w:tcPr>
          <w:p w:rsidR="00502504" w:rsidRDefault="00000000" w:rsidP="009711AA">
            <w:pPr>
              <w:spacing w:after="0" w:line="259" w:lineRule="auto"/>
              <w:ind w:left="80"/>
              <w:jc w:val="left"/>
            </w:pPr>
            <w:r>
              <w:rPr>
                <w:sz w:val="18"/>
              </w:rPr>
              <w:t>Headline WPI, post-2010</w:t>
            </w:r>
          </w:p>
        </w:tc>
        <w:tc>
          <w:tcPr>
            <w:tcW w:w="1789" w:type="dxa"/>
            <w:tcBorders>
              <w:top w:val="nil"/>
              <w:left w:val="nil"/>
              <w:bottom w:val="nil"/>
              <w:right w:val="nil"/>
            </w:tcBorders>
          </w:tcPr>
          <w:p w:rsidR="00502504" w:rsidRDefault="00000000" w:rsidP="009711AA">
            <w:pPr>
              <w:spacing w:after="0" w:line="259" w:lineRule="auto"/>
              <w:ind w:left="0"/>
              <w:jc w:val="left"/>
            </w:pPr>
            <w:r>
              <w:rPr>
                <w:sz w:val="18"/>
              </w:rPr>
              <w:t>∆</w:t>
            </w:r>
            <w:proofErr w:type="spellStart"/>
            <w:r>
              <w:rPr>
                <w:sz w:val="18"/>
              </w:rPr>
              <w:t>lnWPI</w:t>
            </w:r>
            <w:r>
              <w:rPr>
                <w:i/>
                <w:sz w:val="18"/>
                <w:vertAlign w:val="subscript"/>
              </w:rPr>
              <w:t>t</w:t>
            </w:r>
            <w:proofErr w:type="spellEnd"/>
          </w:p>
        </w:tc>
        <w:tc>
          <w:tcPr>
            <w:tcW w:w="428" w:type="dxa"/>
            <w:tcBorders>
              <w:top w:val="nil"/>
              <w:left w:val="nil"/>
              <w:bottom w:val="nil"/>
              <w:right w:val="nil"/>
            </w:tcBorders>
          </w:tcPr>
          <w:p w:rsidR="00502504" w:rsidRDefault="00000000" w:rsidP="009711AA">
            <w:pPr>
              <w:spacing w:after="0" w:line="259" w:lineRule="auto"/>
              <w:ind w:left="0"/>
              <w:jc w:val="left"/>
            </w:pPr>
            <w:r>
              <w:rPr>
                <w:sz w:val="18"/>
              </w:rPr>
              <w:t>192</w:t>
            </w:r>
          </w:p>
        </w:tc>
        <w:tc>
          <w:tcPr>
            <w:tcW w:w="966" w:type="dxa"/>
            <w:tcBorders>
              <w:top w:val="nil"/>
              <w:left w:val="nil"/>
              <w:bottom w:val="nil"/>
              <w:right w:val="nil"/>
            </w:tcBorders>
          </w:tcPr>
          <w:p w:rsidR="00502504" w:rsidRDefault="00000000" w:rsidP="009711AA">
            <w:pPr>
              <w:spacing w:after="0" w:line="259" w:lineRule="auto"/>
              <w:ind w:left="0"/>
              <w:jc w:val="left"/>
            </w:pPr>
            <w:r>
              <w:rPr>
                <w:sz w:val="18"/>
              </w:rPr>
              <w:t>2010–2026</w:t>
            </w:r>
          </w:p>
        </w:tc>
        <w:tc>
          <w:tcPr>
            <w:tcW w:w="607" w:type="dxa"/>
            <w:tcBorders>
              <w:top w:val="nil"/>
              <w:left w:val="nil"/>
              <w:bottom w:val="nil"/>
              <w:right w:val="nil"/>
            </w:tcBorders>
          </w:tcPr>
          <w:p w:rsidR="00502504" w:rsidRDefault="00000000" w:rsidP="009711AA">
            <w:pPr>
              <w:spacing w:after="0" w:line="259" w:lineRule="auto"/>
              <w:ind w:left="44"/>
              <w:jc w:val="left"/>
            </w:pPr>
            <w:r>
              <w:rPr>
                <w:sz w:val="18"/>
              </w:rPr>
              <w:t>0.074</w:t>
            </w:r>
          </w:p>
        </w:tc>
        <w:tc>
          <w:tcPr>
            <w:tcW w:w="675" w:type="dxa"/>
            <w:tcBorders>
              <w:top w:val="nil"/>
              <w:left w:val="nil"/>
              <w:bottom w:val="nil"/>
              <w:right w:val="nil"/>
            </w:tcBorders>
          </w:tcPr>
          <w:p w:rsidR="00502504" w:rsidRDefault="00000000" w:rsidP="009711AA">
            <w:pPr>
              <w:spacing w:after="0" w:line="259" w:lineRule="auto"/>
              <w:ind w:left="0" w:right="64"/>
              <w:jc w:val="right"/>
            </w:pPr>
            <w:r>
              <w:rPr>
                <w:sz w:val="18"/>
              </w:rPr>
              <w:t>0.004</w:t>
            </w:r>
          </w:p>
        </w:tc>
      </w:tr>
      <w:tr w:rsidR="00502504">
        <w:trPr>
          <w:trHeight w:val="219"/>
        </w:trPr>
        <w:tc>
          <w:tcPr>
            <w:tcW w:w="2067" w:type="dxa"/>
            <w:tcBorders>
              <w:top w:val="nil"/>
              <w:left w:val="nil"/>
              <w:bottom w:val="nil"/>
              <w:right w:val="nil"/>
            </w:tcBorders>
          </w:tcPr>
          <w:p w:rsidR="00502504" w:rsidRDefault="00000000" w:rsidP="009711AA">
            <w:pPr>
              <w:spacing w:after="0" w:line="259" w:lineRule="auto"/>
              <w:ind w:left="80"/>
              <w:jc w:val="left"/>
            </w:pPr>
            <w:r>
              <w:rPr>
                <w:sz w:val="18"/>
              </w:rPr>
              <w:t>Fuel &amp; Power, pre-2010</w:t>
            </w:r>
          </w:p>
        </w:tc>
        <w:tc>
          <w:tcPr>
            <w:tcW w:w="1789" w:type="dxa"/>
            <w:tcBorders>
              <w:top w:val="nil"/>
              <w:left w:val="nil"/>
              <w:bottom w:val="nil"/>
              <w:right w:val="nil"/>
            </w:tcBorders>
          </w:tcPr>
          <w:p w:rsidR="00502504" w:rsidRDefault="00000000" w:rsidP="009711AA">
            <w:pPr>
              <w:spacing w:after="0" w:line="259" w:lineRule="auto"/>
              <w:ind w:left="0"/>
              <w:jc w:val="left"/>
            </w:pPr>
            <w:r>
              <w:rPr>
                <w:sz w:val="18"/>
              </w:rPr>
              <w:t>∆</w:t>
            </w:r>
            <w:proofErr w:type="spellStart"/>
            <w:r>
              <w:rPr>
                <w:sz w:val="18"/>
              </w:rPr>
              <w:t>lnFuel&amp;Power</w:t>
            </w:r>
            <w:r>
              <w:rPr>
                <w:i/>
                <w:sz w:val="18"/>
                <w:vertAlign w:val="subscript"/>
              </w:rPr>
              <w:t>t</w:t>
            </w:r>
            <w:proofErr w:type="spellEnd"/>
          </w:p>
        </w:tc>
        <w:tc>
          <w:tcPr>
            <w:tcW w:w="428" w:type="dxa"/>
            <w:tcBorders>
              <w:top w:val="nil"/>
              <w:left w:val="nil"/>
              <w:bottom w:val="nil"/>
              <w:right w:val="nil"/>
            </w:tcBorders>
          </w:tcPr>
          <w:p w:rsidR="00502504" w:rsidRDefault="00000000" w:rsidP="009711AA">
            <w:pPr>
              <w:spacing w:after="0" w:line="259" w:lineRule="auto"/>
              <w:ind w:left="0"/>
              <w:jc w:val="left"/>
            </w:pPr>
            <w:r>
              <w:rPr>
                <w:sz w:val="18"/>
              </w:rPr>
              <w:t>179</w:t>
            </w:r>
          </w:p>
        </w:tc>
        <w:tc>
          <w:tcPr>
            <w:tcW w:w="966" w:type="dxa"/>
            <w:tcBorders>
              <w:top w:val="nil"/>
              <w:left w:val="nil"/>
              <w:bottom w:val="nil"/>
              <w:right w:val="nil"/>
            </w:tcBorders>
          </w:tcPr>
          <w:p w:rsidR="00502504" w:rsidRDefault="00000000" w:rsidP="009711AA">
            <w:pPr>
              <w:spacing w:after="0" w:line="259" w:lineRule="auto"/>
              <w:ind w:left="0"/>
              <w:jc w:val="left"/>
            </w:pPr>
            <w:r>
              <w:rPr>
                <w:sz w:val="18"/>
              </w:rPr>
              <w:t>1995–2010</w:t>
            </w:r>
          </w:p>
        </w:tc>
        <w:tc>
          <w:tcPr>
            <w:tcW w:w="607" w:type="dxa"/>
            <w:tcBorders>
              <w:top w:val="nil"/>
              <w:left w:val="nil"/>
              <w:bottom w:val="nil"/>
              <w:right w:val="nil"/>
            </w:tcBorders>
          </w:tcPr>
          <w:p w:rsidR="00502504" w:rsidRDefault="00000000" w:rsidP="009711AA">
            <w:pPr>
              <w:spacing w:after="0" w:line="259" w:lineRule="auto"/>
              <w:ind w:left="44"/>
              <w:jc w:val="left"/>
            </w:pPr>
            <w:r>
              <w:rPr>
                <w:sz w:val="18"/>
              </w:rPr>
              <w:t>0.092</w:t>
            </w:r>
          </w:p>
        </w:tc>
        <w:tc>
          <w:tcPr>
            <w:tcW w:w="675" w:type="dxa"/>
            <w:tcBorders>
              <w:top w:val="nil"/>
              <w:left w:val="nil"/>
              <w:bottom w:val="nil"/>
              <w:right w:val="nil"/>
            </w:tcBorders>
          </w:tcPr>
          <w:p w:rsidR="00502504" w:rsidRDefault="00000000" w:rsidP="009711AA">
            <w:pPr>
              <w:spacing w:after="0" w:line="259" w:lineRule="auto"/>
              <w:ind w:left="0" w:right="64"/>
              <w:jc w:val="right"/>
            </w:pPr>
            <w:r>
              <w:rPr>
                <w:sz w:val="18"/>
              </w:rPr>
              <w:t>0.168</w:t>
            </w:r>
          </w:p>
        </w:tc>
      </w:tr>
      <w:tr w:rsidR="00502504">
        <w:trPr>
          <w:trHeight w:val="257"/>
        </w:trPr>
        <w:tc>
          <w:tcPr>
            <w:tcW w:w="2067" w:type="dxa"/>
            <w:tcBorders>
              <w:top w:val="nil"/>
              <w:left w:val="nil"/>
              <w:bottom w:val="single" w:sz="7" w:space="0" w:color="000000"/>
              <w:right w:val="nil"/>
            </w:tcBorders>
          </w:tcPr>
          <w:p w:rsidR="00502504" w:rsidRDefault="00000000" w:rsidP="009711AA">
            <w:pPr>
              <w:spacing w:after="0" w:line="259" w:lineRule="auto"/>
              <w:ind w:left="80"/>
              <w:jc w:val="left"/>
            </w:pPr>
            <w:r>
              <w:rPr>
                <w:sz w:val="18"/>
              </w:rPr>
              <w:t>Fuel &amp; Power, post-2010</w:t>
            </w:r>
          </w:p>
        </w:tc>
        <w:tc>
          <w:tcPr>
            <w:tcW w:w="1789" w:type="dxa"/>
            <w:tcBorders>
              <w:top w:val="nil"/>
              <w:left w:val="nil"/>
              <w:bottom w:val="single" w:sz="7" w:space="0" w:color="000000"/>
              <w:right w:val="nil"/>
            </w:tcBorders>
          </w:tcPr>
          <w:p w:rsidR="00502504" w:rsidRDefault="00000000" w:rsidP="009711AA">
            <w:pPr>
              <w:spacing w:after="0" w:line="259" w:lineRule="auto"/>
              <w:ind w:left="0"/>
              <w:jc w:val="left"/>
            </w:pPr>
            <w:r>
              <w:rPr>
                <w:sz w:val="18"/>
              </w:rPr>
              <w:t>∆</w:t>
            </w:r>
            <w:proofErr w:type="spellStart"/>
            <w:r>
              <w:rPr>
                <w:sz w:val="18"/>
              </w:rPr>
              <w:t>lnFuel&amp;Power</w:t>
            </w:r>
            <w:r>
              <w:rPr>
                <w:i/>
                <w:sz w:val="18"/>
                <w:vertAlign w:val="subscript"/>
              </w:rPr>
              <w:t>t</w:t>
            </w:r>
            <w:proofErr w:type="spellEnd"/>
          </w:p>
        </w:tc>
        <w:tc>
          <w:tcPr>
            <w:tcW w:w="428" w:type="dxa"/>
            <w:tcBorders>
              <w:top w:val="nil"/>
              <w:left w:val="nil"/>
              <w:bottom w:val="single" w:sz="7" w:space="0" w:color="000000"/>
              <w:right w:val="nil"/>
            </w:tcBorders>
          </w:tcPr>
          <w:p w:rsidR="00502504" w:rsidRDefault="00000000" w:rsidP="009711AA">
            <w:pPr>
              <w:spacing w:after="0" w:line="259" w:lineRule="auto"/>
              <w:ind w:left="0"/>
              <w:jc w:val="left"/>
            </w:pPr>
            <w:r>
              <w:rPr>
                <w:sz w:val="18"/>
              </w:rPr>
              <w:t>192</w:t>
            </w:r>
          </w:p>
        </w:tc>
        <w:tc>
          <w:tcPr>
            <w:tcW w:w="966" w:type="dxa"/>
            <w:tcBorders>
              <w:top w:val="nil"/>
              <w:left w:val="nil"/>
              <w:bottom w:val="single" w:sz="7" w:space="0" w:color="000000"/>
              <w:right w:val="nil"/>
            </w:tcBorders>
          </w:tcPr>
          <w:p w:rsidR="00502504" w:rsidRDefault="00000000" w:rsidP="009711AA">
            <w:pPr>
              <w:spacing w:after="0" w:line="259" w:lineRule="auto"/>
              <w:ind w:left="0"/>
              <w:jc w:val="left"/>
            </w:pPr>
            <w:r>
              <w:rPr>
                <w:sz w:val="18"/>
              </w:rPr>
              <w:t>2010–2026</w:t>
            </w:r>
          </w:p>
        </w:tc>
        <w:tc>
          <w:tcPr>
            <w:tcW w:w="607" w:type="dxa"/>
            <w:tcBorders>
              <w:top w:val="nil"/>
              <w:left w:val="nil"/>
              <w:bottom w:val="single" w:sz="7" w:space="0" w:color="000000"/>
              <w:right w:val="nil"/>
            </w:tcBorders>
          </w:tcPr>
          <w:p w:rsidR="00502504" w:rsidRDefault="00000000" w:rsidP="009711AA">
            <w:pPr>
              <w:spacing w:after="0" w:line="259" w:lineRule="auto"/>
              <w:ind w:left="44"/>
              <w:jc w:val="left"/>
            </w:pPr>
            <w:r>
              <w:rPr>
                <w:sz w:val="18"/>
              </w:rPr>
              <w:t>0.524</w:t>
            </w:r>
          </w:p>
        </w:tc>
        <w:tc>
          <w:tcPr>
            <w:tcW w:w="675" w:type="dxa"/>
            <w:tcBorders>
              <w:top w:val="nil"/>
              <w:left w:val="nil"/>
              <w:bottom w:val="single" w:sz="7" w:space="0" w:color="000000"/>
              <w:right w:val="nil"/>
            </w:tcBorders>
          </w:tcPr>
          <w:p w:rsidR="00502504" w:rsidRDefault="00000000" w:rsidP="009711AA">
            <w:pPr>
              <w:spacing w:after="0" w:line="259" w:lineRule="auto"/>
              <w:ind w:left="0" w:right="64"/>
              <w:jc w:val="right"/>
            </w:pPr>
            <w:r>
              <w:rPr>
                <w:sz w:val="18"/>
              </w:rPr>
              <w:t>0.000</w:t>
            </w:r>
          </w:p>
        </w:tc>
      </w:tr>
    </w:tbl>
    <w:p w:rsidR="00502504" w:rsidRDefault="00000000" w:rsidP="009711AA">
      <w:pPr>
        <w:spacing w:after="0" w:line="251" w:lineRule="auto"/>
        <w:ind w:left="10" w:hanging="10"/>
        <w:jc w:val="center"/>
      </w:pPr>
      <w:r>
        <w:rPr>
          <w:sz w:val="18"/>
        </w:rPr>
        <w:t>Notes: All entries are cumulative pass-through estimates from short-run asymmetric ADL specifications, summed over lags 0–</w:t>
      </w:r>
      <w:r>
        <w:rPr>
          <w:i/>
          <w:sz w:val="18"/>
        </w:rPr>
        <w:t xml:space="preserve">q </w:t>
      </w:r>
      <w:r>
        <w:rPr>
          <w:sz w:val="18"/>
        </w:rPr>
        <w:t>on the relevant positive component. Panel A uses each layer’s full active sample. The CPI Fuel &amp; Light bridge equation is shown for completeness only; its sample begins in 2011 and falls below the 20-year window we treat as the minimum for headline mandates.</w:t>
      </w:r>
    </w:p>
    <w:p w:rsidR="00502504" w:rsidRDefault="00000000" w:rsidP="009711AA">
      <w:pPr>
        <w:spacing w:after="0" w:line="259" w:lineRule="auto"/>
        <w:ind w:left="377"/>
        <w:jc w:val="left"/>
      </w:pPr>
      <w:r>
        <w:rPr>
          <w:noProof/>
        </w:rPr>
        <w:drawing>
          <wp:inline distT="0" distB="0" distL="0" distR="0">
            <wp:extent cx="5272705" cy="3163623"/>
            <wp:effectExtent l="0" t="0" r="0" b="0"/>
            <wp:docPr id="1722" name="Picture 1722"/>
            <wp:cNvGraphicFramePr/>
            <a:graphic xmlns:a="http://schemas.openxmlformats.org/drawingml/2006/main">
              <a:graphicData uri="http://schemas.openxmlformats.org/drawingml/2006/picture">
                <pic:pic xmlns:pic="http://schemas.openxmlformats.org/drawingml/2006/picture">
                  <pic:nvPicPr>
                    <pic:cNvPr id="1722" name="Picture 1722"/>
                    <pic:cNvPicPr/>
                  </pic:nvPicPr>
                  <pic:blipFill>
                    <a:blip r:embed="rId17"/>
                    <a:stretch>
                      <a:fillRect/>
                    </a:stretch>
                  </pic:blipFill>
                  <pic:spPr>
                    <a:xfrm>
                      <a:off x="0" y="0"/>
                      <a:ext cx="5272705" cy="3163623"/>
                    </a:xfrm>
                    <a:prstGeom prst="rect">
                      <a:avLst/>
                    </a:prstGeom>
                  </pic:spPr>
                </pic:pic>
              </a:graphicData>
            </a:graphic>
          </wp:inline>
        </w:drawing>
      </w:r>
    </w:p>
    <w:p w:rsidR="00502504" w:rsidRDefault="00000000" w:rsidP="009711AA">
      <w:pPr>
        <w:spacing w:after="0" w:line="250" w:lineRule="auto"/>
        <w:ind w:left="11" w:hanging="10"/>
        <w:jc w:val="left"/>
      </w:pPr>
      <w:r>
        <w:rPr>
          <w:sz w:val="20"/>
        </w:rPr>
        <w:t>Figure 7: Attenuation across layers. Cumulative positive pass-through (CPT</w:t>
      </w:r>
      <w:r>
        <w:rPr>
          <w:rFonts w:ascii="Cambria" w:eastAsia="Cambria" w:hAnsi="Cambria" w:cs="Cambria"/>
          <w:sz w:val="20"/>
          <w:vertAlign w:val="superscript"/>
        </w:rPr>
        <w:t>+</w:t>
      </w:r>
      <w:r>
        <w:rPr>
          <w:sz w:val="20"/>
        </w:rPr>
        <w:t>) by stage, from rupee oil through retail petrol, wholesale and consumer fuel-sensitive subindices, and the two headline aggregates. The headline-CPI bar is the smallest and is not statistically distinguishable from zero in the underlying ADL.</w:t>
      </w:r>
    </w:p>
    <w:p w:rsidR="00502504" w:rsidRDefault="00000000" w:rsidP="009711AA">
      <w:pPr>
        <w:spacing w:after="0" w:line="259" w:lineRule="auto"/>
        <w:ind w:left="693"/>
        <w:jc w:val="left"/>
      </w:pPr>
      <w:r>
        <w:rPr>
          <w:noProof/>
        </w:rPr>
        <w:lastRenderedPageBreak/>
        <w:drawing>
          <wp:inline distT="0" distB="0" distL="0" distR="0">
            <wp:extent cx="4871649" cy="3479749"/>
            <wp:effectExtent l="0" t="0" r="0" b="0"/>
            <wp:docPr id="1735" name="Picture 1735"/>
            <wp:cNvGraphicFramePr/>
            <a:graphic xmlns:a="http://schemas.openxmlformats.org/drawingml/2006/main">
              <a:graphicData uri="http://schemas.openxmlformats.org/drawingml/2006/picture">
                <pic:pic xmlns:pic="http://schemas.openxmlformats.org/drawingml/2006/picture">
                  <pic:nvPicPr>
                    <pic:cNvPr id="1735" name="Picture 1735"/>
                    <pic:cNvPicPr/>
                  </pic:nvPicPr>
                  <pic:blipFill>
                    <a:blip r:embed="rId18"/>
                    <a:stretch>
                      <a:fillRect/>
                    </a:stretch>
                  </pic:blipFill>
                  <pic:spPr>
                    <a:xfrm>
                      <a:off x="0" y="0"/>
                      <a:ext cx="4871649" cy="3479749"/>
                    </a:xfrm>
                    <a:prstGeom prst="rect">
                      <a:avLst/>
                    </a:prstGeom>
                  </pic:spPr>
                </pic:pic>
              </a:graphicData>
            </a:graphic>
          </wp:inline>
        </w:drawing>
      </w:r>
    </w:p>
    <w:p w:rsidR="00502504" w:rsidRDefault="00000000" w:rsidP="009711AA">
      <w:pPr>
        <w:spacing w:after="0" w:line="245" w:lineRule="auto"/>
        <w:ind w:left="4" w:right="23" w:hanging="3"/>
      </w:pPr>
      <w:r>
        <w:rPr>
          <w:sz w:val="20"/>
        </w:rPr>
        <w:t>Figure 8: Asymmetry gap (CPT</w:t>
      </w:r>
      <w:r>
        <w:rPr>
          <w:rFonts w:ascii="Cambria" w:eastAsia="Cambria" w:hAnsi="Cambria" w:cs="Cambria"/>
          <w:sz w:val="20"/>
          <w:vertAlign w:val="superscript"/>
        </w:rPr>
        <w:t xml:space="preserve">+ </w:t>
      </w:r>
      <w:r>
        <w:rPr>
          <w:sz w:val="20"/>
        </w:rPr>
        <w:t>minus CPT</w:t>
      </w:r>
      <w:r>
        <w:rPr>
          <w:rFonts w:ascii="Cambria" w:eastAsia="Cambria" w:hAnsi="Cambria" w:cs="Cambria"/>
          <w:sz w:val="20"/>
          <w:vertAlign w:val="superscript"/>
        </w:rPr>
        <w:t>−</w:t>
      </w:r>
      <w:r>
        <w:rPr>
          <w:sz w:val="20"/>
        </w:rPr>
        <w:t>) by layer with HAC confidence bands. The gap is largest and signed positive at the retail-petrol stage, consistent with the conventional rockets-and-feathers reading. Both upstream-wholesale and headline-CPI gaps straddle zero.</w:t>
      </w:r>
    </w:p>
    <w:p w:rsidR="00502504" w:rsidRDefault="00000000" w:rsidP="009711AA">
      <w:pPr>
        <w:pStyle w:val="Heading1"/>
        <w:spacing w:after="0"/>
        <w:ind w:left="431" w:hanging="430"/>
      </w:pPr>
      <w:r>
        <w:t>Robustness and supplementary evidence</w:t>
      </w:r>
    </w:p>
    <w:p w:rsidR="00502504" w:rsidRDefault="00000000" w:rsidP="009711AA">
      <w:pPr>
        <w:spacing w:after="0"/>
        <w:ind w:left="1" w:right="23"/>
      </w:pPr>
      <w:r>
        <w:t>Three robustness exercises support the main reading.</w:t>
      </w:r>
    </w:p>
    <w:p w:rsidR="00502504" w:rsidRDefault="00000000" w:rsidP="009711AA">
      <w:pPr>
        <w:spacing w:after="0"/>
        <w:ind w:left="1" w:right="23" w:firstLine="262"/>
      </w:pPr>
      <w:r>
        <w:t>First, the Brent + EXR decomposition. Replacing rupee oil with separate asymmetric Brent components and a contemporaneous EXR control yields CPT</w:t>
      </w:r>
      <w:r>
        <w:rPr>
          <w:rFonts w:ascii="Cambria" w:eastAsia="Cambria" w:hAnsi="Cambria" w:cs="Cambria"/>
          <w:vertAlign w:val="superscript"/>
        </w:rPr>
        <w:t>+</w:t>
      </w:r>
      <w:r>
        <w:rPr>
          <w:rFonts w:ascii="Cambria" w:eastAsia="Cambria" w:hAnsi="Cambria" w:cs="Cambria"/>
        </w:rPr>
        <w:t xml:space="preserve">= </w:t>
      </w:r>
      <w:r>
        <w:t>0</w:t>
      </w:r>
      <w:r>
        <w:rPr>
          <w:rFonts w:ascii="Cambria" w:eastAsia="Cambria" w:hAnsi="Cambria" w:cs="Cambria"/>
          <w:i/>
        </w:rPr>
        <w:t>.</w:t>
      </w:r>
      <w:r>
        <w:t>031 (</w:t>
      </w:r>
      <w:r>
        <w:rPr>
          <w:i/>
        </w:rPr>
        <w:t>p</w:t>
      </w:r>
      <w:r>
        <w:rPr>
          <w:rFonts w:ascii="Cambria" w:eastAsia="Cambria" w:hAnsi="Cambria" w:cs="Cambria"/>
        </w:rPr>
        <w:t xml:space="preserve">= </w:t>
      </w:r>
      <w:r>
        <w:t>0</w:t>
      </w:r>
      <w:r>
        <w:rPr>
          <w:rFonts w:ascii="Cambria" w:eastAsia="Cambria" w:hAnsi="Cambria" w:cs="Cambria"/>
          <w:i/>
        </w:rPr>
        <w:t>.</w:t>
      </w:r>
      <w:r>
        <w:t>023) and CPT</w:t>
      </w:r>
      <w:r>
        <w:rPr>
          <w:rFonts w:ascii="Cambria" w:eastAsia="Cambria" w:hAnsi="Cambria" w:cs="Cambria"/>
          <w:vertAlign w:val="superscript"/>
        </w:rPr>
        <w:t xml:space="preserve">− </w:t>
      </w:r>
      <w:r>
        <w:rPr>
          <w:rFonts w:ascii="Cambria" w:eastAsia="Cambria" w:hAnsi="Cambria" w:cs="Cambria"/>
        </w:rPr>
        <w:t xml:space="preserve">= </w:t>
      </w:r>
      <w:r>
        <w:t>0</w:t>
      </w:r>
      <w:r>
        <w:rPr>
          <w:rFonts w:ascii="Cambria" w:eastAsia="Cambria" w:hAnsi="Cambria" w:cs="Cambria"/>
          <w:i/>
        </w:rPr>
        <w:t>.</w:t>
      </w:r>
      <w:r>
        <w:t>037 (</w:t>
      </w:r>
      <w:r>
        <w:rPr>
          <w:i/>
        </w:rPr>
        <w:t>p</w:t>
      </w:r>
      <w:r>
        <w:rPr>
          <w:rFonts w:ascii="Cambria" w:eastAsia="Cambria" w:hAnsi="Cambria" w:cs="Cambria"/>
        </w:rPr>
        <w:t xml:space="preserve">= </w:t>
      </w:r>
      <w:r>
        <w:t>0</w:t>
      </w:r>
      <w:r>
        <w:rPr>
          <w:rFonts w:ascii="Cambria" w:eastAsia="Cambria" w:hAnsi="Cambria" w:cs="Cambria"/>
          <w:i/>
        </w:rPr>
        <w:t>.</w:t>
      </w:r>
      <w:r>
        <w:t xml:space="preserve">001) on the headline WPI sample. Adjusted </w:t>
      </w:r>
      <w:r>
        <w:rPr>
          <w:i/>
        </w:rPr>
        <w:t>R</w:t>
      </w:r>
      <w:r>
        <w:rPr>
          <w:vertAlign w:val="superscript"/>
        </w:rPr>
        <w:t xml:space="preserve">2 </w:t>
      </w:r>
      <w:r>
        <w:t>rises to 0</w:t>
      </w:r>
      <w:r>
        <w:rPr>
          <w:rFonts w:ascii="Cambria" w:eastAsia="Cambria" w:hAnsi="Cambria" w:cs="Cambria"/>
          <w:i/>
        </w:rPr>
        <w:t>.</w:t>
      </w:r>
      <w:r>
        <w:t>42 and the symmetry test is not rejected (</w:t>
      </w:r>
      <w:r>
        <w:rPr>
          <w:i/>
        </w:rPr>
        <w:t xml:space="preserve">p </w:t>
      </w:r>
      <w:r>
        <w:rPr>
          <w:rFonts w:ascii="Cambria" w:eastAsia="Cambria" w:hAnsi="Cambria" w:cs="Cambria"/>
        </w:rPr>
        <w:t xml:space="preserve">= </w:t>
      </w:r>
      <w:r>
        <w:t>0</w:t>
      </w:r>
      <w:r>
        <w:rPr>
          <w:rFonts w:ascii="Cambria" w:eastAsia="Cambria" w:hAnsi="Cambria" w:cs="Cambria"/>
          <w:i/>
        </w:rPr>
        <w:t>.</w:t>
      </w:r>
      <w:r>
        <w:t>70). The decomposition does not move the substantive conclusion, which suggests that the rupee oil aggregate used in the main specification is not masking offsetting movements in price and exchange rate components.</w:t>
      </w:r>
    </w:p>
    <w:p w:rsidR="00502504" w:rsidRDefault="00000000" w:rsidP="009711AA">
      <w:pPr>
        <w:spacing w:after="0" w:line="259" w:lineRule="auto"/>
        <w:ind w:left="693"/>
        <w:jc w:val="left"/>
      </w:pPr>
      <w:r>
        <w:rPr>
          <w:noProof/>
        </w:rPr>
        <w:drawing>
          <wp:inline distT="0" distB="0" distL="0" distR="0">
            <wp:extent cx="4871558" cy="2435779"/>
            <wp:effectExtent l="0" t="0" r="0" b="0"/>
            <wp:docPr id="1791" name="Picture 1791"/>
            <wp:cNvGraphicFramePr/>
            <a:graphic xmlns:a="http://schemas.openxmlformats.org/drawingml/2006/main">
              <a:graphicData uri="http://schemas.openxmlformats.org/drawingml/2006/picture">
                <pic:pic xmlns:pic="http://schemas.openxmlformats.org/drawingml/2006/picture">
                  <pic:nvPicPr>
                    <pic:cNvPr id="1791" name="Picture 1791"/>
                    <pic:cNvPicPr/>
                  </pic:nvPicPr>
                  <pic:blipFill>
                    <a:blip r:embed="rId19"/>
                    <a:stretch>
                      <a:fillRect/>
                    </a:stretch>
                  </pic:blipFill>
                  <pic:spPr>
                    <a:xfrm>
                      <a:off x="0" y="0"/>
                      <a:ext cx="4871558" cy="2435779"/>
                    </a:xfrm>
                    <a:prstGeom prst="rect">
                      <a:avLst/>
                    </a:prstGeom>
                  </pic:spPr>
                </pic:pic>
              </a:graphicData>
            </a:graphic>
          </wp:inline>
        </w:drawing>
      </w:r>
    </w:p>
    <w:p w:rsidR="00502504" w:rsidRDefault="00000000" w:rsidP="009711AA">
      <w:pPr>
        <w:spacing w:after="0" w:line="250" w:lineRule="auto"/>
        <w:ind w:left="11" w:hanging="10"/>
        <w:jc w:val="left"/>
      </w:pPr>
      <w:r>
        <w:rPr>
          <w:sz w:val="20"/>
        </w:rPr>
        <w:t xml:space="preserve">Figure 9: Bootstrap distribution of the symmetry Wald statistic for the headline WPI ADL. Restricted-residual circular block bootstrap, </w:t>
      </w:r>
      <w:r>
        <w:rPr>
          <w:i/>
          <w:sz w:val="20"/>
        </w:rPr>
        <w:t>B</w:t>
      </w:r>
      <w:r>
        <w:rPr>
          <w:rFonts w:ascii="Cambria" w:eastAsia="Cambria" w:hAnsi="Cambria" w:cs="Cambria"/>
          <w:sz w:val="20"/>
        </w:rPr>
        <w:t xml:space="preserve">= </w:t>
      </w:r>
      <w:r>
        <w:rPr>
          <w:sz w:val="20"/>
        </w:rPr>
        <w:t>4</w:t>
      </w:r>
      <w:r>
        <w:rPr>
          <w:rFonts w:ascii="Cambria" w:eastAsia="Cambria" w:hAnsi="Cambria" w:cs="Cambria"/>
          <w:i/>
          <w:sz w:val="20"/>
        </w:rPr>
        <w:t>,</w:t>
      </w:r>
      <w:r>
        <w:rPr>
          <w:sz w:val="20"/>
        </w:rPr>
        <w:t xml:space="preserve">999. The observed Wald statistic sits near the </w:t>
      </w:r>
      <w:proofErr w:type="spellStart"/>
      <w:r>
        <w:rPr>
          <w:sz w:val="20"/>
        </w:rPr>
        <w:t>centre</w:t>
      </w:r>
      <w:proofErr w:type="spellEnd"/>
      <w:r>
        <w:rPr>
          <w:sz w:val="20"/>
        </w:rPr>
        <w:t xml:space="preserve"> of the simulated distribution,</w:t>
      </w:r>
    </w:p>
    <w:p w:rsidR="00502504" w:rsidRDefault="00000000" w:rsidP="009711AA">
      <w:pPr>
        <w:spacing w:after="0" w:line="250" w:lineRule="auto"/>
        <w:ind w:left="11" w:hanging="10"/>
        <w:jc w:val="left"/>
      </w:pPr>
      <w:r>
        <w:rPr>
          <w:sz w:val="20"/>
        </w:rPr>
        <w:t xml:space="preserve">which gives a bootstrap symmetry </w:t>
      </w:r>
      <w:r>
        <w:rPr>
          <w:i/>
          <w:sz w:val="20"/>
        </w:rPr>
        <w:t>p</w:t>
      </w:r>
      <w:r>
        <w:rPr>
          <w:sz w:val="20"/>
        </w:rPr>
        <w:t>-value of 0</w:t>
      </w:r>
      <w:r>
        <w:rPr>
          <w:rFonts w:ascii="Cambria" w:eastAsia="Cambria" w:hAnsi="Cambria" w:cs="Cambria"/>
          <w:i/>
          <w:sz w:val="20"/>
        </w:rPr>
        <w:t>.</w:t>
      </w:r>
      <w:r>
        <w:rPr>
          <w:sz w:val="20"/>
        </w:rPr>
        <w:t>746.</w:t>
      </w:r>
    </w:p>
    <w:p w:rsidR="00502504" w:rsidRDefault="00000000" w:rsidP="009711AA">
      <w:pPr>
        <w:spacing w:after="0" w:line="259" w:lineRule="auto"/>
        <w:ind w:left="10" w:right="23" w:hanging="10"/>
        <w:jc w:val="right"/>
      </w:pPr>
      <w:r>
        <w:t>Second, the bootstrap symmetry tests. For both the headline WPI ADL and the WPI Fuel and Power</w:t>
      </w:r>
    </w:p>
    <w:p w:rsidR="00502504" w:rsidRDefault="00000000" w:rsidP="009711AA">
      <w:pPr>
        <w:spacing w:after="0"/>
        <w:ind w:left="1" w:right="23"/>
      </w:pPr>
      <w:proofErr w:type="gramStart"/>
      <w:r>
        <w:lastRenderedPageBreak/>
        <w:t>ADL</w:t>
      </w:r>
      <w:proofErr w:type="gramEnd"/>
      <w:r>
        <w:t xml:space="preserve"> we resample residuals using a restricted-residual circular block bootstrap with 4,999 replications. The bootstrap symmetry </w:t>
      </w:r>
      <w:r>
        <w:rPr>
          <w:i/>
        </w:rPr>
        <w:t>p</w:t>
      </w:r>
      <w:r>
        <w:t>-values are 0</w:t>
      </w:r>
      <w:r>
        <w:rPr>
          <w:rFonts w:ascii="Cambria" w:eastAsia="Cambria" w:hAnsi="Cambria" w:cs="Cambria"/>
          <w:i/>
        </w:rPr>
        <w:t>.</w:t>
      </w:r>
      <w:r>
        <w:t>746 for headline WPI and 0</w:t>
      </w:r>
      <w:r>
        <w:rPr>
          <w:rFonts w:ascii="Cambria" w:eastAsia="Cambria" w:hAnsi="Cambria" w:cs="Cambria"/>
          <w:i/>
        </w:rPr>
        <w:t>.</w:t>
      </w:r>
      <w:r>
        <w:t xml:space="preserve">820 for fuel and power. There were no bootstrap failures. The asymptotic Wald conclusions hold up in finite samples on the wholesale models. The headline CPI bootstrap </w:t>
      </w:r>
      <w:r>
        <w:rPr>
          <w:i/>
        </w:rPr>
        <w:t>p</w:t>
      </w:r>
      <w:r>
        <w:t>-value is 0</w:t>
      </w:r>
      <w:r>
        <w:rPr>
          <w:rFonts w:ascii="Cambria" w:eastAsia="Cambria" w:hAnsi="Cambria" w:cs="Cambria"/>
          <w:i/>
        </w:rPr>
        <w:t>.</w:t>
      </w:r>
      <w:r>
        <w:t>50, also consistent with the asymptotic test.</w:t>
      </w:r>
    </w:p>
    <w:p w:rsidR="00502504" w:rsidRDefault="00000000" w:rsidP="009711AA">
      <w:pPr>
        <w:spacing w:after="0"/>
        <w:ind w:left="1" w:right="23" w:firstLine="262"/>
      </w:pPr>
      <w:r>
        <w:t>Third, predictive precedence. Granger tests at four lags reject the null of no Granger causation from rupee oil to headline WPI (</w:t>
      </w:r>
      <w:r>
        <w:rPr>
          <w:i/>
        </w:rPr>
        <w:t xml:space="preserve">F </w:t>
      </w:r>
      <w:r>
        <w:rPr>
          <w:rFonts w:ascii="Cambria" w:eastAsia="Cambria" w:hAnsi="Cambria" w:cs="Cambria"/>
        </w:rPr>
        <w:t xml:space="preserve">= </w:t>
      </w:r>
      <w:r>
        <w:t>7</w:t>
      </w:r>
      <w:r>
        <w:rPr>
          <w:rFonts w:ascii="Cambria" w:eastAsia="Cambria" w:hAnsi="Cambria" w:cs="Cambria"/>
          <w:i/>
        </w:rPr>
        <w:t>.</w:t>
      </w:r>
      <w:r>
        <w:t xml:space="preserve">43, HAC </w:t>
      </w:r>
      <w:r>
        <w:rPr>
          <w:i/>
        </w:rPr>
        <w:t xml:space="preserve">p </w:t>
      </w:r>
      <w:r>
        <w:rPr>
          <w:rFonts w:ascii="Cambria" w:eastAsia="Cambria" w:hAnsi="Cambria" w:cs="Cambria"/>
          <w:i/>
        </w:rPr>
        <w:t xml:space="preserve">&lt; </w:t>
      </w:r>
      <w:r>
        <w:t>0</w:t>
      </w:r>
      <w:r>
        <w:rPr>
          <w:rFonts w:ascii="Cambria" w:eastAsia="Cambria" w:hAnsi="Cambria" w:cs="Cambria"/>
          <w:i/>
        </w:rPr>
        <w:t>.</w:t>
      </w:r>
      <w:r>
        <w:t>001), from rupee oil to WPI Fuel and Power (</w:t>
      </w:r>
      <w:r>
        <w:rPr>
          <w:i/>
        </w:rPr>
        <w:t xml:space="preserve">F </w:t>
      </w:r>
      <w:r>
        <w:rPr>
          <w:rFonts w:ascii="Cambria" w:eastAsia="Cambria" w:hAnsi="Cambria" w:cs="Cambria"/>
        </w:rPr>
        <w:t xml:space="preserve">= </w:t>
      </w:r>
      <w:r>
        <w:t>15</w:t>
      </w:r>
      <w:r>
        <w:rPr>
          <w:rFonts w:ascii="Cambria" w:eastAsia="Cambria" w:hAnsi="Cambria" w:cs="Cambria"/>
          <w:i/>
        </w:rPr>
        <w:t>.</w:t>
      </w:r>
      <w:r>
        <w:t xml:space="preserve">22, HAC </w:t>
      </w:r>
      <w:r>
        <w:rPr>
          <w:i/>
        </w:rPr>
        <w:t xml:space="preserve">p </w:t>
      </w:r>
      <w:r>
        <w:rPr>
          <w:rFonts w:ascii="Cambria" w:eastAsia="Cambria" w:hAnsi="Cambria" w:cs="Cambria"/>
          <w:i/>
        </w:rPr>
        <w:t xml:space="preserve">&lt; </w:t>
      </w:r>
      <w:r>
        <w:t>0</w:t>
      </w:r>
      <w:r>
        <w:rPr>
          <w:rFonts w:ascii="Cambria" w:eastAsia="Cambria" w:hAnsi="Cambria" w:cs="Cambria"/>
          <w:i/>
        </w:rPr>
        <w:t>.</w:t>
      </w:r>
      <w:r>
        <w:t>001), and from Brent in USD to headline WPI (</w:t>
      </w:r>
      <w:r>
        <w:rPr>
          <w:i/>
        </w:rPr>
        <w:t xml:space="preserve">F </w:t>
      </w:r>
      <w:r>
        <w:rPr>
          <w:rFonts w:ascii="Cambria" w:eastAsia="Cambria" w:hAnsi="Cambria" w:cs="Cambria"/>
        </w:rPr>
        <w:t xml:space="preserve">= </w:t>
      </w:r>
      <w:r>
        <w:t>7</w:t>
      </w:r>
      <w:r>
        <w:rPr>
          <w:rFonts w:ascii="Cambria" w:eastAsia="Cambria" w:hAnsi="Cambria" w:cs="Cambria"/>
          <w:i/>
        </w:rPr>
        <w:t>.</w:t>
      </w:r>
      <w:r>
        <w:t xml:space="preserve">38, HAC </w:t>
      </w:r>
      <w:r>
        <w:rPr>
          <w:i/>
        </w:rPr>
        <w:t xml:space="preserve">p </w:t>
      </w:r>
      <w:r>
        <w:rPr>
          <w:rFonts w:ascii="Cambria" w:eastAsia="Cambria" w:hAnsi="Cambria" w:cs="Cambria"/>
          <w:i/>
        </w:rPr>
        <w:t xml:space="preserve">&lt; </w:t>
      </w:r>
      <w:r>
        <w:t>0</w:t>
      </w:r>
      <w:r>
        <w:rPr>
          <w:rFonts w:ascii="Cambria" w:eastAsia="Cambria" w:hAnsi="Cambria" w:cs="Cambria"/>
          <w:i/>
        </w:rPr>
        <w:t>.</w:t>
      </w:r>
      <w:r>
        <w:t>001). The reverse direction is not Granger-significant for headline WPI (</w:t>
      </w:r>
      <w:r>
        <w:rPr>
          <w:i/>
        </w:rPr>
        <w:t xml:space="preserve">p </w:t>
      </w:r>
      <w:r>
        <w:rPr>
          <w:rFonts w:ascii="Cambria" w:eastAsia="Cambria" w:hAnsi="Cambria" w:cs="Cambria"/>
        </w:rPr>
        <w:t xml:space="preserve">= </w:t>
      </w:r>
      <w:r>
        <w:t>0</w:t>
      </w:r>
      <w:r>
        <w:rPr>
          <w:rFonts w:ascii="Cambria" w:eastAsia="Cambria" w:hAnsi="Cambria" w:cs="Cambria"/>
          <w:i/>
        </w:rPr>
        <w:t>.</w:t>
      </w:r>
      <w:r>
        <w:t>43). The exchange rate Granger-causes WPI at the 10% margin (</w:t>
      </w:r>
      <w:r>
        <w:rPr>
          <w:i/>
        </w:rPr>
        <w:t xml:space="preserve">p </w:t>
      </w:r>
      <w:r>
        <w:rPr>
          <w:rFonts w:ascii="Cambria" w:eastAsia="Cambria" w:hAnsi="Cambria" w:cs="Cambria"/>
        </w:rPr>
        <w:t xml:space="preserve">= </w:t>
      </w:r>
      <w:r>
        <w:t>0</w:t>
      </w:r>
      <w:r>
        <w:rPr>
          <w:rFonts w:ascii="Cambria" w:eastAsia="Cambria" w:hAnsi="Cambria" w:cs="Cambria"/>
          <w:i/>
        </w:rPr>
        <w:t>.</w:t>
      </w:r>
      <w:r>
        <w:t>05). We treat these statistics as predictive precedence rather than as structural identification, in the conservative reading we adopt throughout.</w:t>
      </w:r>
    </w:p>
    <w:p w:rsidR="00502504" w:rsidRDefault="00000000" w:rsidP="009711AA">
      <w:pPr>
        <w:spacing w:after="0"/>
        <w:ind w:left="1" w:right="23" w:firstLine="270"/>
      </w:pPr>
      <w:r>
        <w:t xml:space="preserve">A few sensitivity exercises round out the picture. Excluding the April–September 2020 COVID window does not materially change any of the headline pass-through estimates. Lag-sensitivity exercises moving the oil lag length between </w:t>
      </w:r>
      <w:r>
        <w:rPr>
          <w:i/>
        </w:rPr>
        <w:t xml:space="preserve">q </w:t>
      </w:r>
      <w:r>
        <w:rPr>
          <w:rFonts w:ascii="Cambria" w:eastAsia="Cambria" w:hAnsi="Cambria" w:cs="Cambria"/>
        </w:rPr>
        <w:t xml:space="preserve">= </w:t>
      </w:r>
      <w:r>
        <w:t xml:space="preserve">4 and </w:t>
      </w:r>
      <w:r>
        <w:rPr>
          <w:i/>
        </w:rPr>
        <w:t xml:space="preserve">q </w:t>
      </w:r>
      <w:r>
        <w:rPr>
          <w:rFonts w:ascii="Cambria" w:eastAsia="Cambria" w:hAnsi="Cambria" w:cs="Cambria"/>
        </w:rPr>
        <w:t xml:space="preserve">= </w:t>
      </w:r>
      <w:r>
        <w:t>8 leave the qualitative ranking of CPT</w:t>
      </w:r>
      <w:r>
        <w:rPr>
          <w:rFonts w:ascii="Cambria" w:eastAsia="Cambria" w:hAnsi="Cambria" w:cs="Cambria"/>
          <w:vertAlign w:val="superscript"/>
        </w:rPr>
        <w:t xml:space="preserve">+ </w:t>
      </w:r>
      <w:r>
        <w:t xml:space="preserve">across layers intact. </w:t>
      </w:r>
      <w:proofErr w:type="spellStart"/>
      <w:r>
        <w:t>Winsorising</w:t>
      </w:r>
      <w:proofErr w:type="spellEnd"/>
      <w:r>
        <w:t xml:space="preserve"> the rupee oil change at the 1st and 99th percentiles </w:t>
      </w:r>
      <w:proofErr w:type="gramStart"/>
      <w:r>
        <w:t>trims</w:t>
      </w:r>
      <w:proofErr w:type="gramEnd"/>
      <w:r>
        <w:t xml:space="preserve"> the negative-side coefficient for the WPI Fuel and Power model slightly but does not alter the conclusion.</w:t>
      </w:r>
    </w:p>
    <w:p w:rsidR="00502504" w:rsidRDefault="00000000" w:rsidP="009711AA">
      <w:pPr>
        <w:spacing w:after="0" w:line="259" w:lineRule="auto"/>
        <w:ind w:left="10" w:right="23" w:hanging="10"/>
        <w:jc w:val="right"/>
      </w:pPr>
      <w:r>
        <w:t>The appendix battery of NARDL bounds models in levels gives the long-run perspective. All four</w:t>
      </w:r>
    </w:p>
    <w:p w:rsidR="00502504" w:rsidRDefault="00000000" w:rsidP="009711AA">
      <w:pPr>
        <w:spacing w:after="0"/>
        <w:ind w:left="1" w:right="23"/>
      </w:pPr>
      <w:r>
        <w:t xml:space="preserve">NARDL specifications reject the no-cointegration null at the 1% upper bound of </w:t>
      </w:r>
      <w:proofErr w:type="spellStart"/>
      <w:r>
        <w:rPr>
          <w:color w:val="000099"/>
        </w:rPr>
        <w:t>Pesaran</w:t>
      </w:r>
      <w:proofErr w:type="spellEnd"/>
      <w:r>
        <w:rPr>
          <w:color w:val="000099"/>
        </w:rPr>
        <w:t xml:space="preserve"> et al. </w:t>
      </w:r>
      <w:r>
        <w:t>(</w:t>
      </w:r>
      <w:r>
        <w:rPr>
          <w:color w:val="000099"/>
        </w:rPr>
        <w:t>2001</w:t>
      </w:r>
      <w:r>
        <w:t>).</w:t>
      </w:r>
    </w:p>
    <w:p w:rsidR="00502504" w:rsidRDefault="00000000" w:rsidP="009711AA">
      <w:pPr>
        <w:spacing w:after="0"/>
        <w:ind w:left="1" w:right="23"/>
      </w:pPr>
      <w:r>
        <w:t>Each specification has a negative and significant error-correction coefficient. The long-run asymmetry</w:t>
      </w:r>
    </w:p>
    <w:p w:rsidR="00502504" w:rsidRDefault="00000000" w:rsidP="009711AA">
      <w:pPr>
        <w:spacing w:after="0" w:line="259" w:lineRule="auto"/>
        <w:ind w:left="693"/>
        <w:jc w:val="left"/>
      </w:pPr>
      <w:r>
        <w:rPr>
          <w:noProof/>
        </w:rPr>
        <w:drawing>
          <wp:inline distT="0" distB="0" distL="0" distR="0">
            <wp:extent cx="4871466" cy="4059555"/>
            <wp:effectExtent l="0" t="0" r="0" b="0"/>
            <wp:docPr id="1936" name="Picture 1936"/>
            <wp:cNvGraphicFramePr/>
            <a:graphic xmlns:a="http://schemas.openxmlformats.org/drawingml/2006/main">
              <a:graphicData uri="http://schemas.openxmlformats.org/drawingml/2006/picture">
                <pic:pic xmlns:pic="http://schemas.openxmlformats.org/drawingml/2006/picture">
                  <pic:nvPicPr>
                    <pic:cNvPr id="1936" name="Picture 1936"/>
                    <pic:cNvPicPr/>
                  </pic:nvPicPr>
                  <pic:blipFill>
                    <a:blip r:embed="rId20"/>
                    <a:stretch>
                      <a:fillRect/>
                    </a:stretch>
                  </pic:blipFill>
                  <pic:spPr>
                    <a:xfrm>
                      <a:off x="0" y="0"/>
                      <a:ext cx="4871466" cy="4059555"/>
                    </a:xfrm>
                    <a:prstGeom prst="rect">
                      <a:avLst/>
                    </a:prstGeom>
                  </pic:spPr>
                </pic:pic>
              </a:graphicData>
            </a:graphic>
          </wp:inline>
        </w:drawing>
      </w:r>
    </w:p>
    <w:p w:rsidR="00502504" w:rsidRDefault="00000000" w:rsidP="009711AA">
      <w:pPr>
        <w:spacing w:after="0" w:line="250" w:lineRule="auto"/>
        <w:ind w:left="11" w:hanging="10"/>
        <w:jc w:val="left"/>
      </w:pPr>
      <w:r>
        <w:rPr>
          <w:sz w:val="20"/>
        </w:rPr>
        <w:t>Figure 10: Recursive and OLS-CUSUM stability tests for the headline WPI ADL. Both test statistics stay inside their 5% bands across the 1983–2026 sample, consistent with parameter stability in the differenced specification despite the September 2013 break detected by the Bai–Perron test on the dependent variable.</w:t>
      </w:r>
    </w:p>
    <w:p w:rsidR="00502504" w:rsidRDefault="00000000" w:rsidP="009711AA">
      <w:pPr>
        <w:spacing w:after="0"/>
        <w:ind w:left="1" w:right="23"/>
      </w:pPr>
      <w:r>
        <w:t xml:space="preserve">tests of </w:t>
      </w:r>
      <w:r>
        <w:rPr>
          <w:color w:val="000099"/>
        </w:rPr>
        <w:t xml:space="preserve">Shin et al. </w:t>
      </w:r>
      <w:r>
        <w:t>(</w:t>
      </w:r>
      <w:r>
        <w:rPr>
          <w:color w:val="000099"/>
        </w:rPr>
        <w:t>2014</w:t>
      </w:r>
      <w:r>
        <w:t>) reject equality of long-run positive and negative multipliers in three of four specifications, with the headline INR-oil specification on the borderline (</w:t>
      </w:r>
      <w:r>
        <w:rPr>
          <w:i/>
        </w:rPr>
        <w:t xml:space="preserve">p </w:t>
      </w:r>
      <w:r>
        <w:rPr>
          <w:rFonts w:ascii="Cambria" w:eastAsia="Cambria" w:hAnsi="Cambria" w:cs="Cambria"/>
        </w:rPr>
        <w:t xml:space="preserve">= </w:t>
      </w:r>
      <w:r>
        <w:t>0</w:t>
      </w:r>
      <w:r>
        <w:rPr>
          <w:rFonts w:ascii="Cambria" w:eastAsia="Cambria" w:hAnsi="Cambria" w:cs="Cambria"/>
          <w:i/>
        </w:rPr>
        <w:t>.</w:t>
      </w:r>
      <w:r>
        <w:t xml:space="preserve">023). The fuel and power </w:t>
      </w:r>
      <w:r>
        <w:lastRenderedPageBreak/>
        <w:t xml:space="preserve">specification has the largest ECT magnitude (-0.081, </w:t>
      </w:r>
      <w:r>
        <w:rPr>
          <w:i/>
        </w:rPr>
        <w:t xml:space="preserve">p </w:t>
      </w:r>
      <w:r>
        <w:rPr>
          <w:rFonts w:ascii="Cambria" w:eastAsia="Cambria" w:hAnsi="Cambria" w:cs="Cambria"/>
          <w:i/>
        </w:rPr>
        <w:t xml:space="preserve">&lt; </w:t>
      </w:r>
      <w:r>
        <w:t>0</w:t>
      </w:r>
      <w:r>
        <w:rPr>
          <w:rFonts w:ascii="Cambria" w:eastAsia="Cambria" w:hAnsi="Cambria" w:cs="Cambria"/>
          <w:i/>
        </w:rPr>
        <w:t>.</w:t>
      </w:r>
      <w:r>
        <w:t>001), which is consistent with the higher pass-through speed in that layer that the ADL also picks up. We read the appendix NARDL evidence as supplementary. It identifies asymmetry that the differenced ADL does not. But the long-run multiplier estimates are sensitive to the assumed lag structure and to the unit-root status of the level series, and we do not want the appendix tail to wag the main-text dog.</w:t>
      </w:r>
    </w:p>
    <w:p w:rsidR="00502504" w:rsidRDefault="00000000" w:rsidP="009711AA">
      <w:pPr>
        <w:spacing w:after="0"/>
        <w:ind w:left="1" w:right="23" w:firstLine="270"/>
      </w:pPr>
      <w:r>
        <w:t xml:space="preserve">The diagnostics are not uniformly clean. The WPI Fuel and Power ADL fails the HAC RESET test at </w:t>
      </w:r>
      <w:r>
        <w:rPr>
          <w:i/>
        </w:rPr>
        <w:t>p</w:t>
      </w:r>
      <w:r>
        <w:rPr>
          <w:rFonts w:ascii="Cambria" w:eastAsia="Cambria" w:hAnsi="Cambria" w:cs="Cambria"/>
          <w:i/>
        </w:rPr>
        <w:t xml:space="preserve">&lt; </w:t>
      </w:r>
      <w:r>
        <w:t>0</w:t>
      </w:r>
      <w:r>
        <w:rPr>
          <w:rFonts w:ascii="Cambria" w:eastAsia="Cambria" w:hAnsi="Cambria" w:cs="Cambria"/>
          <w:i/>
        </w:rPr>
        <w:t>.</w:t>
      </w:r>
      <w:r>
        <w:t xml:space="preserve">001. We have already flagged this. It is the model in which we would invest least in the precise point estimate, and it is one of two models for which the structural-break literature suggests the differenced specification still leaves curvature on the table. The headline WPI ADL passes Breusch–Godfrey at </w:t>
      </w:r>
      <w:r>
        <w:rPr>
          <w:i/>
        </w:rPr>
        <w:t xml:space="preserve">p </w:t>
      </w:r>
      <w:r>
        <w:rPr>
          <w:rFonts w:ascii="Cambria" w:eastAsia="Cambria" w:hAnsi="Cambria" w:cs="Cambria"/>
        </w:rPr>
        <w:t xml:space="preserve">= </w:t>
      </w:r>
      <w:r>
        <w:t>0</w:t>
      </w:r>
      <w:r>
        <w:rPr>
          <w:rFonts w:ascii="Cambria" w:eastAsia="Cambria" w:hAnsi="Cambria" w:cs="Cambria"/>
          <w:i/>
        </w:rPr>
        <w:t>.</w:t>
      </w:r>
      <w:r>
        <w:t xml:space="preserve">84, RESET at </w:t>
      </w:r>
      <w:r>
        <w:rPr>
          <w:i/>
        </w:rPr>
        <w:t xml:space="preserve">p </w:t>
      </w:r>
      <w:r>
        <w:rPr>
          <w:rFonts w:ascii="Cambria" w:eastAsia="Cambria" w:hAnsi="Cambria" w:cs="Cambria"/>
        </w:rPr>
        <w:t xml:space="preserve">= </w:t>
      </w:r>
      <w:r>
        <w:t>0</w:t>
      </w:r>
      <w:r>
        <w:rPr>
          <w:rFonts w:ascii="Cambria" w:eastAsia="Cambria" w:hAnsi="Cambria" w:cs="Cambria"/>
          <w:i/>
        </w:rPr>
        <w:t>.</w:t>
      </w:r>
      <w:r>
        <w:t xml:space="preserve">35 and recursive CUSUM at </w:t>
      </w:r>
      <w:r>
        <w:rPr>
          <w:i/>
        </w:rPr>
        <w:t xml:space="preserve">p </w:t>
      </w:r>
      <w:r>
        <w:rPr>
          <w:rFonts w:ascii="Cambria" w:eastAsia="Cambria" w:hAnsi="Cambria" w:cs="Cambria"/>
        </w:rPr>
        <w:t xml:space="preserve">= </w:t>
      </w:r>
      <w:r>
        <w:t>0</w:t>
      </w:r>
      <w:r>
        <w:rPr>
          <w:rFonts w:ascii="Cambria" w:eastAsia="Cambria" w:hAnsi="Cambria" w:cs="Cambria"/>
          <w:i/>
        </w:rPr>
        <w:t>.</w:t>
      </w:r>
      <w:r>
        <w:t>39. The headline CPI ADL passes its diagnostics. The bootstrap symmetry tests, taken together with the diagnostics, support the central empirical claim: the magnitudes of the upstream pass-through estimates are credible, the headline-CPI weakness is not an artefact, and the cross-layer attenuation pattern is the robust feature of the data.</w:t>
      </w:r>
    </w:p>
    <w:p w:rsidR="00502504" w:rsidRDefault="00000000" w:rsidP="009711AA">
      <w:pPr>
        <w:pStyle w:val="Heading1"/>
        <w:spacing w:after="0"/>
        <w:ind w:left="431" w:hanging="430"/>
      </w:pPr>
      <w:r>
        <w:t>Conclusion</w:t>
      </w:r>
    </w:p>
    <w:p w:rsidR="00502504" w:rsidRPr="000B3A60" w:rsidRDefault="000B3A60" w:rsidP="000B3A60">
      <w:pPr>
        <w:pStyle w:val="NormalWeb"/>
        <w:spacing w:before="0" w:beforeAutospacing="0" w:after="0" w:afterAutospacing="0" w:line="276" w:lineRule="auto"/>
        <w:jc w:val="both"/>
        <w:rPr>
          <w:rFonts w:ascii="Calibri" w:hAnsi="Calibri" w:cs="Calibri"/>
          <w:sz w:val="22"/>
          <w:szCs w:val="22"/>
        </w:rPr>
      </w:pPr>
      <w:r w:rsidRPr="000B3A60">
        <w:rPr>
          <w:rFonts w:ascii="Calibri" w:hAnsi="Calibri" w:cs="Calibri"/>
          <w:sz w:val="22"/>
          <w:szCs w:val="22"/>
        </w:rPr>
        <w:t>This study examines the Indian oil pass-through as a sequence of stages in the transmission process, rather than presenting a singular summary figure. The procedure commences with the cost of imported crude oil in rupees, progresses to retail petrol prices, incorporates fuel-sensitive components of the wholesale and consumer price indices, and concludes with the aggregate figures pertinent to policy discussions. The transmission is malfunctioning. The cumulative pass-through at the fuel pump is significant, with values of approximately 0.35 for positive oil shocks, 0.29 for the wholesale fuel sector, 0.18 for the consumer fuel sector, 0.03 for the Wholesale Price Index (WPI), and 0.02 for the Consumer Price Index (CPI), the latter being statistically insignificant. The disparity between estimates prior to and subsequent to 2010 indicates that the pricing mechanisms for transportation fuels align more closely with market dynamics. Short-run asymmetry exists at the pump; nonetheless, it is not the most significant nor a critical conclusion in the comprehensive research. The supplementary NARDL evidence in the appendix demonstrates long-run asymmetry, consistent with certain aspects of contemporary research. The primary objective of this research is to elucidate the mechanisms of transmission and attenuation across various layers.</w:t>
      </w:r>
    </w:p>
    <w:p w:rsidR="00502504" w:rsidRDefault="009479F2" w:rsidP="009711AA">
      <w:pPr>
        <w:spacing w:after="0"/>
        <w:ind w:left="1" w:right="23" w:firstLine="270"/>
      </w:pPr>
      <w:r w:rsidRPr="009479F2">
        <w:t>There are several implications for policy. First, different inflation measures may give different information on the impact of oil shocks. WPI provides more information about the upstream cost and external pressures while CPI provides more information about the pass-through to the final consumer. Ignoring this distinction and using them interchangeably could lead to wrong conclusions specifically in the Indian context. Second, the results of a weak CPI pass-through should not be considered as evidence that the shock is exogenous. The estimation results showed that there is an important upstream shock of imported oil in the system market aggregate. However, a substantial share of this shock is absorbed before it reaches the final consumer. Third, some institutional mechanisms could be important in determining the domestic absorption of the oil shock. Consistent with the view that institutional factors are at play, the results of the comparison pre- and post-2010 and the evidence on retail fuel are interpreted as direct and indirect evidence on specific channels for fuel and tax-inefficient pricing reforms buffering part of the shock excessively on the final consumer.</w:t>
      </w:r>
    </w:p>
    <w:p w:rsidR="009479F2" w:rsidRDefault="00000000" w:rsidP="009479F2">
      <w:pPr>
        <w:spacing w:after="0"/>
        <w:ind w:left="1" w:right="23" w:firstLine="262"/>
      </w:pPr>
      <w:r>
        <w:t>The</w:t>
      </w:r>
      <w:r w:rsidR="009479F2" w:rsidRPr="009479F2">
        <w:t xml:space="preserve"> </w:t>
      </w:r>
      <w:proofErr w:type="spellStart"/>
      <w:r w:rsidR="009479F2">
        <w:t>The</w:t>
      </w:r>
      <w:proofErr w:type="spellEnd"/>
      <w:r w:rsidR="009479F2">
        <w:t xml:space="preserve"> study should also be taken with due precaution. The estimates are projections, not theoretical, and the study does not indicate </w:t>
      </w:r>
      <w:proofErr w:type="spellStart"/>
      <w:r w:rsidR="009479F2">
        <w:t>countereffective</w:t>
      </w:r>
      <w:proofErr w:type="spellEnd"/>
      <w:r w:rsidR="009479F2">
        <w:t xml:space="preserve"> policy implications. The higher coefficients after 2010 can be explained by the fact that the pass-through has been reinforced during </w:t>
      </w:r>
      <w:r w:rsidR="009479F2">
        <w:lastRenderedPageBreak/>
        <w:t xml:space="preserve">the reform process. However, the comparison between the subsample should not be seen as a full causal identification of the effects of deregulation. The retail fuel sample covers only August 2004. Thus, there is a limitation to the opening pre-deregulation samples of the most accurate of the mechanical models.  In addition, one must be cautious of the magnitude of some of the pre-deregulation coefficients on fuel and electricity equation.  The NARDL appendix presents a nonlinear level-based approach that, we believe, is relevant but it remains complementary and </w:t>
      </w:r>
      <w:proofErr w:type="gramStart"/>
      <w:r w:rsidR="009479F2">
        <w:t>its</w:t>
      </w:r>
      <w:proofErr w:type="gramEnd"/>
      <w:r w:rsidR="009479F2">
        <w:t xml:space="preserve"> depend on the assumption on the proprieties of the level-series that the KPSS tests advise treating with care.</w:t>
      </w:r>
    </w:p>
    <w:p w:rsidR="00502504" w:rsidRDefault="009479F2" w:rsidP="009479F2">
      <w:pPr>
        <w:spacing w:after="0"/>
        <w:ind w:left="1" w:right="23" w:firstLine="262"/>
      </w:pPr>
      <w:r>
        <w:t>Two extensions are possible in relation to this design. First, the consumer basket could be decomposed into more detailed subcomponents. In this paper, we focus on the Fuel and Light bridge equation as complementary evidence because it is based on a shorter sample. However, other series too, such as housing, transport, and a number of miscellaneous CPI groups, subsume indirect oil exposure which is not detectable in the aggregate series. Further disaggregation of the data to mechanically add further data differentiation to the overall transmission of oil prices to this consumer basket would be warranted if a more consistent long sample is used. A second extension could model state space with time-varying pass-through coefficients, with reform-era pass-through reinforcement appearing as a shift parameter shift increase and potentially improve. This is left to future work.</w:t>
      </w:r>
    </w:p>
    <w:p w:rsidR="00502504" w:rsidRDefault="009479F2" w:rsidP="009711AA">
      <w:pPr>
        <w:spacing w:after="0"/>
        <w:ind w:left="1" w:firstLine="262"/>
        <w:jc w:val="left"/>
      </w:pPr>
      <w:r>
        <w:t>T</w:t>
      </w:r>
      <w:r w:rsidRPr="009479F2">
        <w:t>he main message is simple. The question of policy relevance is not whether WPI or CPI is the correct single inflation measure to study for oil shocks. It is where in the price structure the shock survives and where it dies out. The evidence provided in this paper indicates that the shock is seen in wholesale and fuel-related prices, survives in core consumer prices, but is largely dissipated before reaching the total consumer inflation rate. This layered approach makes the paper’s contribution</w:t>
      </w:r>
      <w:r w:rsidR="00000000">
        <w:t>.</w:t>
      </w:r>
    </w:p>
    <w:p w:rsidR="00502504" w:rsidRDefault="00000000" w:rsidP="009711AA">
      <w:pPr>
        <w:pStyle w:val="Heading1"/>
        <w:numPr>
          <w:ilvl w:val="0"/>
          <w:numId w:val="0"/>
        </w:numPr>
        <w:spacing w:after="0"/>
        <w:ind w:left="11"/>
      </w:pPr>
      <w:r>
        <w:t>References</w:t>
      </w:r>
    </w:p>
    <w:p w:rsidR="00502504" w:rsidRDefault="00000000" w:rsidP="009711AA">
      <w:pPr>
        <w:spacing w:after="0"/>
        <w:ind w:left="219" w:right="23" w:hanging="218"/>
      </w:pPr>
      <w:r>
        <w:t xml:space="preserve">Muhammad Abu-Bakar and Mansur Masih. Is the oil price pass-through to domestic inflation symmetric or asymmetric? new evidence from India based on NARDL. </w:t>
      </w:r>
      <w:r>
        <w:rPr>
          <w:i/>
        </w:rPr>
        <w:t>MPRA Paper</w:t>
      </w:r>
      <w:r>
        <w:t>, (87569), 2018.</w:t>
      </w:r>
    </w:p>
    <w:p w:rsidR="00502504" w:rsidRDefault="00000000" w:rsidP="009711AA">
      <w:pPr>
        <w:spacing w:after="0"/>
        <w:ind w:left="219" w:right="23" w:hanging="218"/>
      </w:pPr>
      <w:r>
        <w:t xml:space="preserve">N. R. </w:t>
      </w:r>
      <w:proofErr w:type="spellStart"/>
      <w:r>
        <w:t>Bhanumurthy</w:t>
      </w:r>
      <w:proofErr w:type="spellEnd"/>
      <w:r>
        <w:t xml:space="preserve">, Surajit Das, and Sukanya Bose. Oil price shock, pass-through policy and its impact on India. </w:t>
      </w:r>
      <w:r>
        <w:rPr>
          <w:i/>
        </w:rPr>
        <w:t>NIPFP Working Paper</w:t>
      </w:r>
      <w:r>
        <w:t>, (99), 2012.</w:t>
      </w:r>
    </w:p>
    <w:p w:rsidR="00502504" w:rsidRDefault="00000000" w:rsidP="009711AA">
      <w:pPr>
        <w:spacing w:after="0"/>
        <w:ind w:left="219" w:right="23" w:hanging="218"/>
      </w:pPr>
      <w:proofErr w:type="spellStart"/>
      <w:r>
        <w:t>Barendra</w:t>
      </w:r>
      <w:proofErr w:type="spellEnd"/>
      <w:r>
        <w:t xml:space="preserve"> Kumar Bhoi, Indranil Bhattacharyya, and Krishnamurthy Mandal. The relationship between international oil prices and inflation in India. </w:t>
      </w:r>
      <w:r>
        <w:rPr>
          <w:i/>
        </w:rPr>
        <w:t>Reserve Bank of India Working Paper Series</w:t>
      </w:r>
      <w:r>
        <w:t>, (WP 09/2012), 2012.</w:t>
      </w:r>
    </w:p>
    <w:p w:rsidR="00502504" w:rsidRDefault="00000000" w:rsidP="009711AA">
      <w:pPr>
        <w:spacing w:after="0"/>
        <w:ind w:left="219" w:right="23" w:hanging="218"/>
      </w:pPr>
      <w:r>
        <w:t xml:space="preserve">Mrinal Chattopadhyay and Subrata Kumar Mitra. Exploring asymmetric </w:t>
      </w:r>
      <w:proofErr w:type="spellStart"/>
      <w:r>
        <w:t>behaviour</w:t>
      </w:r>
      <w:proofErr w:type="spellEnd"/>
      <w:r>
        <w:t xml:space="preserve"> pattern from Indian oil products prices using NARDL and GHSOM approaches. </w:t>
      </w:r>
      <w:r>
        <w:rPr>
          <w:i/>
        </w:rPr>
        <w:t>Energy Policy</w:t>
      </w:r>
      <w:r>
        <w:t>, 86:262–272, 2015.</w:t>
      </w:r>
    </w:p>
    <w:p w:rsidR="00502504" w:rsidRDefault="00000000" w:rsidP="009711AA">
      <w:pPr>
        <w:spacing w:after="0"/>
        <w:ind w:left="212" w:right="23" w:hanging="211"/>
      </w:pPr>
      <w:r>
        <w:t xml:space="preserve">Anand </w:t>
      </w:r>
      <w:proofErr w:type="spellStart"/>
      <w:r>
        <w:t>Deheri</w:t>
      </w:r>
      <w:proofErr w:type="spellEnd"/>
      <w:r>
        <w:t xml:space="preserve"> and M. Carmel. Asymmetric pass-through of crude oil to retail fuel prices in India. </w:t>
      </w:r>
      <w:r>
        <w:rPr>
          <w:i/>
        </w:rPr>
        <w:t>OPEC Energy Review</w:t>
      </w:r>
      <w:r>
        <w:t>, 48(2):88–110, 2024.</w:t>
      </w:r>
    </w:p>
    <w:p w:rsidR="00502504" w:rsidRDefault="00000000" w:rsidP="009711AA">
      <w:pPr>
        <w:spacing w:after="0"/>
        <w:ind w:left="219" w:right="23" w:hanging="218"/>
      </w:pPr>
      <w:proofErr w:type="spellStart"/>
      <w:r>
        <w:t>Debdatta</w:t>
      </w:r>
      <w:proofErr w:type="spellEnd"/>
      <w:r>
        <w:t xml:space="preserve"> Pal and Subrata K. Mitra. Asymmetric oil product pricing in India: evidence from a multiple threshold nonlinear ARDL model. </w:t>
      </w:r>
      <w:r>
        <w:rPr>
          <w:i/>
        </w:rPr>
        <w:t>Economic Modelling</w:t>
      </w:r>
      <w:r>
        <w:t>, 59:314–328, 2016.</w:t>
      </w:r>
    </w:p>
    <w:p w:rsidR="00502504" w:rsidRDefault="00000000" w:rsidP="009711AA">
      <w:pPr>
        <w:spacing w:after="0"/>
        <w:ind w:left="210" w:right="23" w:hanging="209"/>
      </w:pPr>
      <w:r>
        <w:t xml:space="preserve">Radhika Pandey and Jagadish </w:t>
      </w:r>
      <w:proofErr w:type="spellStart"/>
      <w:r>
        <w:t>Shettigar</w:t>
      </w:r>
      <w:proofErr w:type="spellEnd"/>
      <w:r>
        <w:t xml:space="preserve">. Pass-through of crude oil prices to retail fuel prices in India. </w:t>
      </w:r>
      <w:r>
        <w:rPr>
          <w:i/>
        </w:rPr>
        <w:t>Margin: The Journal of Applied Economic Research</w:t>
      </w:r>
      <w:r>
        <w:t>, 13(3):296–314, 2019.</w:t>
      </w:r>
    </w:p>
    <w:p w:rsidR="00502504" w:rsidRDefault="00000000" w:rsidP="009711AA">
      <w:pPr>
        <w:spacing w:after="0"/>
        <w:ind w:left="219" w:right="23" w:hanging="218"/>
      </w:pPr>
      <w:r>
        <w:t xml:space="preserve">M. Hashem </w:t>
      </w:r>
      <w:proofErr w:type="spellStart"/>
      <w:r>
        <w:t>Pesaran</w:t>
      </w:r>
      <w:proofErr w:type="spellEnd"/>
      <w:r>
        <w:t xml:space="preserve">, </w:t>
      </w:r>
      <w:proofErr w:type="spellStart"/>
      <w:r>
        <w:t>Yongcheol</w:t>
      </w:r>
      <w:proofErr w:type="spellEnd"/>
      <w:r>
        <w:t xml:space="preserve"> Shin, and Richard J. Smith. Bounds testing approaches to the analysis of level relationships. </w:t>
      </w:r>
      <w:r>
        <w:rPr>
          <w:i/>
        </w:rPr>
        <w:t>Journal of Applied Econometrics</w:t>
      </w:r>
      <w:r>
        <w:t>, 16(3):289–326, 2001.</w:t>
      </w:r>
    </w:p>
    <w:p w:rsidR="00502504" w:rsidRDefault="00000000" w:rsidP="009711AA">
      <w:pPr>
        <w:spacing w:after="0"/>
        <w:ind w:left="219" w:right="23" w:hanging="218"/>
      </w:pPr>
      <w:r>
        <w:t>Petroleum Planning and Analysis Cell. Indian PNG statistics 2023–24. Technical report, Ministry of Petroleum and Natural Gas, Government of India, 2024.</w:t>
      </w:r>
    </w:p>
    <w:p w:rsidR="00502504" w:rsidRDefault="00000000" w:rsidP="009711AA">
      <w:pPr>
        <w:spacing w:after="0"/>
        <w:ind w:left="219" w:right="23" w:hanging="218"/>
      </w:pPr>
      <w:r>
        <w:lastRenderedPageBreak/>
        <w:t xml:space="preserve">V. Pradeep. Asymmetric pass-through of oil prices to inflation in India: evidence after diesel price reforms. </w:t>
      </w:r>
      <w:r>
        <w:rPr>
          <w:i/>
        </w:rPr>
        <w:t>Journal of Economic Asymmetries</w:t>
      </w:r>
      <w:r>
        <w:t xml:space="preserve">, </w:t>
      </w:r>
      <w:proofErr w:type="gramStart"/>
      <w:r>
        <w:t>26:e</w:t>
      </w:r>
      <w:proofErr w:type="gramEnd"/>
      <w:r>
        <w:t>00253, 2022.</w:t>
      </w:r>
    </w:p>
    <w:p w:rsidR="00502504" w:rsidRDefault="00000000" w:rsidP="009711AA">
      <w:pPr>
        <w:spacing w:after="0"/>
        <w:ind w:left="219" w:right="23" w:hanging="218"/>
      </w:pPr>
      <w:r>
        <w:t>Reserve Bank of India. Report of the Expert Committee to revise and strengthen the monetary policy framework. Technical report, Reserve Bank of India, Mumbai, 2014.</w:t>
      </w:r>
    </w:p>
    <w:p w:rsidR="00502504" w:rsidRDefault="00000000" w:rsidP="009711AA">
      <w:pPr>
        <w:spacing w:after="0"/>
        <w:ind w:left="215" w:right="23" w:hanging="214"/>
      </w:pPr>
      <w:proofErr w:type="spellStart"/>
      <w:r>
        <w:t>Anver</w:t>
      </w:r>
      <w:proofErr w:type="spellEnd"/>
      <w:r>
        <w:t xml:space="preserve"> C. </w:t>
      </w:r>
      <w:proofErr w:type="spellStart"/>
      <w:r>
        <w:t>Sadath</w:t>
      </w:r>
      <w:proofErr w:type="spellEnd"/>
      <w:r>
        <w:t xml:space="preserve"> and Rajesh H. Acharya. Oil price shocks and Indian economy: </w:t>
      </w:r>
      <w:proofErr w:type="gramStart"/>
      <w:r>
        <w:t>an</w:t>
      </w:r>
      <w:proofErr w:type="gramEnd"/>
      <w:r>
        <w:t xml:space="preserve"> SVAR analysis. </w:t>
      </w:r>
      <w:r>
        <w:rPr>
          <w:i/>
        </w:rPr>
        <w:t>International Journal of Energy Sector Management</w:t>
      </w:r>
      <w:r>
        <w:t>, 15(2):402–424, 2021.</w:t>
      </w:r>
    </w:p>
    <w:p w:rsidR="00502504" w:rsidRDefault="00000000" w:rsidP="009711AA">
      <w:pPr>
        <w:spacing w:after="0"/>
        <w:ind w:left="219" w:right="23" w:hanging="218"/>
      </w:pPr>
      <w:r>
        <w:t xml:space="preserve">Siok Kun Sek. Unveiling the factors of oil versus non-oil sources in affecting the global commodity prices: a combination of ARDL-NARDL approaches. </w:t>
      </w:r>
      <w:proofErr w:type="spellStart"/>
      <w:r>
        <w:rPr>
          <w:i/>
        </w:rPr>
        <w:t>Panoeconomicus</w:t>
      </w:r>
      <w:proofErr w:type="spellEnd"/>
      <w:r>
        <w:t>, 66(2):189–206, 2019.</w:t>
      </w:r>
    </w:p>
    <w:p w:rsidR="00502504" w:rsidRDefault="00000000" w:rsidP="009711AA">
      <w:pPr>
        <w:spacing w:after="0"/>
        <w:ind w:left="219" w:right="23" w:hanging="218"/>
      </w:pPr>
      <w:proofErr w:type="spellStart"/>
      <w:r>
        <w:t>Yongcheol</w:t>
      </w:r>
      <w:proofErr w:type="spellEnd"/>
      <w:r>
        <w:t xml:space="preserve"> Shin, </w:t>
      </w:r>
      <w:proofErr w:type="spellStart"/>
      <w:r>
        <w:t>Byungchul</w:t>
      </w:r>
      <w:proofErr w:type="spellEnd"/>
      <w:r>
        <w:t xml:space="preserve"> Yu, and Matthew Greenwood-Nimmo. Modelling asymmetric cointegration and dynamic multipliers in a nonlinear ARDL framework. In Robin C. Sickles and William C. Horrace, editors, </w:t>
      </w:r>
      <w:r>
        <w:rPr>
          <w:i/>
        </w:rPr>
        <w:t>Festschrift in Honor of Peter Schmidt</w:t>
      </w:r>
      <w:r>
        <w:t>, pages 281–314. Springer, New York, 2014.</w:t>
      </w:r>
    </w:p>
    <w:p w:rsidR="00502504" w:rsidRDefault="00000000" w:rsidP="009711AA">
      <w:pPr>
        <w:spacing w:after="0"/>
        <w:ind w:left="219" w:right="23" w:hanging="218"/>
      </w:pPr>
      <w:r>
        <w:t xml:space="preserve">K. Suresh, M. Naveen, and R. V. Naveenan. Long-run asymmetric oil pass-through to India’s wholesale prices: a NARDL analysis. </w:t>
      </w:r>
      <w:r>
        <w:rPr>
          <w:i/>
        </w:rPr>
        <w:t>Foreign Trade Review</w:t>
      </w:r>
      <w:r>
        <w:t>, 61(1):45–72, 2026.</w:t>
      </w:r>
    </w:p>
    <w:p w:rsidR="00502504" w:rsidRDefault="00000000" w:rsidP="009711AA">
      <w:pPr>
        <w:pStyle w:val="Heading1"/>
        <w:numPr>
          <w:ilvl w:val="0"/>
          <w:numId w:val="0"/>
        </w:numPr>
        <w:spacing w:after="0"/>
        <w:ind w:left="11"/>
      </w:pPr>
      <w:r>
        <w:t>Appendix A. Supplementary nonlinear long-run evidence</w:t>
      </w:r>
    </w:p>
    <w:p w:rsidR="00502504" w:rsidRDefault="00000000" w:rsidP="009711AA">
      <w:pPr>
        <w:spacing w:after="0"/>
        <w:ind w:left="1" w:right="23"/>
      </w:pPr>
      <w:r>
        <w:t xml:space="preserve">The NARDL bounds battery reported in this appendix follows </w:t>
      </w:r>
      <w:proofErr w:type="spellStart"/>
      <w:r>
        <w:rPr>
          <w:color w:val="000099"/>
        </w:rPr>
        <w:t>Pesaran</w:t>
      </w:r>
      <w:proofErr w:type="spellEnd"/>
      <w:r>
        <w:rPr>
          <w:color w:val="000099"/>
        </w:rPr>
        <w:t xml:space="preserve"> et al. </w:t>
      </w:r>
      <w:r>
        <w:t>(</w:t>
      </w:r>
      <w:r>
        <w:rPr>
          <w:color w:val="000099"/>
        </w:rPr>
        <w:t>2001</w:t>
      </w:r>
      <w:r>
        <w:t xml:space="preserve">) for the bounds test and </w:t>
      </w:r>
      <w:r>
        <w:rPr>
          <w:color w:val="000099"/>
        </w:rPr>
        <w:t xml:space="preserve">Shin et al. </w:t>
      </w:r>
      <w:r>
        <w:t>(</w:t>
      </w:r>
      <w:r>
        <w:rPr>
          <w:color w:val="000099"/>
        </w:rPr>
        <w:t>2014</w:t>
      </w:r>
      <w:r>
        <w:t xml:space="preserve">) for the asymmetric long-run decomposition. Models are estimated with case 3 (unrestricted intercept, no trend) and AIC lag selection up to four lags. All specifications cover April 1997 to March 2025. Table </w:t>
      </w:r>
      <w:r>
        <w:rPr>
          <w:color w:val="000099"/>
        </w:rPr>
        <w:t xml:space="preserve">7 </w:t>
      </w:r>
      <w:proofErr w:type="spellStart"/>
      <w:r>
        <w:t>summarises</w:t>
      </w:r>
      <w:proofErr w:type="spellEnd"/>
      <w:r>
        <w:t xml:space="preserve"> the bounds-F statistic, the error-correction coefficient and its </w:t>
      </w:r>
      <w:r>
        <w:rPr>
          <w:i/>
        </w:rPr>
        <w:t>p</w:t>
      </w:r>
      <w:r>
        <w:t xml:space="preserve">-value, and short- and long-run asymmetry </w:t>
      </w:r>
      <w:r>
        <w:rPr>
          <w:i/>
        </w:rPr>
        <w:t>p</w:t>
      </w:r>
      <w:r>
        <w:t xml:space="preserve">-values. Long-run multipliers are reported in the project output file </w:t>
      </w:r>
      <w:proofErr w:type="spellStart"/>
      <w:r>
        <w:t>wpi</w:t>
      </w:r>
      <w:proofErr w:type="spellEnd"/>
      <w:r>
        <w:t>/outputs/tables/table_08_nardl_long_run.csv; we omit the levels coefficients here for space.</w:t>
      </w:r>
    </w:p>
    <w:p w:rsidR="00502504" w:rsidRDefault="00000000" w:rsidP="009711AA">
      <w:pPr>
        <w:spacing w:after="0" w:line="248" w:lineRule="auto"/>
        <w:ind w:left="10" w:right="28" w:hanging="10"/>
        <w:jc w:val="center"/>
      </w:pPr>
      <w:r>
        <w:rPr>
          <w:sz w:val="20"/>
        </w:rPr>
        <w:t>Table 7: Appendix NARDL bounds battery. April 1997 to March 2025.</w:t>
      </w:r>
    </w:p>
    <w:tbl>
      <w:tblPr>
        <w:tblStyle w:val="TableGrid"/>
        <w:tblW w:w="6006" w:type="dxa"/>
        <w:tblInd w:w="1526" w:type="dxa"/>
        <w:tblCellMar>
          <w:top w:w="32" w:type="dxa"/>
          <w:left w:w="0" w:type="dxa"/>
          <w:bottom w:w="0" w:type="dxa"/>
          <w:right w:w="100" w:type="dxa"/>
        </w:tblCellMar>
        <w:tblLook w:val="04A0" w:firstRow="1" w:lastRow="0" w:firstColumn="1" w:lastColumn="0" w:noHBand="0" w:noVBand="1"/>
      </w:tblPr>
      <w:tblGrid>
        <w:gridCol w:w="2228"/>
        <w:gridCol w:w="468"/>
        <w:gridCol w:w="932"/>
        <w:gridCol w:w="747"/>
        <w:gridCol w:w="686"/>
        <w:gridCol w:w="945"/>
      </w:tblGrid>
      <w:tr w:rsidR="00502504">
        <w:trPr>
          <w:trHeight w:val="336"/>
        </w:trPr>
        <w:tc>
          <w:tcPr>
            <w:tcW w:w="2228" w:type="dxa"/>
            <w:tcBorders>
              <w:top w:val="single" w:sz="7" w:space="0" w:color="000000"/>
              <w:left w:val="nil"/>
              <w:bottom w:val="single" w:sz="4" w:space="0" w:color="000000"/>
              <w:right w:val="nil"/>
            </w:tcBorders>
          </w:tcPr>
          <w:p w:rsidR="00502504" w:rsidRDefault="00000000" w:rsidP="009711AA">
            <w:pPr>
              <w:spacing w:after="0" w:line="259" w:lineRule="auto"/>
              <w:ind w:left="100"/>
              <w:jc w:val="left"/>
            </w:pPr>
            <w:r>
              <w:rPr>
                <w:sz w:val="18"/>
              </w:rPr>
              <w:t>Specification</w:t>
            </w:r>
          </w:p>
        </w:tc>
        <w:tc>
          <w:tcPr>
            <w:tcW w:w="468" w:type="dxa"/>
            <w:tcBorders>
              <w:top w:val="single" w:sz="7" w:space="0" w:color="000000"/>
              <w:left w:val="nil"/>
              <w:bottom w:val="single" w:sz="4" w:space="0" w:color="000000"/>
              <w:right w:val="nil"/>
            </w:tcBorders>
          </w:tcPr>
          <w:p w:rsidR="00502504" w:rsidRDefault="00000000" w:rsidP="009711AA">
            <w:pPr>
              <w:spacing w:after="0" w:line="259" w:lineRule="auto"/>
              <w:ind w:left="69"/>
              <w:jc w:val="left"/>
            </w:pPr>
            <w:r>
              <w:rPr>
                <w:i/>
                <w:sz w:val="18"/>
              </w:rPr>
              <w:t>N</w:t>
            </w:r>
          </w:p>
        </w:tc>
        <w:tc>
          <w:tcPr>
            <w:tcW w:w="932" w:type="dxa"/>
            <w:tcBorders>
              <w:top w:val="single" w:sz="7" w:space="0" w:color="000000"/>
              <w:left w:val="nil"/>
              <w:bottom w:val="single" w:sz="4" w:space="0" w:color="000000"/>
              <w:right w:val="nil"/>
            </w:tcBorders>
          </w:tcPr>
          <w:p w:rsidR="00502504" w:rsidRDefault="00000000" w:rsidP="009711AA">
            <w:pPr>
              <w:spacing w:after="0" w:line="259" w:lineRule="auto"/>
              <w:ind w:left="0"/>
              <w:jc w:val="left"/>
            </w:pPr>
            <w:r>
              <w:rPr>
                <w:sz w:val="18"/>
              </w:rPr>
              <w:t>Bounds-</w:t>
            </w:r>
            <w:r>
              <w:rPr>
                <w:i/>
                <w:sz w:val="18"/>
              </w:rPr>
              <w:t>F</w:t>
            </w:r>
          </w:p>
        </w:tc>
        <w:tc>
          <w:tcPr>
            <w:tcW w:w="747" w:type="dxa"/>
            <w:tcBorders>
              <w:top w:val="single" w:sz="7" w:space="0" w:color="000000"/>
              <w:left w:val="nil"/>
              <w:bottom w:val="single" w:sz="4" w:space="0" w:color="000000"/>
              <w:right w:val="nil"/>
            </w:tcBorders>
          </w:tcPr>
          <w:p w:rsidR="00502504" w:rsidRDefault="00000000" w:rsidP="009711AA">
            <w:pPr>
              <w:spacing w:after="0" w:line="259" w:lineRule="auto"/>
              <w:ind w:left="104"/>
              <w:jc w:val="left"/>
            </w:pPr>
            <w:r>
              <w:rPr>
                <w:sz w:val="18"/>
              </w:rPr>
              <w:t>ECT</w:t>
            </w:r>
          </w:p>
        </w:tc>
        <w:tc>
          <w:tcPr>
            <w:tcW w:w="686" w:type="dxa"/>
            <w:tcBorders>
              <w:top w:val="single" w:sz="7" w:space="0" w:color="000000"/>
              <w:left w:val="nil"/>
              <w:bottom w:val="single" w:sz="4" w:space="0" w:color="000000"/>
              <w:right w:val="nil"/>
            </w:tcBorders>
          </w:tcPr>
          <w:p w:rsidR="00502504" w:rsidRDefault="00000000" w:rsidP="009711AA">
            <w:pPr>
              <w:spacing w:after="0" w:line="259" w:lineRule="auto"/>
              <w:ind w:left="0"/>
              <w:jc w:val="left"/>
            </w:pPr>
            <w:r>
              <w:rPr>
                <w:sz w:val="18"/>
              </w:rPr>
              <w:t xml:space="preserve">ECT </w:t>
            </w:r>
            <w:r>
              <w:rPr>
                <w:i/>
                <w:sz w:val="18"/>
              </w:rPr>
              <w:t>p</w:t>
            </w:r>
          </w:p>
        </w:tc>
        <w:tc>
          <w:tcPr>
            <w:tcW w:w="945" w:type="dxa"/>
            <w:tcBorders>
              <w:top w:val="single" w:sz="7" w:space="0" w:color="000000"/>
              <w:left w:val="nil"/>
              <w:bottom w:val="single" w:sz="4" w:space="0" w:color="000000"/>
              <w:right w:val="nil"/>
            </w:tcBorders>
          </w:tcPr>
          <w:p w:rsidR="00502504" w:rsidRDefault="00000000" w:rsidP="009711AA">
            <w:pPr>
              <w:spacing w:after="0" w:line="259" w:lineRule="auto"/>
              <w:ind w:left="0"/>
              <w:jc w:val="left"/>
            </w:pPr>
            <w:r>
              <w:rPr>
                <w:sz w:val="18"/>
              </w:rPr>
              <w:t xml:space="preserve">LR </w:t>
            </w:r>
            <w:proofErr w:type="spellStart"/>
            <w:r>
              <w:rPr>
                <w:sz w:val="18"/>
              </w:rPr>
              <w:t>asym</w:t>
            </w:r>
            <w:proofErr w:type="spellEnd"/>
            <w:r>
              <w:rPr>
                <w:sz w:val="18"/>
              </w:rPr>
              <w:t xml:space="preserve">. </w:t>
            </w:r>
            <w:r>
              <w:rPr>
                <w:i/>
                <w:sz w:val="18"/>
              </w:rPr>
              <w:t>p</w:t>
            </w:r>
          </w:p>
        </w:tc>
      </w:tr>
      <w:tr w:rsidR="00502504">
        <w:trPr>
          <w:trHeight w:val="284"/>
        </w:trPr>
        <w:tc>
          <w:tcPr>
            <w:tcW w:w="2228" w:type="dxa"/>
            <w:tcBorders>
              <w:top w:val="single" w:sz="4" w:space="0" w:color="000000"/>
              <w:left w:val="nil"/>
              <w:bottom w:val="nil"/>
              <w:right w:val="nil"/>
            </w:tcBorders>
          </w:tcPr>
          <w:p w:rsidR="00502504" w:rsidRDefault="00000000" w:rsidP="009711AA">
            <w:pPr>
              <w:spacing w:after="0" w:line="259" w:lineRule="auto"/>
              <w:ind w:left="100"/>
              <w:jc w:val="left"/>
            </w:pPr>
            <w:proofErr w:type="spellStart"/>
            <w:r>
              <w:rPr>
                <w:sz w:val="18"/>
              </w:rPr>
              <w:t>lnWPI</w:t>
            </w:r>
            <w:proofErr w:type="spellEnd"/>
            <w:r>
              <w:rPr>
                <w:sz w:val="18"/>
              </w:rPr>
              <w:t xml:space="preserve"> </w:t>
            </w:r>
            <w:r>
              <w:rPr>
                <w:rFonts w:ascii="Cambria" w:eastAsia="Cambria" w:hAnsi="Cambria" w:cs="Cambria"/>
                <w:sz w:val="18"/>
              </w:rPr>
              <w:t xml:space="preserve">∼ </w:t>
            </w:r>
            <w:proofErr w:type="spellStart"/>
            <w:r>
              <w:rPr>
                <w:sz w:val="18"/>
              </w:rPr>
              <w:t>lnBrent</w:t>
            </w:r>
            <w:proofErr w:type="spellEnd"/>
          </w:p>
        </w:tc>
        <w:tc>
          <w:tcPr>
            <w:tcW w:w="468" w:type="dxa"/>
            <w:tcBorders>
              <w:top w:val="single" w:sz="4" w:space="0" w:color="000000"/>
              <w:left w:val="nil"/>
              <w:bottom w:val="nil"/>
              <w:right w:val="nil"/>
            </w:tcBorders>
          </w:tcPr>
          <w:p w:rsidR="00502504" w:rsidRDefault="00000000" w:rsidP="009711AA">
            <w:pPr>
              <w:spacing w:after="0" w:line="259" w:lineRule="auto"/>
              <w:ind w:left="0"/>
              <w:jc w:val="left"/>
            </w:pPr>
            <w:r>
              <w:rPr>
                <w:sz w:val="18"/>
              </w:rPr>
              <w:t>333</w:t>
            </w:r>
          </w:p>
        </w:tc>
        <w:tc>
          <w:tcPr>
            <w:tcW w:w="932" w:type="dxa"/>
            <w:tcBorders>
              <w:top w:val="single" w:sz="4" w:space="0" w:color="000000"/>
              <w:left w:val="nil"/>
              <w:bottom w:val="nil"/>
              <w:right w:val="nil"/>
            </w:tcBorders>
          </w:tcPr>
          <w:p w:rsidR="00502504" w:rsidRDefault="00000000" w:rsidP="009711AA">
            <w:pPr>
              <w:spacing w:after="0" w:line="259" w:lineRule="auto"/>
              <w:ind w:left="164"/>
              <w:jc w:val="left"/>
            </w:pPr>
            <w:r>
              <w:rPr>
                <w:sz w:val="18"/>
              </w:rPr>
              <w:t>27.66</w:t>
            </w:r>
          </w:p>
        </w:tc>
        <w:tc>
          <w:tcPr>
            <w:tcW w:w="747" w:type="dxa"/>
            <w:tcBorders>
              <w:top w:val="single" w:sz="4" w:space="0" w:color="000000"/>
              <w:left w:val="nil"/>
              <w:bottom w:val="nil"/>
              <w:right w:val="nil"/>
            </w:tcBorders>
          </w:tcPr>
          <w:p w:rsidR="00502504" w:rsidRDefault="00000000" w:rsidP="009711AA">
            <w:pPr>
              <w:spacing w:after="0" w:line="259" w:lineRule="auto"/>
              <w:ind w:left="0"/>
              <w:jc w:val="left"/>
            </w:pPr>
            <w:r>
              <w:rPr>
                <w:rFonts w:ascii="Cambria" w:eastAsia="Cambria" w:hAnsi="Cambria" w:cs="Cambria"/>
                <w:sz w:val="18"/>
              </w:rPr>
              <w:t>−</w:t>
            </w:r>
            <w:r>
              <w:rPr>
                <w:sz w:val="18"/>
              </w:rPr>
              <w:t>0</w:t>
            </w:r>
            <w:r>
              <w:rPr>
                <w:rFonts w:ascii="Cambria" w:eastAsia="Cambria" w:hAnsi="Cambria" w:cs="Cambria"/>
                <w:i/>
                <w:sz w:val="18"/>
              </w:rPr>
              <w:t>.</w:t>
            </w:r>
            <w:r>
              <w:rPr>
                <w:sz w:val="18"/>
              </w:rPr>
              <w:t>019</w:t>
            </w:r>
          </w:p>
        </w:tc>
        <w:tc>
          <w:tcPr>
            <w:tcW w:w="686" w:type="dxa"/>
            <w:tcBorders>
              <w:top w:val="single" w:sz="4" w:space="0" w:color="000000"/>
              <w:left w:val="nil"/>
              <w:bottom w:val="nil"/>
              <w:right w:val="nil"/>
            </w:tcBorders>
          </w:tcPr>
          <w:p w:rsidR="00502504" w:rsidRDefault="00000000" w:rsidP="009711AA">
            <w:pPr>
              <w:spacing w:after="0" w:line="259" w:lineRule="auto"/>
              <w:ind w:left="41"/>
              <w:jc w:val="left"/>
            </w:pPr>
            <w:r>
              <w:rPr>
                <w:sz w:val="18"/>
              </w:rPr>
              <w:t>0.005</w:t>
            </w:r>
          </w:p>
        </w:tc>
        <w:tc>
          <w:tcPr>
            <w:tcW w:w="945" w:type="dxa"/>
            <w:tcBorders>
              <w:top w:val="single" w:sz="4" w:space="0" w:color="000000"/>
              <w:left w:val="nil"/>
              <w:bottom w:val="nil"/>
              <w:right w:val="nil"/>
            </w:tcBorders>
          </w:tcPr>
          <w:p w:rsidR="00502504" w:rsidRDefault="00000000" w:rsidP="009711AA">
            <w:pPr>
              <w:spacing w:after="0" w:line="259" w:lineRule="auto"/>
              <w:ind w:left="221"/>
              <w:jc w:val="left"/>
            </w:pPr>
            <w:r>
              <w:rPr>
                <w:sz w:val="18"/>
              </w:rPr>
              <w:t>0.001</w:t>
            </w:r>
          </w:p>
        </w:tc>
      </w:tr>
      <w:tr w:rsidR="00502504">
        <w:trPr>
          <w:trHeight w:val="209"/>
        </w:trPr>
        <w:tc>
          <w:tcPr>
            <w:tcW w:w="2228" w:type="dxa"/>
            <w:tcBorders>
              <w:top w:val="nil"/>
              <w:left w:val="nil"/>
              <w:bottom w:val="nil"/>
              <w:right w:val="nil"/>
            </w:tcBorders>
          </w:tcPr>
          <w:p w:rsidR="00502504" w:rsidRDefault="00000000" w:rsidP="009711AA">
            <w:pPr>
              <w:spacing w:after="0" w:line="259" w:lineRule="auto"/>
              <w:ind w:left="100"/>
              <w:jc w:val="left"/>
            </w:pPr>
            <w:proofErr w:type="spellStart"/>
            <w:r>
              <w:rPr>
                <w:sz w:val="18"/>
              </w:rPr>
              <w:t>lnWPI</w:t>
            </w:r>
            <w:proofErr w:type="spellEnd"/>
            <w:r>
              <w:rPr>
                <w:sz w:val="18"/>
              </w:rPr>
              <w:t xml:space="preserve"> </w:t>
            </w:r>
            <w:r>
              <w:rPr>
                <w:rFonts w:ascii="Cambria" w:eastAsia="Cambria" w:hAnsi="Cambria" w:cs="Cambria"/>
                <w:sz w:val="18"/>
              </w:rPr>
              <w:t xml:space="preserve">∼ </w:t>
            </w:r>
            <w:proofErr w:type="spellStart"/>
            <w:r>
              <w:rPr>
                <w:sz w:val="18"/>
              </w:rPr>
              <w:t>lnBrent</w:t>
            </w:r>
            <w:proofErr w:type="spellEnd"/>
            <w:r>
              <w:rPr>
                <w:sz w:val="18"/>
              </w:rPr>
              <w:t xml:space="preserve"> </w:t>
            </w:r>
            <w:r>
              <w:rPr>
                <w:rFonts w:ascii="Cambria" w:eastAsia="Cambria" w:hAnsi="Cambria" w:cs="Cambria"/>
                <w:sz w:val="18"/>
              </w:rPr>
              <w:t xml:space="preserve">| </w:t>
            </w:r>
            <w:proofErr w:type="spellStart"/>
            <w:r>
              <w:rPr>
                <w:sz w:val="18"/>
              </w:rPr>
              <w:t>lnEXR</w:t>
            </w:r>
            <w:proofErr w:type="spellEnd"/>
          </w:p>
        </w:tc>
        <w:tc>
          <w:tcPr>
            <w:tcW w:w="468" w:type="dxa"/>
            <w:tcBorders>
              <w:top w:val="nil"/>
              <w:left w:val="nil"/>
              <w:bottom w:val="nil"/>
              <w:right w:val="nil"/>
            </w:tcBorders>
          </w:tcPr>
          <w:p w:rsidR="00502504" w:rsidRDefault="00000000" w:rsidP="009711AA">
            <w:pPr>
              <w:spacing w:after="0" w:line="259" w:lineRule="auto"/>
              <w:ind w:left="0"/>
              <w:jc w:val="left"/>
            </w:pPr>
            <w:r>
              <w:rPr>
                <w:sz w:val="18"/>
              </w:rPr>
              <w:t>333</w:t>
            </w:r>
          </w:p>
        </w:tc>
        <w:tc>
          <w:tcPr>
            <w:tcW w:w="932" w:type="dxa"/>
            <w:tcBorders>
              <w:top w:val="nil"/>
              <w:left w:val="nil"/>
              <w:bottom w:val="nil"/>
              <w:right w:val="nil"/>
            </w:tcBorders>
          </w:tcPr>
          <w:p w:rsidR="00502504" w:rsidRDefault="00000000" w:rsidP="009711AA">
            <w:pPr>
              <w:spacing w:after="0" w:line="259" w:lineRule="auto"/>
              <w:ind w:left="164"/>
              <w:jc w:val="left"/>
            </w:pPr>
            <w:r>
              <w:rPr>
                <w:sz w:val="18"/>
              </w:rPr>
              <w:t>21.40</w:t>
            </w:r>
          </w:p>
        </w:tc>
        <w:tc>
          <w:tcPr>
            <w:tcW w:w="747" w:type="dxa"/>
            <w:tcBorders>
              <w:top w:val="nil"/>
              <w:left w:val="nil"/>
              <w:bottom w:val="nil"/>
              <w:right w:val="nil"/>
            </w:tcBorders>
          </w:tcPr>
          <w:p w:rsidR="00502504" w:rsidRDefault="00000000" w:rsidP="009711AA">
            <w:pPr>
              <w:spacing w:after="0" w:line="259" w:lineRule="auto"/>
              <w:ind w:left="0"/>
              <w:jc w:val="left"/>
            </w:pPr>
            <w:r>
              <w:rPr>
                <w:rFonts w:ascii="Cambria" w:eastAsia="Cambria" w:hAnsi="Cambria" w:cs="Cambria"/>
                <w:sz w:val="18"/>
              </w:rPr>
              <w:t>−</w:t>
            </w:r>
            <w:r>
              <w:rPr>
                <w:sz w:val="18"/>
              </w:rPr>
              <w:t>0</w:t>
            </w:r>
            <w:r>
              <w:rPr>
                <w:rFonts w:ascii="Cambria" w:eastAsia="Cambria" w:hAnsi="Cambria" w:cs="Cambria"/>
                <w:i/>
                <w:sz w:val="18"/>
              </w:rPr>
              <w:t>.</w:t>
            </w:r>
            <w:r>
              <w:rPr>
                <w:sz w:val="18"/>
              </w:rPr>
              <w:t>019</w:t>
            </w:r>
          </w:p>
        </w:tc>
        <w:tc>
          <w:tcPr>
            <w:tcW w:w="686" w:type="dxa"/>
            <w:tcBorders>
              <w:top w:val="nil"/>
              <w:left w:val="nil"/>
              <w:bottom w:val="nil"/>
              <w:right w:val="nil"/>
            </w:tcBorders>
          </w:tcPr>
          <w:p w:rsidR="00502504" w:rsidRDefault="00000000" w:rsidP="009711AA">
            <w:pPr>
              <w:spacing w:after="0" w:line="259" w:lineRule="auto"/>
              <w:ind w:left="42"/>
              <w:jc w:val="left"/>
            </w:pPr>
            <w:r>
              <w:rPr>
                <w:sz w:val="18"/>
              </w:rPr>
              <w:t>0.006</w:t>
            </w:r>
          </w:p>
        </w:tc>
        <w:tc>
          <w:tcPr>
            <w:tcW w:w="945" w:type="dxa"/>
            <w:tcBorders>
              <w:top w:val="nil"/>
              <w:left w:val="nil"/>
              <w:bottom w:val="nil"/>
              <w:right w:val="nil"/>
            </w:tcBorders>
          </w:tcPr>
          <w:p w:rsidR="00502504" w:rsidRDefault="00000000" w:rsidP="009711AA">
            <w:pPr>
              <w:spacing w:after="0" w:line="259" w:lineRule="auto"/>
              <w:ind w:left="221"/>
              <w:jc w:val="left"/>
            </w:pPr>
            <w:r>
              <w:rPr>
                <w:sz w:val="18"/>
              </w:rPr>
              <w:t>0.000</w:t>
            </w:r>
          </w:p>
        </w:tc>
      </w:tr>
      <w:tr w:rsidR="00502504">
        <w:trPr>
          <w:trHeight w:val="224"/>
        </w:trPr>
        <w:tc>
          <w:tcPr>
            <w:tcW w:w="2228" w:type="dxa"/>
            <w:tcBorders>
              <w:top w:val="nil"/>
              <w:left w:val="nil"/>
              <w:bottom w:val="nil"/>
              <w:right w:val="nil"/>
            </w:tcBorders>
          </w:tcPr>
          <w:p w:rsidR="00502504" w:rsidRDefault="00000000" w:rsidP="009711AA">
            <w:pPr>
              <w:spacing w:after="0" w:line="259" w:lineRule="auto"/>
              <w:ind w:left="100"/>
              <w:jc w:val="left"/>
            </w:pPr>
            <w:proofErr w:type="spellStart"/>
            <w:r>
              <w:rPr>
                <w:sz w:val="18"/>
              </w:rPr>
              <w:t>lnWPI</w:t>
            </w:r>
            <w:proofErr w:type="spellEnd"/>
            <w:r>
              <w:rPr>
                <w:sz w:val="18"/>
              </w:rPr>
              <w:t xml:space="preserve"> </w:t>
            </w:r>
            <w:r>
              <w:rPr>
                <w:rFonts w:ascii="Cambria" w:eastAsia="Cambria" w:hAnsi="Cambria" w:cs="Cambria"/>
                <w:sz w:val="18"/>
              </w:rPr>
              <w:t xml:space="preserve">∼ </w:t>
            </w:r>
            <w:proofErr w:type="spellStart"/>
            <w:r>
              <w:rPr>
                <w:sz w:val="18"/>
              </w:rPr>
              <w:t>lnOil</w:t>
            </w:r>
            <w:r>
              <w:rPr>
                <w:sz w:val="18"/>
                <w:vertAlign w:val="superscript"/>
              </w:rPr>
              <w:t>INR</w:t>
            </w:r>
            <w:proofErr w:type="spellEnd"/>
          </w:p>
        </w:tc>
        <w:tc>
          <w:tcPr>
            <w:tcW w:w="468" w:type="dxa"/>
            <w:tcBorders>
              <w:top w:val="nil"/>
              <w:left w:val="nil"/>
              <w:bottom w:val="nil"/>
              <w:right w:val="nil"/>
            </w:tcBorders>
          </w:tcPr>
          <w:p w:rsidR="00502504" w:rsidRDefault="00000000" w:rsidP="009711AA">
            <w:pPr>
              <w:spacing w:after="0" w:line="259" w:lineRule="auto"/>
              <w:ind w:left="0"/>
              <w:jc w:val="left"/>
            </w:pPr>
            <w:r>
              <w:rPr>
                <w:sz w:val="18"/>
              </w:rPr>
              <w:t>331</w:t>
            </w:r>
          </w:p>
        </w:tc>
        <w:tc>
          <w:tcPr>
            <w:tcW w:w="932" w:type="dxa"/>
            <w:tcBorders>
              <w:top w:val="nil"/>
              <w:left w:val="nil"/>
              <w:bottom w:val="nil"/>
              <w:right w:val="nil"/>
            </w:tcBorders>
          </w:tcPr>
          <w:p w:rsidR="00502504" w:rsidRDefault="00000000" w:rsidP="009711AA">
            <w:pPr>
              <w:spacing w:after="0" w:line="259" w:lineRule="auto"/>
              <w:ind w:left="164"/>
              <w:jc w:val="left"/>
            </w:pPr>
            <w:r>
              <w:rPr>
                <w:sz w:val="18"/>
              </w:rPr>
              <w:t>21.43</w:t>
            </w:r>
          </w:p>
        </w:tc>
        <w:tc>
          <w:tcPr>
            <w:tcW w:w="747" w:type="dxa"/>
            <w:tcBorders>
              <w:top w:val="nil"/>
              <w:left w:val="nil"/>
              <w:bottom w:val="nil"/>
              <w:right w:val="nil"/>
            </w:tcBorders>
          </w:tcPr>
          <w:p w:rsidR="00502504" w:rsidRDefault="00000000" w:rsidP="009711AA">
            <w:pPr>
              <w:spacing w:after="0" w:line="259" w:lineRule="auto"/>
              <w:ind w:left="0"/>
              <w:jc w:val="left"/>
            </w:pPr>
            <w:r>
              <w:rPr>
                <w:rFonts w:ascii="Cambria" w:eastAsia="Cambria" w:hAnsi="Cambria" w:cs="Cambria"/>
                <w:sz w:val="18"/>
              </w:rPr>
              <w:t>−</w:t>
            </w:r>
            <w:r>
              <w:rPr>
                <w:sz w:val="18"/>
              </w:rPr>
              <w:t>0</w:t>
            </w:r>
            <w:r>
              <w:rPr>
                <w:rFonts w:ascii="Cambria" w:eastAsia="Cambria" w:hAnsi="Cambria" w:cs="Cambria"/>
                <w:i/>
                <w:sz w:val="18"/>
              </w:rPr>
              <w:t>.</w:t>
            </w:r>
            <w:r>
              <w:rPr>
                <w:sz w:val="18"/>
              </w:rPr>
              <w:t>017</w:t>
            </w:r>
          </w:p>
        </w:tc>
        <w:tc>
          <w:tcPr>
            <w:tcW w:w="686" w:type="dxa"/>
            <w:tcBorders>
              <w:top w:val="nil"/>
              <w:left w:val="nil"/>
              <w:bottom w:val="nil"/>
              <w:right w:val="nil"/>
            </w:tcBorders>
          </w:tcPr>
          <w:p w:rsidR="00502504" w:rsidRDefault="00000000" w:rsidP="009711AA">
            <w:pPr>
              <w:spacing w:after="0" w:line="259" w:lineRule="auto"/>
              <w:ind w:left="42"/>
              <w:jc w:val="left"/>
            </w:pPr>
            <w:r>
              <w:rPr>
                <w:sz w:val="18"/>
              </w:rPr>
              <w:t>0.011</w:t>
            </w:r>
          </w:p>
        </w:tc>
        <w:tc>
          <w:tcPr>
            <w:tcW w:w="945" w:type="dxa"/>
            <w:tcBorders>
              <w:top w:val="nil"/>
              <w:left w:val="nil"/>
              <w:bottom w:val="nil"/>
              <w:right w:val="nil"/>
            </w:tcBorders>
          </w:tcPr>
          <w:p w:rsidR="00502504" w:rsidRDefault="00000000" w:rsidP="009711AA">
            <w:pPr>
              <w:spacing w:after="0" w:line="259" w:lineRule="auto"/>
              <w:ind w:left="221"/>
              <w:jc w:val="left"/>
            </w:pPr>
            <w:r>
              <w:rPr>
                <w:sz w:val="18"/>
              </w:rPr>
              <w:t>0.023</w:t>
            </w:r>
          </w:p>
        </w:tc>
      </w:tr>
      <w:tr w:rsidR="00502504">
        <w:trPr>
          <w:trHeight w:val="286"/>
        </w:trPr>
        <w:tc>
          <w:tcPr>
            <w:tcW w:w="2228" w:type="dxa"/>
            <w:tcBorders>
              <w:top w:val="nil"/>
              <w:left w:val="nil"/>
              <w:bottom w:val="single" w:sz="7" w:space="0" w:color="000000"/>
              <w:right w:val="nil"/>
            </w:tcBorders>
          </w:tcPr>
          <w:p w:rsidR="00502504" w:rsidRDefault="00000000" w:rsidP="009711AA">
            <w:pPr>
              <w:spacing w:after="0" w:line="259" w:lineRule="auto"/>
              <w:ind w:left="100"/>
              <w:jc w:val="left"/>
            </w:pPr>
            <w:proofErr w:type="spellStart"/>
            <w:r>
              <w:rPr>
                <w:sz w:val="18"/>
              </w:rPr>
              <w:t>lnFuel&amp;Power</w:t>
            </w:r>
            <w:proofErr w:type="spellEnd"/>
            <w:r>
              <w:rPr>
                <w:sz w:val="18"/>
              </w:rPr>
              <w:t xml:space="preserve"> </w:t>
            </w:r>
            <w:r>
              <w:rPr>
                <w:rFonts w:ascii="Cambria" w:eastAsia="Cambria" w:hAnsi="Cambria" w:cs="Cambria"/>
                <w:sz w:val="18"/>
              </w:rPr>
              <w:t xml:space="preserve">∼ </w:t>
            </w:r>
            <w:proofErr w:type="spellStart"/>
            <w:r>
              <w:rPr>
                <w:sz w:val="18"/>
              </w:rPr>
              <w:t>lnOil</w:t>
            </w:r>
            <w:r>
              <w:rPr>
                <w:sz w:val="18"/>
                <w:vertAlign w:val="superscript"/>
              </w:rPr>
              <w:t>INR</w:t>
            </w:r>
            <w:proofErr w:type="spellEnd"/>
          </w:p>
        </w:tc>
        <w:tc>
          <w:tcPr>
            <w:tcW w:w="468" w:type="dxa"/>
            <w:tcBorders>
              <w:top w:val="nil"/>
              <w:left w:val="nil"/>
              <w:bottom w:val="single" w:sz="7" w:space="0" w:color="000000"/>
              <w:right w:val="nil"/>
            </w:tcBorders>
          </w:tcPr>
          <w:p w:rsidR="00502504" w:rsidRDefault="00000000" w:rsidP="009711AA">
            <w:pPr>
              <w:spacing w:after="0" w:line="259" w:lineRule="auto"/>
              <w:ind w:left="0"/>
              <w:jc w:val="left"/>
            </w:pPr>
            <w:r>
              <w:rPr>
                <w:sz w:val="18"/>
              </w:rPr>
              <w:t>331</w:t>
            </w:r>
          </w:p>
        </w:tc>
        <w:tc>
          <w:tcPr>
            <w:tcW w:w="932" w:type="dxa"/>
            <w:tcBorders>
              <w:top w:val="nil"/>
              <w:left w:val="nil"/>
              <w:bottom w:val="single" w:sz="7" w:space="0" w:color="000000"/>
              <w:right w:val="nil"/>
            </w:tcBorders>
          </w:tcPr>
          <w:p w:rsidR="00502504" w:rsidRDefault="00000000" w:rsidP="009711AA">
            <w:pPr>
              <w:spacing w:after="0" w:line="259" w:lineRule="auto"/>
              <w:ind w:left="164"/>
              <w:jc w:val="left"/>
            </w:pPr>
            <w:r>
              <w:rPr>
                <w:sz w:val="18"/>
              </w:rPr>
              <w:t>34.15</w:t>
            </w:r>
          </w:p>
        </w:tc>
        <w:tc>
          <w:tcPr>
            <w:tcW w:w="747" w:type="dxa"/>
            <w:tcBorders>
              <w:top w:val="nil"/>
              <w:left w:val="nil"/>
              <w:bottom w:val="single" w:sz="7" w:space="0" w:color="000000"/>
              <w:right w:val="nil"/>
            </w:tcBorders>
          </w:tcPr>
          <w:p w:rsidR="00502504" w:rsidRDefault="00000000" w:rsidP="009711AA">
            <w:pPr>
              <w:spacing w:after="0" w:line="259" w:lineRule="auto"/>
              <w:ind w:left="0"/>
              <w:jc w:val="left"/>
            </w:pPr>
            <w:r>
              <w:rPr>
                <w:rFonts w:ascii="Cambria" w:eastAsia="Cambria" w:hAnsi="Cambria" w:cs="Cambria"/>
                <w:sz w:val="18"/>
              </w:rPr>
              <w:t>−</w:t>
            </w:r>
            <w:r>
              <w:rPr>
                <w:sz w:val="18"/>
              </w:rPr>
              <w:t>0</w:t>
            </w:r>
            <w:r>
              <w:rPr>
                <w:rFonts w:ascii="Cambria" w:eastAsia="Cambria" w:hAnsi="Cambria" w:cs="Cambria"/>
                <w:i/>
                <w:sz w:val="18"/>
              </w:rPr>
              <w:t>.</w:t>
            </w:r>
            <w:r>
              <w:rPr>
                <w:sz w:val="18"/>
              </w:rPr>
              <w:t>081</w:t>
            </w:r>
          </w:p>
        </w:tc>
        <w:tc>
          <w:tcPr>
            <w:tcW w:w="686" w:type="dxa"/>
            <w:tcBorders>
              <w:top w:val="nil"/>
              <w:left w:val="nil"/>
              <w:bottom w:val="single" w:sz="7" w:space="0" w:color="000000"/>
              <w:right w:val="nil"/>
            </w:tcBorders>
          </w:tcPr>
          <w:p w:rsidR="00502504" w:rsidRDefault="00000000" w:rsidP="009711AA">
            <w:pPr>
              <w:spacing w:after="0" w:line="259" w:lineRule="auto"/>
              <w:ind w:left="42"/>
              <w:jc w:val="left"/>
            </w:pPr>
            <w:r>
              <w:rPr>
                <w:sz w:val="18"/>
              </w:rPr>
              <w:t>0.000</w:t>
            </w:r>
          </w:p>
        </w:tc>
        <w:tc>
          <w:tcPr>
            <w:tcW w:w="945" w:type="dxa"/>
            <w:tcBorders>
              <w:top w:val="nil"/>
              <w:left w:val="nil"/>
              <w:bottom w:val="single" w:sz="7" w:space="0" w:color="000000"/>
              <w:right w:val="nil"/>
            </w:tcBorders>
          </w:tcPr>
          <w:p w:rsidR="00502504" w:rsidRDefault="00000000" w:rsidP="009711AA">
            <w:pPr>
              <w:spacing w:after="0" w:line="259" w:lineRule="auto"/>
              <w:ind w:left="221"/>
              <w:jc w:val="left"/>
            </w:pPr>
            <w:r>
              <w:rPr>
                <w:sz w:val="18"/>
              </w:rPr>
              <w:t>0.000</w:t>
            </w:r>
          </w:p>
        </w:tc>
      </w:tr>
    </w:tbl>
    <w:p w:rsidR="00502504" w:rsidRDefault="00000000" w:rsidP="009711AA">
      <w:pPr>
        <w:spacing w:after="0" w:line="259" w:lineRule="auto"/>
        <w:jc w:val="left"/>
      </w:pPr>
      <w:r>
        <w:rPr>
          <w:sz w:val="18"/>
        </w:rPr>
        <w:t>Notes: NARDL with case 3 (unrestricted intercept, no trend), AIC lag selection up to four lags. Bounds test critical values from</w:t>
      </w:r>
    </w:p>
    <w:p w:rsidR="00502504" w:rsidRDefault="00000000" w:rsidP="009711AA">
      <w:pPr>
        <w:spacing w:after="0" w:line="251" w:lineRule="auto"/>
        <w:ind w:left="10" w:hanging="10"/>
        <w:jc w:val="center"/>
      </w:pPr>
      <w:proofErr w:type="spellStart"/>
      <w:r>
        <w:rPr>
          <w:color w:val="000099"/>
          <w:sz w:val="18"/>
        </w:rPr>
        <w:t>Pesaran</w:t>
      </w:r>
      <w:proofErr w:type="spellEnd"/>
      <w:r>
        <w:rPr>
          <w:color w:val="000099"/>
          <w:sz w:val="18"/>
        </w:rPr>
        <w:t xml:space="preserve"> et al. </w:t>
      </w:r>
      <w:r>
        <w:rPr>
          <w:sz w:val="18"/>
        </w:rPr>
        <w:t>(</w:t>
      </w:r>
      <w:r>
        <w:rPr>
          <w:color w:val="000099"/>
          <w:sz w:val="18"/>
        </w:rPr>
        <w:t>2001</w:t>
      </w:r>
      <w:r>
        <w:rPr>
          <w:sz w:val="18"/>
        </w:rPr>
        <w:t xml:space="preserve">); the 1% upper bound for case 3 with </w:t>
      </w:r>
      <w:r>
        <w:rPr>
          <w:i/>
          <w:sz w:val="18"/>
        </w:rPr>
        <w:t xml:space="preserve">k </w:t>
      </w:r>
      <w:r>
        <w:rPr>
          <w:rFonts w:ascii="Cambria" w:eastAsia="Cambria" w:hAnsi="Cambria" w:cs="Cambria"/>
          <w:sz w:val="18"/>
        </w:rPr>
        <w:t xml:space="preserve">= </w:t>
      </w:r>
      <w:r>
        <w:rPr>
          <w:sz w:val="18"/>
        </w:rPr>
        <w:t>1 is 7</w:t>
      </w:r>
      <w:r>
        <w:rPr>
          <w:rFonts w:ascii="Cambria" w:eastAsia="Cambria" w:hAnsi="Cambria" w:cs="Cambria"/>
          <w:i/>
          <w:sz w:val="18"/>
        </w:rPr>
        <w:t>.</w:t>
      </w:r>
      <w:r>
        <w:rPr>
          <w:sz w:val="18"/>
        </w:rPr>
        <w:t xml:space="preserve">84 and for </w:t>
      </w:r>
      <w:r>
        <w:rPr>
          <w:i/>
          <w:sz w:val="18"/>
        </w:rPr>
        <w:t xml:space="preserve">k </w:t>
      </w:r>
      <w:r>
        <w:rPr>
          <w:rFonts w:ascii="Cambria" w:eastAsia="Cambria" w:hAnsi="Cambria" w:cs="Cambria"/>
          <w:sz w:val="18"/>
        </w:rPr>
        <w:t xml:space="preserve">= </w:t>
      </w:r>
      <w:r>
        <w:rPr>
          <w:sz w:val="18"/>
        </w:rPr>
        <w:t>2 is 6</w:t>
      </w:r>
      <w:r>
        <w:rPr>
          <w:rFonts w:ascii="Cambria" w:eastAsia="Cambria" w:hAnsi="Cambria" w:cs="Cambria"/>
          <w:i/>
          <w:sz w:val="18"/>
        </w:rPr>
        <w:t>.</w:t>
      </w:r>
      <w:r>
        <w:rPr>
          <w:sz w:val="18"/>
        </w:rPr>
        <w:t>36. All four bounds-</w:t>
      </w:r>
      <w:r>
        <w:rPr>
          <w:i/>
          <w:sz w:val="18"/>
        </w:rPr>
        <w:t xml:space="preserve">F </w:t>
      </w:r>
      <w:r>
        <w:rPr>
          <w:sz w:val="18"/>
        </w:rPr>
        <w:t xml:space="preserve">statistics exceed the 1% upper bound. ECT is the true error-correction coefficient (sum of all </w:t>
      </w:r>
      <w:r>
        <w:rPr>
          <w:i/>
          <w:sz w:val="18"/>
        </w:rPr>
        <w:t>y</w:t>
      </w:r>
      <w:r>
        <w:rPr>
          <w:sz w:val="18"/>
        </w:rPr>
        <w:t>-level-lag coefficients) with a Newey–West</w:t>
      </w:r>
    </w:p>
    <w:p w:rsidR="00502504" w:rsidRDefault="00000000" w:rsidP="009711AA">
      <w:pPr>
        <w:spacing w:after="0" w:line="251" w:lineRule="auto"/>
        <w:ind w:left="10" w:hanging="10"/>
        <w:jc w:val="center"/>
      </w:pPr>
      <w:r>
        <w:rPr>
          <w:sz w:val="18"/>
        </w:rPr>
        <w:t xml:space="preserve">Wald </w:t>
      </w:r>
      <w:r>
        <w:rPr>
          <w:i/>
          <w:sz w:val="18"/>
        </w:rPr>
        <w:t>p</w:t>
      </w:r>
      <w:r>
        <w:rPr>
          <w:sz w:val="18"/>
        </w:rPr>
        <w:t xml:space="preserve">-value. LR asymmetry </w:t>
      </w:r>
      <w:r>
        <w:rPr>
          <w:i/>
          <w:sz w:val="18"/>
        </w:rPr>
        <w:t xml:space="preserve">p </w:t>
      </w:r>
      <w:r>
        <w:rPr>
          <w:sz w:val="18"/>
        </w:rPr>
        <w:t xml:space="preserve">is the long-run Wald test on the equality of positive and negative cumulative multipliers in the spirit of </w:t>
      </w:r>
      <w:r>
        <w:rPr>
          <w:color w:val="000099"/>
          <w:sz w:val="18"/>
        </w:rPr>
        <w:t xml:space="preserve">Shin et al. </w:t>
      </w:r>
      <w:r>
        <w:rPr>
          <w:sz w:val="18"/>
        </w:rPr>
        <w:t>(</w:t>
      </w:r>
      <w:r>
        <w:rPr>
          <w:color w:val="000099"/>
          <w:sz w:val="18"/>
        </w:rPr>
        <w:t>2014</w:t>
      </w:r>
      <w:r>
        <w:rPr>
          <w:sz w:val="18"/>
        </w:rPr>
        <w:t>).</w:t>
      </w:r>
    </w:p>
    <w:p w:rsidR="00502504" w:rsidRDefault="00000000" w:rsidP="009711AA">
      <w:pPr>
        <w:spacing w:after="0"/>
        <w:ind w:left="1" w:right="23" w:firstLine="262"/>
      </w:pPr>
      <w:r>
        <w:t>A short caveat on KPSS framing is appropriate. KPSS on ∆</w:t>
      </w:r>
      <w:proofErr w:type="spellStart"/>
      <w:r>
        <w:t>lnWPI</w:t>
      </w:r>
      <w:proofErr w:type="spellEnd"/>
      <w:r>
        <w:t xml:space="preserve"> returns </w:t>
      </w:r>
      <w:r>
        <w:rPr>
          <w:i/>
        </w:rPr>
        <w:t>η</w:t>
      </w:r>
      <w:r>
        <w:t xml:space="preserve">ˆ </w:t>
      </w:r>
      <w:r>
        <w:rPr>
          <w:rFonts w:ascii="Cambria" w:eastAsia="Cambria" w:hAnsi="Cambria" w:cs="Cambria"/>
        </w:rPr>
        <w:t xml:space="preserve">= </w:t>
      </w:r>
      <w:r>
        <w:t>0</w:t>
      </w:r>
      <w:r>
        <w:rPr>
          <w:rFonts w:ascii="Cambria" w:eastAsia="Cambria" w:hAnsi="Cambria" w:cs="Cambria"/>
          <w:i/>
        </w:rPr>
        <w:t>.</w:t>
      </w:r>
      <w:r>
        <w:t>90 against a 5% critical value of 0</w:t>
      </w:r>
      <w:r>
        <w:rPr>
          <w:rFonts w:ascii="Cambria" w:eastAsia="Cambria" w:hAnsi="Cambria" w:cs="Cambria"/>
          <w:i/>
        </w:rPr>
        <w:t>.</w:t>
      </w:r>
      <w:r>
        <w:t xml:space="preserve">46, while ADF and Phillips–Perron strongly reject </w:t>
      </w:r>
      <w:proofErr w:type="gramStart"/>
      <w:r>
        <w:t>I(</w:t>
      </w:r>
      <w:proofErr w:type="gramEnd"/>
      <w:r>
        <w:t xml:space="preserve">1) (statistics of </w:t>
      </w:r>
      <w:r>
        <w:rPr>
          <w:rFonts w:ascii="Cambria" w:eastAsia="Cambria" w:hAnsi="Cambria" w:cs="Cambria"/>
        </w:rPr>
        <w:t>−</w:t>
      </w:r>
      <w:r>
        <w:t>12</w:t>
      </w:r>
      <w:r>
        <w:rPr>
          <w:rFonts w:ascii="Cambria" w:eastAsia="Cambria" w:hAnsi="Cambria" w:cs="Cambria"/>
          <w:i/>
        </w:rPr>
        <w:t>.</w:t>
      </w:r>
      <w:r>
        <w:t xml:space="preserve">22 and </w:t>
      </w:r>
      <w:r>
        <w:rPr>
          <w:rFonts w:ascii="Cambria" w:eastAsia="Cambria" w:hAnsi="Cambria" w:cs="Cambria"/>
        </w:rPr>
        <w:t>−</w:t>
      </w:r>
      <w:r>
        <w:t>14</w:t>
      </w:r>
      <w:r>
        <w:rPr>
          <w:rFonts w:ascii="Cambria" w:eastAsia="Cambria" w:hAnsi="Cambria" w:cs="Cambria"/>
          <w:i/>
        </w:rPr>
        <w:t>.</w:t>
      </w:r>
      <w:r>
        <w:t>39 respectively). We follow the standard reading that KPSS is known to over-reject in long samples that contain structural breaks, of which the September 2013 Bai–Perron break in headline inflation is one example. A Bai–Perron test on the rupee oil change finds zero breaks. We retain the NARDL specifications because the bounds test is robust to ambiguous integration order, but we report long-run multipliers with caveats and prefer the differenced ADL for the body of the paper.</w:t>
      </w:r>
    </w:p>
    <w:sectPr w:rsidR="00502504">
      <w:footerReference w:type="even" r:id="rId21"/>
      <w:footerReference w:type="default" r:id="rId22"/>
      <w:footerReference w:type="first" r:id="rId23"/>
      <w:pgSz w:w="11906" w:h="16838"/>
      <w:pgMar w:top="1440" w:right="1402" w:bottom="1373" w:left="1424" w:header="720" w:footer="79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D5561" w:rsidRDefault="007D5561">
      <w:pPr>
        <w:spacing w:after="0" w:line="240" w:lineRule="auto"/>
      </w:pPr>
      <w:r>
        <w:separator/>
      </w:r>
    </w:p>
  </w:endnote>
  <w:endnote w:type="continuationSeparator" w:id="0">
    <w:p w:rsidR="007D5561" w:rsidRDefault="007D55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1"/>
    <w:family w:val="roman"/>
    <w:pitch w:val="variable"/>
    <w:sig w:usb0="0000A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02504" w:rsidRDefault="00000000">
    <w:pPr>
      <w:spacing w:after="0" w:line="259" w:lineRule="auto"/>
      <w:ind w:left="0" w:right="22"/>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02504" w:rsidRDefault="00000000">
    <w:pPr>
      <w:spacing w:after="0" w:line="259" w:lineRule="auto"/>
      <w:ind w:left="0" w:right="22"/>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02504" w:rsidRDefault="00000000">
    <w:pPr>
      <w:spacing w:after="0" w:line="259" w:lineRule="auto"/>
      <w:ind w:left="0" w:right="22"/>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D5561" w:rsidRDefault="007D5561">
      <w:pPr>
        <w:spacing w:after="0" w:line="240" w:lineRule="auto"/>
      </w:pPr>
      <w:r>
        <w:separator/>
      </w:r>
    </w:p>
  </w:footnote>
  <w:footnote w:type="continuationSeparator" w:id="0">
    <w:p w:rsidR="007D5561" w:rsidRDefault="007D55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FE6DF4"/>
    <w:multiLevelType w:val="multilevel"/>
    <w:tmpl w:val="FC6EAE12"/>
    <w:lvl w:ilvl="0">
      <w:start w:val="1"/>
      <w:numFmt w:val="decimal"/>
      <w:pStyle w:val="Heading1"/>
      <w:lvlText w:val="%1"/>
      <w:lvlJc w:val="left"/>
      <w:pPr>
        <w:ind w:left="0"/>
      </w:pPr>
      <w:rPr>
        <w:rFonts w:ascii="Calibri" w:eastAsia="Calibri" w:hAnsi="Calibri" w:cs="Calibri"/>
        <w:b w:val="0"/>
        <w:i w:val="0"/>
        <w:strike w:val="0"/>
        <w:dstrike w:val="0"/>
        <w:color w:val="000000"/>
        <w:sz w:val="29"/>
        <w:szCs w:val="29"/>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54595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2504"/>
    <w:rsid w:val="00091037"/>
    <w:rsid w:val="000B3A60"/>
    <w:rsid w:val="001A093E"/>
    <w:rsid w:val="001B6BDE"/>
    <w:rsid w:val="003B0476"/>
    <w:rsid w:val="00502504"/>
    <w:rsid w:val="006E14F4"/>
    <w:rsid w:val="00721905"/>
    <w:rsid w:val="007D5561"/>
    <w:rsid w:val="009479F2"/>
    <w:rsid w:val="009711AA"/>
    <w:rsid w:val="00A54C26"/>
    <w:rsid w:val="00A816F1"/>
    <w:rsid w:val="00CB6478"/>
    <w:rsid w:val="00E543B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ecimalSymbol w:val="."/>
  <w:listSeparator w:val=","/>
  <w14:docId w14:val="7F40F40F"/>
  <w15:docId w15:val="{31630C55-871C-1947-830E-77B57F842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 w:line="299" w:lineRule="auto"/>
      <w:ind w:left="16"/>
      <w:jc w:val="both"/>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1"/>
      </w:numPr>
      <w:spacing w:after="217" w:line="259" w:lineRule="auto"/>
      <w:ind w:left="26" w:hanging="10"/>
      <w:outlineLvl w:val="0"/>
    </w:pPr>
    <w:rPr>
      <w:rFonts w:ascii="Calibri" w:eastAsia="Calibri" w:hAnsi="Calibri" w:cs="Calibri"/>
      <w:color w:val="000000"/>
      <w:sz w:val="29"/>
    </w:rPr>
  </w:style>
  <w:style w:type="paragraph" w:styleId="Heading2">
    <w:name w:val="heading 2"/>
    <w:next w:val="Normal"/>
    <w:link w:val="Heading2Char"/>
    <w:uiPriority w:val="9"/>
    <w:unhideWhenUsed/>
    <w:qFormat/>
    <w:pPr>
      <w:keepNext/>
      <w:keepLines/>
      <w:numPr>
        <w:ilvl w:val="1"/>
        <w:numId w:val="1"/>
      </w:numPr>
      <w:spacing w:after="230" w:line="259" w:lineRule="auto"/>
      <w:ind w:left="26" w:hanging="10"/>
      <w:outlineLvl w:val="1"/>
    </w:pPr>
    <w:rPr>
      <w:rFonts w:ascii="Calibri" w:eastAsia="Calibri" w:hAnsi="Calibri" w:cs="Calibri"/>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00000"/>
      <w:sz w:val="24"/>
    </w:rPr>
  </w:style>
  <w:style w:type="character" w:customStyle="1" w:styleId="Heading1Char">
    <w:name w:val="Heading 1 Char"/>
    <w:link w:val="Heading1"/>
    <w:rPr>
      <w:rFonts w:ascii="Calibri" w:eastAsia="Calibri" w:hAnsi="Calibri" w:cs="Calibri"/>
      <w:color w:val="000000"/>
      <w:sz w:val="29"/>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6E14F4"/>
    <w:pPr>
      <w:spacing w:before="100" w:beforeAutospacing="1" w:after="100" w:afterAutospacing="1" w:line="240" w:lineRule="auto"/>
      <w:ind w:left="0"/>
      <w:jc w:val="left"/>
    </w:pPr>
    <w:rPr>
      <w:rFonts w:ascii="Times New Roman" w:eastAsia="Times New Roman" w:hAnsi="Times New Roman" w:cs="Times New Roman"/>
      <w:color w:val="auto"/>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image" Target="media/image12.jp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17</Pages>
  <Words>7441</Words>
  <Characters>42419</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Aniket Pandey</dc:creator>
  <cp:keywords/>
  <cp:lastModifiedBy>Aniket Pandey</cp:lastModifiedBy>
  <cp:revision>4</cp:revision>
  <dcterms:created xsi:type="dcterms:W3CDTF">2026-04-19T17:28:00Z</dcterms:created>
  <dcterms:modified xsi:type="dcterms:W3CDTF">2026-04-19T19:23:00Z</dcterms:modified>
</cp:coreProperties>
</file>