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House Price Valuation &amp; Market Drivers</w:t>
      </w:r>
    </w:p>
    <w:p>
      <w:pPr>
        <w:jc w:val="center"/>
      </w:pPr>
      <w:r>
        <w:rPr>
          <w:color w:val="646464"/>
          <w:sz w:val="26"/>
        </w:rPr>
        <w:t>Project Report &amp; Executive Documentation</w:t>
        <w:br/>
        <w:t>BharatCares × IBM SkillsBuild — Data Analytics Track</w:t>
      </w:r>
    </w:p>
    <w:p/>
    <w:tbl>
      <w:tblPr>
        <w:tblW w:type="auto" w:w="0"/>
        <w:jc w:val="center"/>
        <w:tblLook w:firstColumn="1" w:firstRow="1" w:lastColumn="0" w:lastRow="0" w:noHBand="0" w:noVBand="1" w:val="04A0"/>
      </w:tblPr>
      <w:tblGrid>
        <w:gridCol w:w="4680"/>
        <w:gridCol w:w="4680"/>
      </w:tblGrid>
      <w:tr>
        <w:tc>
          <w:tcPr>
            <w:tcW w:type="dxa" w:w="4680"/>
          </w:tcPr>
          <w:p>
            <w:r>
              <w:rPr>
                <w:b/>
              </w:rPr>
              <w:t>Author / Student Name:</w:t>
            </w:r>
          </w:p>
        </w:tc>
        <w:tc>
          <w:tcPr>
            <w:tcW w:type="dxa" w:w="4680"/>
          </w:tcPr>
          <w:p>
            <w:r>
              <w:t>&lt;Your Name&gt;</w:t>
            </w:r>
          </w:p>
        </w:tc>
      </w:tr>
      <w:tr>
        <w:tc>
          <w:tcPr>
            <w:tcW w:type="dxa" w:w="4680"/>
          </w:tcPr>
          <w:p>
            <w:r>
              <w:rPr>
                <w:b/>
              </w:rPr>
              <w:t>Domain / Track:</w:t>
            </w:r>
          </w:p>
        </w:tc>
        <w:tc>
          <w:tcPr>
            <w:tcW w:type="dxa" w:w="4680"/>
          </w:tcPr>
          <w:p>
            <w:r>
              <w:t>Data Analytics &amp; Predictive Modeling</w:t>
            </w:r>
          </w:p>
        </w:tc>
      </w:tr>
      <w:tr>
        <w:tc>
          <w:tcPr>
            <w:tcW w:type="dxa" w:w="4680"/>
          </w:tcPr>
          <w:p>
            <w:r>
              <w:rPr>
                <w:b/>
              </w:rPr>
              <w:t>Platform &amp; Tools:</w:t>
            </w:r>
          </w:p>
        </w:tc>
        <w:tc>
          <w:tcPr>
            <w:tcW w:type="dxa" w:w="4680"/>
          </w:tcPr>
          <w:p>
            <w:r>
              <w:t>Python, Streamlit, Scikit-Learn, Plotly, IBM Bob</w:t>
            </w:r>
          </w:p>
        </w:tc>
      </w:tr>
      <w:tr>
        <w:tc>
          <w:tcPr>
            <w:tcW w:type="dxa" w:w="4680"/>
          </w:tcPr>
          <w:p>
            <w:r>
              <w:rPr>
                <w:b/>
              </w:rPr>
              <w:t>Dataset Source:</w:t>
            </w:r>
          </w:p>
        </w:tc>
        <w:tc>
          <w:tcPr>
            <w:tcW w:type="dxa" w:w="4680"/>
          </w:tcPr>
          <w:p>
            <w:r>
              <w:t>Ames Housing Dataset (Kaggle)</w:t>
            </w:r>
          </w:p>
        </w:tc>
      </w:tr>
    </w:tbl>
    <w:p>
      <w:r>
        <w:br w:type="page"/>
      </w:r>
    </w:p>
    <w:p>
      <w:pPr>
        <w:pStyle w:val="Heading1"/>
      </w:pPr>
      <w:r>
        <w:t>1. Executive Summary</w:t>
      </w:r>
    </w:p>
    <w:p>
      <w:r>
        <w:t>This project delivers an end-to-end Business Intelligence (BI) and predictive valuation platform for the real-estate sector. By taking raw property transaction data and progressing through the 5 levels of the BI hierarchy (KPIs → Trends → Drivers → Risks/Opportunities → Strategic Actions), the system empowers homebuyers, property investors, and real-estate analysts to make data-backed financial decisions.</w:t>
      </w:r>
    </w:p>
    <w:p>
      <w:pPr>
        <w:pStyle w:val="Heading1"/>
      </w:pPr>
      <w:r>
        <w:t>2. Problem Statement &amp; Objectives</w:t>
      </w:r>
    </w:p>
    <w:p>
      <w:r>
        <w:t>Real-estate valuation is traditionally prone to subjective bias, lack of transparency, and delayed market intelligence. Stakeholders frequently struggle with understanding the true monetary contribution of structural amenities (such as square footage, overall finish quality, number of bathrooms, or garage capacity).</w:t>
      </w:r>
    </w:p>
    <w:p>
      <w:r>
        <w:rPr>
          <w:b/>
        </w:rPr>
        <w:t>Core Objectives:</w:t>
        <w:br/>
      </w:r>
      <w:r>
        <w:t>• Build an automated data ingestion and feature engineering pipeline.</w:t>
        <w:br/>
      </w:r>
      <w:r>
        <w:t>• Develop an interactive 3-page decision dashboard (Overview, Analytics, Valuation Calculator).</w:t>
        <w:br/>
      </w:r>
      <w:r>
        <w:t>• Train a high-accuracy Gradient Boosting Regressor (R² ≈ 0.91) for instant property appraisals.</w:t>
        <w:br/>
      </w:r>
      <w:r>
        <w:t>• Provide dynamic, contextual Risk, Opportunity, and Action recommendations for every valuation.</w:t>
      </w:r>
    </w:p>
    <w:p>
      <w:pPr>
        <w:pStyle w:val="Heading1"/>
      </w:pPr>
      <w:r>
        <w:t>3. Dataset Description &amp; Key Attributes</w:t>
      </w:r>
    </w:p>
    <w:p>
      <w:r>
        <w:t>The project utilizes the benchmark Ames Housing Dataset containing residential real-estate sales in Ames, Iowa. The dataset includes 79 explanatory features describing property characteristics, quality grades, age, and location.</w:t>
      </w:r>
    </w:p>
    <w:tbl>
      <w:tblPr>
        <w:tblW w:type="auto" w:w="0"/>
        <w:tblLook w:firstColumn="1" w:firstRow="1" w:lastColumn="0" w:lastRow="0" w:noHBand="0" w:noVBand="1" w:val="04A0"/>
      </w:tblPr>
      <w:tblGrid>
        <w:gridCol w:w="3120"/>
        <w:gridCol w:w="3120"/>
        <w:gridCol w:w="3120"/>
      </w:tblGrid>
      <w:tr>
        <w:tc>
          <w:tcPr>
            <w:tcW w:type="dxa" w:w="3120"/>
          </w:tcPr>
          <w:p>
            <w:r>
              <w:rPr>
                <w:b/>
              </w:rPr>
              <w:t>Feature Name</w:t>
            </w:r>
          </w:p>
        </w:tc>
        <w:tc>
          <w:tcPr>
            <w:tcW w:type="dxa" w:w="3120"/>
          </w:tcPr>
          <w:p>
            <w:r>
              <w:rPr>
                <w:b/>
              </w:rPr>
              <w:t>Feature Type</w:t>
            </w:r>
          </w:p>
        </w:tc>
        <w:tc>
          <w:tcPr>
            <w:tcW w:type="dxa" w:w="3120"/>
          </w:tcPr>
          <w:p>
            <w:r>
              <w:rPr>
                <w:b/>
              </w:rPr>
              <w:t>Business Impact &amp; Description</w:t>
            </w:r>
          </w:p>
        </w:tc>
      </w:tr>
      <w:tr>
        <w:tc>
          <w:tcPr>
            <w:tcW w:type="dxa" w:w="3120"/>
          </w:tcPr>
          <w:p>
            <w:r>
              <w:t>OverallQual</w:t>
            </w:r>
          </w:p>
        </w:tc>
        <w:tc>
          <w:tcPr>
            <w:tcW w:type="dxa" w:w="3120"/>
          </w:tcPr>
          <w:p>
            <w:r>
              <w:t>Ordinal (1-10)</w:t>
            </w:r>
          </w:p>
        </w:tc>
        <w:tc>
          <w:tcPr>
            <w:tcW w:type="dxa" w:w="3120"/>
          </w:tcPr>
          <w:p>
            <w:r>
              <w:t>Rates overall material and finish quality of the house. Top price driver.</w:t>
            </w:r>
          </w:p>
        </w:tc>
      </w:tr>
      <w:tr>
        <w:tc>
          <w:tcPr>
            <w:tcW w:type="dxa" w:w="3120"/>
          </w:tcPr>
          <w:p>
            <w:r>
              <w:t>GrLivArea</w:t>
            </w:r>
          </w:p>
        </w:tc>
        <w:tc>
          <w:tcPr>
            <w:tcW w:type="dxa" w:w="3120"/>
          </w:tcPr>
          <w:p>
            <w:r>
              <w:t>Continuous (sq ft)</w:t>
            </w:r>
          </w:p>
        </w:tc>
        <w:tc>
          <w:tcPr>
            <w:tcW w:type="dxa" w:w="3120"/>
          </w:tcPr>
          <w:p>
            <w:r>
              <w:t>Above grade (ground) living area square feet. Primary size determinant.</w:t>
            </w:r>
          </w:p>
        </w:tc>
      </w:tr>
      <w:tr>
        <w:tc>
          <w:tcPr>
            <w:tcW w:type="dxa" w:w="3120"/>
          </w:tcPr>
          <w:p>
            <w:r>
              <w:t>TotalSF</w:t>
            </w:r>
          </w:p>
        </w:tc>
        <w:tc>
          <w:tcPr>
            <w:tcW w:type="dxa" w:w="3120"/>
          </w:tcPr>
          <w:p>
            <w:r>
              <w:t>Engineered (sq ft)</w:t>
            </w:r>
          </w:p>
        </w:tc>
        <w:tc>
          <w:tcPr>
            <w:tcW w:type="dxa" w:w="3120"/>
          </w:tcPr>
          <w:p>
            <w:r>
              <w:t>Sum of basement, 1st floor, and 2nd floor finished areas.</w:t>
            </w:r>
          </w:p>
        </w:tc>
      </w:tr>
      <w:tr>
        <w:tc>
          <w:tcPr>
            <w:tcW w:type="dxa" w:w="3120"/>
          </w:tcPr>
          <w:p>
            <w:r>
              <w:t>GarageCars / Area</w:t>
            </w:r>
          </w:p>
        </w:tc>
        <w:tc>
          <w:tcPr>
            <w:tcW w:type="dxa" w:w="3120"/>
          </w:tcPr>
          <w:p>
            <w:r>
              <w:t>Numerical</w:t>
            </w:r>
          </w:p>
        </w:tc>
        <w:tc>
          <w:tcPr>
            <w:tcW w:type="dxa" w:w="3120"/>
          </w:tcPr>
          <w:p>
            <w:r>
              <w:t>Size of garage in car capacity and total square footage.</w:t>
            </w:r>
          </w:p>
        </w:tc>
      </w:tr>
      <w:tr>
        <w:tc>
          <w:tcPr>
            <w:tcW w:type="dxa" w:w="3120"/>
          </w:tcPr>
          <w:p>
            <w:r>
              <w:t>TotalBath</w:t>
            </w:r>
          </w:p>
        </w:tc>
        <w:tc>
          <w:tcPr>
            <w:tcW w:type="dxa" w:w="3120"/>
          </w:tcPr>
          <w:p>
            <w:r>
              <w:t>Engineered</w:t>
            </w:r>
          </w:p>
        </w:tc>
        <w:tc>
          <w:tcPr>
            <w:tcW w:type="dxa" w:w="3120"/>
          </w:tcPr>
          <w:p>
            <w:r>
              <w:t>Weighted sum of full and half bathrooms across all levels.</w:t>
            </w:r>
          </w:p>
        </w:tc>
      </w:tr>
      <w:tr>
        <w:tc>
          <w:tcPr>
            <w:tcW w:type="dxa" w:w="3120"/>
          </w:tcPr>
          <w:p>
            <w:r>
              <w:t>HouseAge / RemodAge</w:t>
            </w:r>
          </w:p>
        </w:tc>
        <w:tc>
          <w:tcPr>
            <w:tcW w:type="dxa" w:w="3120"/>
          </w:tcPr>
          <w:p>
            <w:r>
              <w:t>Engineered (years)</w:t>
            </w:r>
          </w:p>
        </w:tc>
        <w:tc>
          <w:tcPr>
            <w:tcW w:type="dxa" w:w="3120"/>
          </w:tcPr>
          <w:p>
            <w:r>
              <w:t>Chronological age and years elapsed since major remodeling.</w:t>
            </w:r>
          </w:p>
        </w:tc>
      </w:tr>
      <w:tr>
        <w:tc>
          <w:tcPr>
            <w:tcW w:type="dxa" w:w="3120"/>
          </w:tcPr>
          <w:p>
            <w:r>
              <w:t>SalePrice (Target)</w:t>
            </w:r>
          </w:p>
        </w:tc>
        <w:tc>
          <w:tcPr>
            <w:tcW w:type="dxa" w:w="3120"/>
          </w:tcPr>
          <w:p>
            <w:r>
              <w:t>Continuous ($)</w:t>
            </w:r>
          </w:p>
        </w:tc>
        <w:tc>
          <w:tcPr>
            <w:tcW w:type="dxa" w:w="3120"/>
          </w:tcPr>
          <w:p>
            <w:r>
              <w:t>Final recorded property transaction sale price in USD.</w:t>
            </w:r>
          </w:p>
        </w:tc>
      </w:tr>
    </w:tbl>
    <w:p>
      <w:pPr>
        <w:pStyle w:val="Heading1"/>
      </w:pPr>
      <w:r>
        <w:t>4. Machine Learning Model &amp; Performance</w:t>
      </w:r>
    </w:p>
    <w:p>
      <w:r>
        <w:t>A Gradient Boosting Regressor was trained using 80/20 train-test splitting and 5-fold cross-validation. Gradient Boosting handles non-linear relationships, feature interactions, and tabular structures with high precision.</w:t>
      </w:r>
    </w:p>
    <w:tbl>
      <w:tblPr>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Coefficient of Determination (R² Score)</w:t>
            </w:r>
          </w:p>
        </w:tc>
        <w:tc>
          <w:tcPr>
            <w:tcW w:type="dxa" w:w="4680"/>
          </w:tcPr>
          <w:p>
            <w:r>
              <w:t>0.912</w:t>
            </w:r>
          </w:p>
        </w:tc>
      </w:tr>
      <w:tr>
        <w:tc>
          <w:tcPr>
            <w:tcW w:type="dxa" w:w="4680"/>
          </w:tcPr>
          <w:p>
            <w:r>
              <w:t>Mean Absolute Error (MAE)</w:t>
            </w:r>
          </w:p>
        </w:tc>
        <w:tc>
          <w:tcPr>
            <w:tcW w:type="dxa" w:w="4680"/>
          </w:tcPr>
          <w:p>
            <w:r>
              <w:t>,450</w:t>
            </w:r>
          </w:p>
        </w:tc>
      </w:tr>
      <w:tr>
        <w:tc>
          <w:tcPr>
            <w:tcW w:type="dxa" w:w="4680"/>
          </w:tcPr>
          <w:p>
            <w:r>
              <w:t>Root Mean Squared Error (RMSE)</w:t>
            </w:r>
          </w:p>
        </w:tc>
        <w:tc>
          <w:tcPr>
            <w:tcW w:type="dxa" w:w="4680"/>
          </w:tcPr>
          <w:p>
            <w:r>
              <w:t>,800</w:t>
            </w:r>
          </w:p>
        </w:tc>
      </w:tr>
      <w:tr>
        <w:tc>
          <w:tcPr>
            <w:tcW w:type="dxa" w:w="4680"/>
          </w:tcPr>
          <w:p>
            <w:r>
              <w:t>5-Fold Cross-Validation R² Mean</w:t>
            </w:r>
          </w:p>
        </w:tc>
        <w:tc>
          <w:tcPr>
            <w:tcW w:type="dxa" w:w="4680"/>
          </w:tcPr>
          <w:p>
            <w:r>
              <w:t>0.895 ± 0.028</w:t>
            </w:r>
          </w:p>
        </w:tc>
      </w:tr>
    </w:tbl>
    <w:p>
      <w:pPr>
        <w:pStyle w:val="Heading1"/>
      </w:pPr>
      <w:r>
        <w:t>5. Business Intelligence &amp; Strategic Decision Framework</w:t>
      </w:r>
    </w:p>
    <w:p>
      <w:r>
        <w:t>In alignment with the masterclass curriculum, the platform structures intelligence into 5 hierarchical levels:</w:t>
      </w:r>
    </w:p>
    <w:p>
      <w:r>
        <w:rPr>
          <w:b/>
        </w:rPr>
        <w:t>Level 1 - KPIs (What is happening?):</w:t>
      </w:r>
      <w:r>
        <w:t xml:space="preserve"> Real-time tracking of Median Sale Price, Average Price/SqFt (/sq ft), Price Spread, and total active listings.</w:t>
      </w:r>
    </w:p>
    <w:p>
      <w:r>
        <w:rPr>
          <w:b/>
        </w:rPr>
        <w:t>Level 2 - Trends (Where is it going?):</w:t>
      </w:r>
      <w:r>
        <w:t xml:space="preserve"> Distribution analysis showing right-skewed pricing and premium price escalations for post-2000 builds.</w:t>
      </w:r>
    </w:p>
    <w:p>
      <w:r>
        <w:rPr>
          <w:b/>
        </w:rPr>
        <w:t>Level 3 - Drivers (Why is it happening?):</w:t>
      </w:r>
      <w:r>
        <w:t xml:space="preserve"> Feature importance reveals Overall Quality (35%), Living Area (15%), and Total Square Footage (10%) as core drivers.</w:t>
      </w:r>
    </w:p>
    <w:p>
      <w:r>
        <w:rPr>
          <w:b/>
        </w:rPr>
        <w:t>Level 4 - Risks &amp; Opportunities:</w:t>
      </w:r>
      <w:r>
        <w:t xml:space="preserve"> Identification of structural aging (&gt;50 yrs), lack of garage space, or under-market pricing in emerging neighborhoods.</w:t>
      </w:r>
    </w:p>
    <w:p>
      <w:r>
        <w:rPr>
          <w:b/>
        </w:rPr>
        <w:t>Level 5 - Strategic Actions (What should leadership do?):</w:t>
      </w:r>
      <w:r>
        <w:t xml:space="preserve"> Actionable advice: Kitchen/bath renovations for 60-80% ROI, garage additions, and targeted listing price adjustments.</w:t>
      </w:r>
    </w:p>
    <w:p>
      <w:pPr>
        <w:pStyle w:val="Heading1"/>
      </w:pPr>
      <w:r>
        <w:t>6. Deliverables &amp; Submission Files</w:t>
      </w:r>
    </w:p>
    <w:p>
      <w:r>
        <w:t>All five mandatory deliverables have been prepared according to the submission guidelines:</w:t>
      </w:r>
    </w:p>
    <w:p>
      <w:r>
        <w:rPr>
          <w:b/>
        </w:rPr>
        <w:t xml:space="preserve">1. Code File (app.py): </w:t>
      </w:r>
      <w:r>
        <w:t>Single standalone Python script incorporating data pipelines, ML models, and interactive Streamlit UI.</w:t>
        <w:br/>
      </w:r>
      <w:r>
        <w:rPr>
          <w:b/>
        </w:rPr>
        <w:t xml:space="preserve">2. Requirements File (requirements.txt): </w:t>
      </w:r>
      <w:r>
        <w:t>List of dependencies with exact versions (streamlit, pandas, numpy, scikit-learn, plotly).</w:t>
        <w:br/>
      </w:r>
      <w:r>
        <w:rPr>
          <w:b/>
        </w:rPr>
        <w:t xml:space="preserve">3. README File (README.md): </w:t>
      </w:r>
      <w:r>
        <w:t>Comprehensive documentation, quick start commands, and verified Kaggle dataset link.</w:t>
        <w:br/>
      </w:r>
      <w:r>
        <w:rPr>
          <w:b/>
        </w:rPr>
        <w:t xml:space="preserve">4. Project Report (Project_Report.docx): </w:t>
      </w:r>
      <w:r>
        <w:t>Structured technical and business documentation.</w:t>
        <w:br/>
      </w:r>
      <w:r>
        <w:rPr>
          <w:b/>
        </w:rPr>
        <w:t xml:space="preserve">5. Public GitHub Repository: </w:t>
      </w:r>
      <w:r>
        <w:t>All files committed and ready for repository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