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C311" w14:textId="77777777" w:rsidR="0040792C" w:rsidRDefault="00000000">
      <w:pPr>
        <w:pStyle w:val="Heading1"/>
      </w:pPr>
      <w:bookmarkStart w:id="0" w:name="header"/>
      <w:bookmarkStart w:id="1" w:name="X25334e00036a0b30a6297e2c8813f2ff9e130ae"/>
      <w:bookmarkStart w:id="2" w:name="content"/>
      <w:bookmarkEnd w:id="0"/>
      <w:r>
        <w:t>Companion-Species and Ethology of Working Partnerships</w:t>
      </w:r>
    </w:p>
    <w:p w14:paraId="59BD26AF" w14:textId="77777777" w:rsidR="0040792C" w:rsidRDefault="00000000">
      <w:pPr>
        <w:pStyle w:val="Heading2"/>
      </w:pPr>
      <w:bookmarkStart w:id="3" w:name="scope"/>
      <w:r>
        <w:t>Scope</w:t>
      </w:r>
    </w:p>
    <w:p w14:paraId="4881FAAA" w14:textId="77777777" w:rsidR="0040792C" w:rsidRDefault="00000000">
      <w:pPr>
        <w:pStyle w:val="FirstParagraph"/>
      </w:pPr>
      <w:r>
        <w:t>This scan centers on primary-source-verified readings of Donna Haraway</w:t>
      </w:r>
      <w:hyperlink r:id="rId5">
        <w:r>
          <w:rPr>
            <w:rStyle w:val="Hyperlink"/>
          </w:rPr>
          <w:t>[1]</w:t>
        </w:r>
      </w:hyperlink>
      <w:r>
        <w:t>’s The Companion Species Manifesto</w:t>
      </w:r>
      <w:hyperlink r:id="rId6">
        <w:r>
          <w:rPr>
            <w:rStyle w:val="Hyperlink"/>
          </w:rPr>
          <w:t>[2]</w:t>
        </w:r>
      </w:hyperlink>
      <w:r>
        <w:t xml:space="preserve"> and When Species Meet</w:t>
      </w:r>
      <w:hyperlink r:id="rId7">
        <w:r>
          <w:rPr>
            <w:rStyle w:val="Hyperlink"/>
          </w:rPr>
          <w:t>[3]</w:t>
        </w:r>
      </w:hyperlink>
      <w:r>
        <w:t>, then connects them to post-2010 companion-species scholarship, guide-dog and working-dog research, and the thinner but important body of human-AI and human-robot work that seriously engages Haraway’s framework. No connected folder was available to inspect from this workspace, so I applied the conditions stated in your prompt: primary-source-first verification where possible, post-2010 emphasis, explicit transfer and non-transfer analysis, and a design-oriented output focused on longitudinal study and measurement.</w:t>
      </w:r>
    </w:p>
    <w:p w14:paraId="3D7A2599" w14:textId="77777777" w:rsidR="0040792C" w:rsidRDefault="00000000">
      <w:pPr>
        <w:pStyle w:val="Heading2"/>
      </w:pPr>
      <w:bookmarkStart w:id="4" w:name="framework-map"/>
      <w:bookmarkEnd w:id="3"/>
      <w:r>
        <w:t>Framework map</w:t>
      </w:r>
    </w:p>
    <w:p w14:paraId="12013042" w14:textId="77777777" w:rsidR="0040792C" w:rsidRDefault="00000000">
      <w:pPr>
        <w:pStyle w:val="FirstParagraph"/>
      </w:pPr>
      <w:r>
        <w:t>Donna Haraway</w:t>
      </w:r>
      <w:hyperlink r:id="rId8">
        <w:r>
          <w:rPr>
            <w:rStyle w:val="Hyperlink"/>
          </w:rPr>
          <w:t>[1]</w:t>
        </w:r>
      </w:hyperlink>
      <w:r>
        <w:t>’s two key books establish the conceptual core. The Companion Species Manifesto</w:t>
      </w:r>
      <w:hyperlink r:id="rId9">
        <w:r>
          <w:rPr>
            <w:rStyle w:val="Hyperlink"/>
          </w:rPr>
          <w:t>[2]</w:t>
        </w:r>
      </w:hyperlink>
      <w:r>
        <w:t xml:space="preserve"> is explicitly framed as a book about the “implosion of nature and culture” in the joint lives of dogs and people, bonded in “significant otherness,” with dogs treated not as metaphors or mere thought-experiments but as material-semiotic presences to live with and train with. When Species Meet</w:t>
      </w:r>
      <w:hyperlink r:id="rId10">
        <w:r>
          <w:rPr>
            <w:rStyle w:val="Hyperlink"/>
          </w:rPr>
          <w:t>[3]</w:t>
        </w:r>
      </w:hyperlink>
      <w:r>
        <w:t xml:space="preserve"> broadens that frame: “companion species” includes not only companion animals but also other organisms, landscapes, and technologies, while the book’s center of gravity is long-term training and living with domestic animals, especially agility work with dogs. </w:t>
      </w:r>
      <w:hyperlink r:id="rId11">
        <w:r>
          <w:rPr>
            <w:rStyle w:val="Hyperlink"/>
          </w:rPr>
          <w:t>[4]</w:t>
        </w:r>
      </w:hyperlink>
    </w:p>
    <w:p w14:paraId="52A50700" w14:textId="77777777" w:rsidR="0040792C" w:rsidRDefault="00000000">
      <w:pPr>
        <w:pStyle w:val="BodyText"/>
      </w:pPr>
      <w:r>
        <w:rPr>
          <w:b/>
          <w:bCs/>
        </w:rPr>
        <w:t>Significant otherness</w:t>
      </w:r>
      <w:r>
        <w:t xml:space="preserve"> is Haraway’s first decisive move. It rejects both sentimental sameness and abstract alterity. The other is neither a projection of the human nor a symbolic foil for “the human”; the relation matters because the partners shape one another materially and historically. That move is exactly why dogs matter so much in Haraway’s work: dogs are not alibis for theory but concrete beings with whom humans cohabit and co-train. Later HAI scholarship that takes Haraway seriously uses this idea to argue that chatbots and social robots should not be analyzed only as delusions, errors, or mirrors of user psychology, but as encounters with a kind of nonhuman otherness that has agential effects in practice. </w:t>
      </w:r>
      <w:hyperlink r:id="rId12">
        <w:r>
          <w:rPr>
            <w:rStyle w:val="Hyperlink"/>
          </w:rPr>
          <w:t>[5]</w:t>
        </w:r>
      </w:hyperlink>
    </w:p>
    <w:p w14:paraId="200A7F97" w14:textId="77777777" w:rsidR="0040792C" w:rsidRDefault="00000000">
      <w:pPr>
        <w:pStyle w:val="BodyText"/>
      </w:pPr>
      <w:r>
        <w:rPr>
          <w:b/>
          <w:bCs/>
        </w:rPr>
        <w:t>Response-ability</w:t>
      </w:r>
      <w:r>
        <w:t xml:space="preserve"> is Haraway’s second major move. In the 2008 framework as taken up by later scholarship, response-ability is not generic moral “responsibility” but a cultivated capacity to answer, notice, and stay curious in situated encounters with significant others. The strongest recent extension of this idea reframes response-ability as an everyday, etho-ecological practice of care and world-making rather than a purely professional or abstract ethic. That matters for human-AI partnership because it shifts the research question from “Did the user anthropomorphize?” to “What forms of attentiveness, answerability, and practical obligation are being enacted in the relation?” </w:t>
      </w:r>
      <w:hyperlink r:id="rId13">
        <w:r>
          <w:rPr>
            <w:rStyle w:val="Hyperlink"/>
          </w:rPr>
          <w:t>[6]</w:t>
        </w:r>
      </w:hyperlink>
    </w:p>
    <w:p w14:paraId="4DCD8F9C" w14:textId="77777777" w:rsidR="0040792C" w:rsidRDefault="00000000">
      <w:pPr>
        <w:pStyle w:val="BodyText"/>
      </w:pPr>
      <w:r>
        <w:rPr>
          <w:b/>
          <w:bCs/>
        </w:rPr>
        <w:lastRenderedPageBreak/>
        <w:t>Co-becoming</w:t>
      </w:r>
      <w:r>
        <w:t xml:space="preserve"> or “becoming-with” is Haraway’s third move. The partners do not stand fully formed before the relation and then merely interact; they are partly made in and through the relation. A 2024 conceptual analysis of human-chatbot relations uses Haraway’s formulation directly to argue that human and machine positions are too often presumed in advance, when what matters empirically is how they come to be configured in practice. This is one of the most useful companion-species ideas for long-term human-AI work because it orients research toward adaptation, calibration, and repeated repair rather than one-shot usability. </w:t>
      </w:r>
      <w:hyperlink r:id="rId14">
        <w:r>
          <w:rPr>
            <w:rStyle w:val="Hyperlink"/>
          </w:rPr>
          <w:t>[7]</w:t>
        </w:r>
      </w:hyperlink>
    </w:p>
    <w:p w14:paraId="620B1FA6" w14:textId="77777777" w:rsidR="0040792C" w:rsidRDefault="00000000">
      <w:pPr>
        <w:pStyle w:val="BodyText"/>
      </w:pPr>
      <w:r>
        <w:rPr>
          <w:b/>
          <w:bCs/>
        </w:rPr>
        <w:t>Naturecultures</w:t>
      </w:r>
      <w:r>
        <w:t xml:space="preserve"> is Haraway’s fourth move. The point is not that nature and culture blur into one another in a loose metaphorical sense; it is that domestication, training, embodiment, labor, infrastructure, and meaning-making are already knotted together. That is why Haraway can talk about companion species as including animals, organisms, landscapes, and technologies. Post-2010 work extends this move in two useful directions: one asks directly whether technologies can count as companion species, and another stretches the framework beyond dogs to fungi and disturbance ecologies, showing that companion-species thought is a theory of relational world-making, not a dog-only doctrine. </w:t>
      </w:r>
      <w:hyperlink r:id="rId15">
        <w:r>
          <w:rPr>
            <w:rStyle w:val="Hyperlink"/>
          </w:rPr>
          <w:t>[8]</w:t>
        </w:r>
      </w:hyperlink>
    </w:p>
    <w:p w14:paraId="5FCA042F" w14:textId="77777777" w:rsidR="0040792C" w:rsidRDefault="00000000">
      <w:pPr>
        <w:pStyle w:val="BodyText"/>
      </w:pPr>
      <w:r>
        <w:rPr>
          <w:b/>
          <w:bCs/>
        </w:rPr>
        <w:t>The contact zone</w:t>
      </w:r>
      <w:r>
        <w:t xml:space="preserve"> is Haraway’s fifth move, and it is especially important methodologically. Subsequent scholarship highlights Haraway’s use of the concept to describe training as a located, power-laden multispecies encounter shaped by knowledge, technique, morality, and the possibility of joint invention. The contact zone is therefore not harmony; it is structured asymmetry plus reciprocal exposure. For long-term human-AI partnership, this is a much better analog than “friendship” or “trust” alone, because it foregrounds correction, friction, dependence, command, refusal, and repair. </w:t>
      </w:r>
      <w:hyperlink r:id="rId16">
        <w:r>
          <w:rPr>
            <w:rStyle w:val="Hyperlink"/>
          </w:rPr>
          <w:t>[9]</w:t>
        </w:r>
      </w:hyperlink>
    </w:p>
    <w:p w14:paraId="640F79F4" w14:textId="77777777" w:rsidR="0040792C" w:rsidRDefault="00000000">
      <w:pPr>
        <w:pStyle w:val="Heading2"/>
      </w:pPr>
      <w:bookmarkStart w:id="5" w:name="Xbe12172ffa8de6bf909a63af895b2e99e1f638b"/>
      <w:bookmarkEnd w:id="4"/>
      <w:r>
        <w:t>Working-animal literature as a methodological model</w:t>
      </w:r>
    </w:p>
    <w:p w14:paraId="40C681A6" w14:textId="77777777" w:rsidR="0040792C" w:rsidRDefault="00000000">
      <w:pPr>
        <w:pStyle w:val="FirstParagraph"/>
      </w:pPr>
      <w:r>
        <w:t>The most useful precursor to Haraway’s training-focused method is Vicki Hearne</w:t>
      </w:r>
      <w:hyperlink r:id="rId17">
        <w:r>
          <w:rPr>
            <w:rStyle w:val="Hyperlink"/>
          </w:rPr>
          <w:t>[10]</w:t>
        </w:r>
      </w:hyperlink>
      <w:r>
        <w:t>’s Adam's Task</w:t>
      </w:r>
      <w:hyperlink r:id="rId18">
        <w:r>
          <w:rPr>
            <w:rStyle w:val="Hyperlink"/>
          </w:rPr>
          <w:t>[11]</w:t>
        </w:r>
      </w:hyperlink>
      <w:r>
        <w:t xml:space="preserve">. Later analysis of that book emphasizes that Hearne treated training not as crude behavioral control or basic obedience but as the making of an interspecies language and a shared moral practice, even though the relation remains unequal and potentially coercive. For present purposes, the key inheritance is methodological: close attention to naming, command, response, talent, correction, and the long arc by which skilled work becomes possible across species. </w:t>
      </w:r>
      <w:hyperlink r:id="rId19">
        <w:r>
          <w:rPr>
            <w:rStyle w:val="Hyperlink"/>
          </w:rPr>
          <w:t>[12]</w:t>
        </w:r>
      </w:hyperlink>
    </w:p>
    <w:p w14:paraId="1A688863" w14:textId="77777777" w:rsidR="0040792C" w:rsidRDefault="00000000">
      <w:pPr>
        <w:pStyle w:val="BodyText"/>
      </w:pPr>
      <w:r>
        <w:t>Mark Bekoff</w:t>
      </w:r>
      <w:hyperlink r:id="rId20">
        <w:r>
          <w:rPr>
            <w:rStyle w:val="Hyperlink"/>
          </w:rPr>
          <w:t>[13]</w:t>
        </w:r>
      </w:hyperlink>
      <w:r>
        <w:t xml:space="preserve"> supplies the ethological complement. His work on canid play established that play depends on metacommunicative signals that say, in effect, “what follows is play,” and later work argued that social play depends on fairness, trust, self-handicapping, and the ability to keep potentially ambiguous actions from being misread. This is directly relevant to working partnerships because it shows that durable coordination is built not just on commands and reinforcement, but on signaling systems that prevent breakdowns of interpretation. In human-AI terms, this is a strong precedent for studying repair signals, uncertainty displays, and mode-switching cues rather than “accuracy” alone. </w:t>
      </w:r>
      <w:hyperlink r:id="rId21">
        <w:r>
          <w:rPr>
            <w:rStyle w:val="Hyperlink"/>
          </w:rPr>
          <w:t>[14]</w:t>
        </w:r>
      </w:hyperlink>
    </w:p>
    <w:p w14:paraId="3744F197" w14:textId="77777777" w:rsidR="0040792C" w:rsidRDefault="00000000">
      <w:pPr>
        <w:pStyle w:val="BodyText"/>
      </w:pPr>
      <w:r>
        <w:lastRenderedPageBreak/>
        <w:t xml:space="preserve">The guide-dog literature is the most mature empirical model for long-term skilled partnership. A 2016 study of 118 guide-dog pairings found that the success of a partnership depended on the interplay between handler and dog rather than either side alone; successful partnerships averaged about six years, while unsuccessfully matched dogs were typically returned far earlier, often for behavioral reasons. The study also showed that work and non-work traits both matter: a dog may be weak in mobility performance and strong in home or social life, or the reverse. In other words, the partnership is multidimensional, and “success” is not reducible to task completion. </w:t>
      </w:r>
      <w:hyperlink r:id="rId22">
        <w:r>
          <w:rPr>
            <w:rStyle w:val="Hyperlink"/>
          </w:rPr>
          <w:t>[15]</w:t>
        </w:r>
      </w:hyperlink>
    </w:p>
    <w:p w14:paraId="6AF50D76" w14:textId="77777777" w:rsidR="0040792C" w:rsidRDefault="00000000">
      <w:pPr>
        <w:pStyle w:val="BodyText"/>
      </w:pPr>
      <w:r>
        <w:t xml:space="preserve">A 2021 guide-dog study then made that multidimensionality explicit by building a custom </w:t>
      </w:r>
      <w:r>
        <w:rPr>
          <w:b/>
          <w:bCs/>
        </w:rPr>
        <w:t>Fulfilment of Expectations Scale</w:t>
      </w:r>
      <w:r>
        <w:t xml:space="preserve"> with five domains—mobility, social function, companionship, behavior, and health—and a </w:t>
      </w:r>
      <w:r>
        <w:rPr>
          <w:b/>
          <w:bCs/>
        </w:rPr>
        <w:t>10-item compatibility instrument</w:t>
      </w:r>
      <w:r>
        <w:t xml:space="preserve"> rated on a 10-point scale. The compatibility items included bond, attachment, control, mobility, safety, overall satisfaction, match success, overall compatibility, social effects, and companionship. Those items grouped into three subscales: </w:t>
      </w:r>
      <w:r>
        <w:rPr>
          <w:b/>
          <w:bCs/>
        </w:rPr>
        <w:t>work compatibility</w:t>
      </w:r>
      <w:r>
        <w:t xml:space="preserve">, </w:t>
      </w:r>
      <w:r>
        <w:rPr>
          <w:b/>
          <w:bCs/>
        </w:rPr>
        <w:t>emotional compatibility</w:t>
      </w:r>
      <w:r>
        <w:t xml:space="preserve">, and </w:t>
      </w:r>
      <w:r>
        <w:rPr>
          <w:b/>
          <w:bCs/>
        </w:rPr>
        <w:t>social compatibility</w:t>
      </w:r>
      <w:r>
        <w:t xml:space="preserve">. Crucially, the study found that the </w:t>
      </w:r>
      <w:r>
        <w:rPr>
          <w:b/>
          <w:bCs/>
        </w:rPr>
        <w:t>working</w:t>
      </w:r>
      <w:r>
        <w:t xml:space="preserve"> aspects of the relationship were what most clearly distinguished pairs judged successful from those judged mismatched, even though emotional compatibility was often high overall. This is one of the most useful ready-made templates for long-term human-AI partnership measurement. </w:t>
      </w:r>
      <w:hyperlink r:id="rId23">
        <w:r>
          <w:rPr>
            <w:rStyle w:val="Hyperlink"/>
          </w:rPr>
          <w:t>[16]</w:t>
        </w:r>
      </w:hyperlink>
    </w:p>
    <w:p w14:paraId="56125F60" w14:textId="77777777" w:rsidR="0040792C" w:rsidRDefault="00000000">
      <w:pPr>
        <w:pStyle w:val="BodyText"/>
      </w:pPr>
      <w:r>
        <w:t xml:space="preserve">The trust and mutual-prediction literature around working dogs is also highly relevant. A semiotic analysis of guide-dog partnership argues that the dyad develops a “collaborative double perspective,” maintained by trust and mutual adjustment of distinct points of view rather than by fusion into one perspective. That is close to what handlers often describe informally as “mind-reading,” but the literature is more precise: the partnership depends on repeated, embodied inferences about what the other is perceiving, intending, and about to do. Comparative cognition research on dogs also shows why the folk term is attractive but risky: dogs may display perspective-taking and highly skilled behavior-reading without warranting a full claim about human-style theory of mind. </w:t>
      </w:r>
      <w:hyperlink r:id="rId24">
        <w:r>
          <w:rPr>
            <w:rStyle w:val="Hyperlink"/>
          </w:rPr>
          <w:t>[17]</w:t>
        </w:r>
      </w:hyperlink>
    </w:p>
    <w:p w14:paraId="19E1DB4A" w14:textId="77777777" w:rsidR="0040792C" w:rsidRDefault="00000000">
      <w:pPr>
        <w:pStyle w:val="BodyText"/>
      </w:pPr>
      <w:r>
        <w:t xml:space="preserve">Working-dog studies also show why dyadic performance cannot be reduced to the dog or the human alone. In scent-detection work, handlers’ beliefs affect alert outcomes, handlers’ stress shifts canine performance, and knowledge conditions change the behavior of the search team even when final false-alert rates do not move much. Separate work shows that handlers positively bias their own ratings of their dogs’ performance. These findings are methodologically decisive for human-AI work: if the human partner’s expectations, stress state, and self-serving interpretations systematically shape the dyad, then long-term human-AI studies must incorporate blinded tasks, external raters, and measures that separate team-level outcomes from user narratives about those outcomes. </w:t>
      </w:r>
      <w:hyperlink r:id="rId25">
        <w:r>
          <w:rPr>
            <w:rStyle w:val="Hyperlink"/>
          </w:rPr>
          <w:t>[18]</w:t>
        </w:r>
      </w:hyperlink>
    </w:p>
    <w:p w14:paraId="08A67190" w14:textId="77777777" w:rsidR="0040792C" w:rsidRDefault="00000000">
      <w:pPr>
        <w:pStyle w:val="BodyText"/>
      </w:pPr>
      <w:r>
        <w:t xml:space="preserve">Finally, the working-animal literature already offers a mature toolbox of behavioral, physiological, and psychometric instruments. These include early guide-dog temperament ratings with factors such as trainability and attachment; juvenile guide-dog tests for </w:t>
      </w:r>
      <w:r>
        <w:lastRenderedPageBreak/>
        <w:t xml:space="preserve">predictive validity; the </w:t>
      </w:r>
      <w:r>
        <w:rPr>
          <w:b/>
          <w:bCs/>
        </w:rPr>
        <w:t>Behavior Checklist</w:t>
      </w:r>
      <w:r>
        <w:t xml:space="preserve"> used repeatedly across the guide-dog pipeline; the modified </w:t>
      </w:r>
      <w:r>
        <w:rPr>
          <w:b/>
          <w:bCs/>
        </w:rPr>
        <w:t>WDC-BARQ</w:t>
      </w:r>
      <w:r>
        <w:t xml:space="preserve"> for working dogs; relationship measures such as </w:t>
      </w:r>
      <w:r>
        <w:rPr>
          <w:b/>
          <w:bCs/>
        </w:rPr>
        <w:t>MDORS</w:t>
      </w:r>
      <w:r>
        <w:t xml:space="preserve"> and its descendants; attachment paradigms adapted from the </w:t>
      </w:r>
      <w:r>
        <w:rPr>
          <w:b/>
          <w:bCs/>
        </w:rPr>
        <w:t>Strange Situation Procedure</w:t>
      </w:r>
      <w:r>
        <w:t xml:space="preserve">; synchrony coding for gaze, joint attention, touch, locomotor coordination, and stress coupling via cortisol. The literature therefore does not just offer an analogy; it offers operationalizable constructs and tested measurement logic. </w:t>
      </w:r>
      <w:hyperlink r:id="rId26">
        <w:r>
          <w:rPr>
            <w:rStyle w:val="Hyperlink"/>
          </w:rPr>
          <w:t>[19]</w:t>
        </w:r>
      </w:hyperlink>
    </w:p>
    <w:p w14:paraId="745F6652" w14:textId="77777777" w:rsidR="0040792C" w:rsidRDefault="00000000">
      <w:pPr>
        <w:pStyle w:val="Heading2"/>
      </w:pPr>
      <w:bookmarkStart w:id="6" w:name="transfer-and-non-transfer"/>
      <w:bookmarkEnd w:id="5"/>
      <w:r>
        <w:t>Transfer and non-transfer</w:t>
      </w:r>
    </w:p>
    <w:p w14:paraId="0AE53CCC" w14:textId="77777777" w:rsidR="0040792C" w:rsidRDefault="00000000">
      <w:pPr>
        <w:pStyle w:val="FirstParagraph"/>
      </w:pPr>
      <w:r>
        <w:t xml:space="preserve">What genuinely transfers from companion-species and working-animal research to long-term human-AI partnership is not “pets for adults” rhetoric but a specific relational problem: </w:t>
      </w:r>
      <w:r>
        <w:rPr>
          <w:b/>
          <w:bCs/>
        </w:rPr>
        <w:t>how an asymmetric dyad becomes skilled together over time</w:t>
      </w:r>
      <w:r>
        <w:t xml:space="preserve">. The strongest bridge work in human-robot research now says this directly. A 2021 multidisciplinary review argues that human-dog relationships are a plausible framework for exploring human-robot attachment because robotic agents are likely to become long-term companions and because dog-human relations offer models of cooperation, communication, and attachment that are simpler and more ecologically grounded than attempts to copy full human-human interaction. A 2023 framework on bonding with pet-robots similarly imports human-animal affiliation, attachment, and long-term value trajectories to explain how first encounter, short-term interaction, and lasting relationship differ. A 2025 dog-versus-AIBO comparison goes further still by measuring social bonding through urinary oxytocin, an adapted attachment scale, and a robot-dog companionship questionnaire across month-long bonding periods. </w:t>
      </w:r>
      <w:hyperlink r:id="rId27">
        <w:r>
          <w:rPr>
            <w:rStyle w:val="Hyperlink"/>
          </w:rPr>
          <w:t>[20]</w:t>
        </w:r>
      </w:hyperlink>
    </w:p>
    <w:p w14:paraId="175A0BE5" w14:textId="77777777" w:rsidR="0040792C" w:rsidRDefault="00000000">
      <w:pPr>
        <w:pStyle w:val="BodyText"/>
      </w:pPr>
      <w:r>
        <w:t xml:space="preserve">Where the analogy misleads is equally important. AI systems do not have biological need-states, species-specific welfare requirements, aging, mortality, or a shared evolutionary and domestication history with humans. They are also commercially configurable artifacts whose “personality,” memory, and continuity may be interrupted by product design, updates, moderation rules, or platform shutdown. Recent AI-companion scholarship therefore emphasizes that these systems are often built around human-likeness, accessibility, customizability, and staged “relationship progression,” while critics argue that they structurally foreclose genuinely reciprocal intimacy even when users experience them as meaningful partners. The right conclusion is not that the analogy fails altogether, but that it transfers best at the level of </w:t>
      </w:r>
      <w:r>
        <w:rPr>
          <w:b/>
          <w:bCs/>
        </w:rPr>
        <w:t>co-adaptation, cue-reading, longitudinal calibration, and asymmetric communication</w:t>
      </w:r>
      <w:r>
        <w:t xml:space="preserve">, and worst at the level of </w:t>
      </w:r>
      <w:r>
        <w:rPr>
          <w:b/>
          <w:bCs/>
        </w:rPr>
        <w:t>mutual vulnerability, welfare symmetry, and coevolved life-history</w:t>
      </w:r>
      <w:r>
        <w:t xml:space="preserve">. That last judgment is partly an inference from combining working-animal and AI-companion literatures. </w:t>
      </w:r>
      <w:hyperlink r:id="rId28">
        <w:r>
          <w:rPr>
            <w:rStyle w:val="Hyperlink"/>
          </w:rPr>
          <w:t>[21]</w:t>
        </w:r>
      </w:hyperlink>
    </w:p>
    <w:p w14:paraId="748702FD" w14:textId="77777777" w:rsidR="0040792C" w:rsidRDefault="00000000">
      <w:pPr>
        <w:pStyle w:val="Heading2"/>
      </w:pPr>
      <w:bookmarkStart w:id="7" w:name="inventory-of-substantive-hai-engagements"/>
      <w:bookmarkEnd w:id="6"/>
      <w:r>
        <w:t>Inventory of substantive HAI engagements</w:t>
      </w:r>
    </w:p>
    <w:p w14:paraId="7A8AA9F4" w14:textId="77777777" w:rsidR="0040792C" w:rsidRDefault="00000000">
      <w:pPr>
        <w:pStyle w:val="FirstParagraph"/>
      </w:pPr>
      <w:r>
        <w:t xml:space="preserve">The direct corpus of Haraway-informed HAI work is </w:t>
      </w:r>
      <w:r>
        <w:rPr>
          <w:b/>
          <w:bCs/>
        </w:rPr>
        <w:t>real but small</w:t>
      </w:r>
      <w:r>
        <w:t xml:space="preserve">, and it is still much thinner than adjacent HRI work on attachment, companionship, and ethorobotics. The highest-confidence inventory looks like this. </w:t>
      </w:r>
      <w:hyperlink r:id="rId29">
        <w:r>
          <w:rPr>
            <w:rStyle w:val="Hyperlink"/>
          </w:rPr>
          <w:t>[22]</w:t>
        </w:r>
      </w:hyperlink>
    </w:p>
    <w:p w14:paraId="34A6F432" w14:textId="77777777" w:rsidR="0040792C" w:rsidRDefault="00000000">
      <w:pPr>
        <w:numPr>
          <w:ilvl w:val="0"/>
          <w:numId w:val="2"/>
        </w:numPr>
      </w:pPr>
      <w:r>
        <w:lastRenderedPageBreak/>
        <w:t xml:space="preserve">A 2024 </w:t>
      </w:r>
      <w:r>
        <w:rPr>
          <w:b/>
          <w:bCs/>
        </w:rPr>
        <w:t>Frontiers in Psychology</w:t>
      </w:r>
      <w:r>
        <w:t xml:space="preserve"> conceptual analysis is the strongest direct HAI engagement I found. It explicitly mobilizes Haraway’s ideas of significant otherness, companion species, becoming-with, and response-able storytelling to rethink human-chatbot relations beyond the usual “error/delusion” frame. It even contrasts two narratives in a table: </w:t>
      </w:r>
      <w:r>
        <w:rPr>
          <w:b/>
          <w:bCs/>
        </w:rPr>
        <w:t>instrumental tool</w:t>
      </w:r>
      <w:r>
        <w:t xml:space="preserve"> versus </w:t>
      </w:r>
      <w:r>
        <w:rPr>
          <w:b/>
          <w:bCs/>
        </w:rPr>
        <w:t>artificial companion species</w:t>
      </w:r>
      <w:r>
        <w:t xml:space="preserve">. This is serious Haraway use, not a decorative citation. </w:t>
      </w:r>
      <w:hyperlink r:id="rId30">
        <w:r>
          <w:rPr>
            <w:rStyle w:val="Hyperlink"/>
          </w:rPr>
          <w:t>[23]</w:t>
        </w:r>
      </w:hyperlink>
    </w:p>
    <w:p w14:paraId="03F2F411" w14:textId="77777777" w:rsidR="0040792C" w:rsidRDefault="00000000">
      <w:pPr>
        <w:numPr>
          <w:ilvl w:val="0"/>
          <w:numId w:val="2"/>
        </w:numPr>
      </w:pPr>
      <w:r>
        <w:t>Tim Jordan</w:t>
      </w:r>
      <w:hyperlink r:id="rId31">
        <w:r>
          <w:rPr>
            <w:rStyle w:val="Hyperlink"/>
          </w:rPr>
          <w:t>[24]</w:t>
        </w:r>
      </w:hyperlink>
      <w:r>
        <w:t xml:space="preserve">’s 2011 “Troubling Companions” is not HAI in the narrow empirical sense, but it is a foundational bridge text because it asks directly whether technologies can be treated through Haraway’s companion-species lens. For current HAI, it is best read as a conceptual precursor rather than an empirical study. </w:t>
      </w:r>
      <w:hyperlink r:id="rId32">
        <w:r>
          <w:rPr>
            <w:rStyle w:val="Hyperlink"/>
          </w:rPr>
          <w:t>[25]</w:t>
        </w:r>
      </w:hyperlink>
    </w:p>
    <w:p w14:paraId="1A89D1BF" w14:textId="77777777" w:rsidR="0040792C" w:rsidRDefault="00000000">
      <w:pPr>
        <w:numPr>
          <w:ilvl w:val="0"/>
          <w:numId w:val="2"/>
        </w:numPr>
      </w:pPr>
      <w:r>
        <w:t xml:space="preserve">A 2023 review titled </w:t>
      </w:r>
      <w:r>
        <w:rPr>
          <w:b/>
          <w:bCs/>
        </w:rPr>
        <w:t>Social Robot as Companion Species</w:t>
      </w:r>
      <w:r>
        <w:t xml:space="preserve"> is a direct human-robot uptake of the framework. I could verify the paper’s existence, venue, DOI, and keywords (“social robot,” “companion species,” “techno-intimacy”), but I could not recover a machine-readable abstract from the accessible page, so I treat it as verified but only partially inspectable evidence. It appears to be agenda-setting and conceptual rather than a long-term empirical study. </w:t>
      </w:r>
      <w:hyperlink r:id="rId33">
        <w:r>
          <w:rPr>
            <w:rStyle w:val="Hyperlink"/>
          </w:rPr>
          <w:t>[26]</w:t>
        </w:r>
      </w:hyperlink>
    </w:p>
    <w:p w14:paraId="34404E40" w14:textId="77777777" w:rsidR="0040792C" w:rsidRDefault="00000000">
      <w:pPr>
        <w:numPr>
          <w:ilvl w:val="0"/>
          <w:numId w:val="2"/>
        </w:numPr>
      </w:pPr>
      <w:r>
        <w:t xml:space="preserve">A 2016 commentary on </w:t>
      </w:r>
      <w:r>
        <w:rPr>
          <w:b/>
          <w:bCs/>
        </w:rPr>
        <w:t>digital companion species</w:t>
      </w:r>
      <w:r>
        <w:t xml:space="preserve"> is not HAI proper, but it is a substantive extension of Haraway to digital assemblages and is useful because it shows how companion-species thinking can move into digital-relational studies without collapsing into simple anthropomorphism. It is adjacent, not central, to human-AI working partnership. </w:t>
      </w:r>
      <w:hyperlink r:id="rId34">
        <w:r>
          <w:rPr>
            <w:rStyle w:val="Hyperlink"/>
          </w:rPr>
          <w:t>[27]</w:t>
        </w:r>
      </w:hyperlink>
    </w:p>
    <w:p w14:paraId="2206BA21" w14:textId="77777777" w:rsidR="0040792C" w:rsidRDefault="00000000">
      <w:pPr>
        <w:numPr>
          <w:ilvl w:val="0"/>
          <w:numId w:val="2"/>
        </w:numPr>
      </w:pPr>
      <w:r>
        <w:t xml:space="preserve">A 2012 cultural analysis of the “caring computer” uses Haraway’s companion-species framework to unsettle hierarchies in human-artificial care relations. Again, this is better seen as a conceptual resource than as HAI fieldwork. </w:t>
      </w:r>
      <w:hyperlink r:id="rId35">
        <w:r>
          <w:rPr>
            <w:rStyle w:val="Hyperlink"/>
          </w:rPr>
          <w:t>[28]</w:t>
        </w:r>
      </w:hyperlink>
    </w:p>
    <w:p w14:paraId="771F4566" w14:textId="77777777" w:rsidR="0040792C" w:rsidRDefault="00000000">
      <w:pPr>
        <w:pStyle w:val="FirstParagraph"/>
      </w:pPr>
      <w:r>
        <w:t xml:space="preserve">The important negative finding is that </w:t>
      </w:r>
      <w:r>
        <w:rPr>
          <w:b/>
          <w:bCs/>
        </w:rPr>
        <w:t>most</w:t>
      </w:r>
      <w:r>
        <w:t xml:space="preserve"> of the human-robot and AI-companion literature that is genuinely useful for your problem does </w:t>
      </w:r>
      <w:r>
        <w:rPr>
          <w:b/>
          <w:bCs/>
        </w:rPr>
        <w:t>not</w:t>
      </w:r>
      <w:r>
        <w:t xml:space="preserve"> use Haraway explicitly. Instead, it borrows from attachment theory, companionship studies, dog-human comparison, and ethorobotics. That includes the 2021 human-dog-to-robot review, the 2023 pet-robot bond framework, and the 2025 dogs-versus-AIBOs social-bonding study. So the field already behaves as if the animal-comparison route matters, but it usually does so without naming companion species. </w:t>
      </w:r>
      <w:hyperlink r:id="rId36">
        <w:r>
          <w:rPr>
            <w:rStyle w:val="Hyperlink"/>
          </w:rPr>
          <w:t>[20]</w:t>
        </w:r>
      </w:hyperlink>
    </w:p>
    <w:p w14:paraId="05B649DA" w14:textId="77777777" w:rsidR="0040792C" w:rsidRDefault="00000000">
      <w:pPr>
        <w:pStyle w:val="Heading2"/>
      </w:pPr>
      <w:bookmarkStart w:id="8" w:name="X9d75de8ab6d8a06ebb5db5f43d1ce43b3327949"/>
      <w:bookmarkEnd w:id="7"/>
      <w:r>
        <w:t>Companion-species-informed research program</w:t>
      </w:r>
    </w:p>
    <w:p w14:paraId="3D3BE3F9" w14:textId="77777777" w:rsidR="0040792C" w:rsidRDefault="00000000">
      <w:pPr>
        <w:pStyle w:val="FirstParagraph"/>
      </w:pPr>
      <w:r>
        <w:t xml:space="preserve">A companion-species-informed long-term study of human-AI working partnership should treat the dyad as a </w:t>
      </w:r>
      <w:r>
        <w:rPr>
          <w:b/>
          <w:bCs/>
        </w:rPr>
        <w:t>historically situated contact zone</w:t>
      </w:r>
      <w:r>
        <w:t xml:space="preserve">, not merely a user plus tool. That means studying training, correction, repair, delegated judgment, breakdown, replacement, and the end of the partnership. It also means refusing to treat either the human or the AI as fully specified before the relation begins. The right unit of analysis is therefore the </w:t>
      </w:r>
      <w:r>
        <w:rPr>
          <w:b/>
          <w:bCs/>
        </w:rPr>
        <w:t xml:space="preserve">dyad </w:t>
      </w:r>
      <w:r>
        <w:rPr>
          <w:b/>
          <w:bCs/>
        </w:rPr>
        <w:lastRenderedPageBreak/>
        <w:t>over time</w:t>
      </w:r>
      <w:r>
        <w:t xml:space="preserve">, inside a larger design, organizational, and commercial ecology. Haraway supplies the ontology; the guide-dog literature supplies the methodological realism. </w:t>
      </w:r>
      <w:hyperlink r:id="rId37">
        <w:r>
          <w:rPr>
            <w:rStyle w:val="Hyperlink"/>
          </w:rPr>
          <w:t>[29]</w:t>
        </w:r>
      </w:hyperlink>
    </w:p>
    <w:p w14:paraId="3DA58EA4" w14:textId="77777777" w:rsidR="0040792C" w:rsidRDefault="00000000">
      <w:pPr>
        <w:pStyle w:val="BodyText"/>
      </w:pPr>
      <w:r>
        <w:t xml:space="preserve">Methodologically, the best design is a </w:t>
      </w:r>
      <w:r>
        <w:rPr>
          <w:b/>
          <w:bCs/>
        </w:rPr>
        <w:t>longitudinal mixed-method panel</w:t>
      </w:r>
      <w:r>
        <w:t xml:space="preserve"> following real working dyads for at least 12 months and preferably through multiple system updates or role changes. The temporal structure should include baseline onboarding, intensive early-use sampling, routine-operation checkpoints, challenge tasks, retraining episodes, and an end-of-partnership or migration module. Guide-dog studies show that relationships look different at matching, stable operation, mismatch, retirement, and replacement; pet-robot work likewise distinguishes first encounter, short-term interaction, and lasting relationship as different phases with different mechanisms. </w:t>
      </w:r>
      <w:hyperlink r:id="rId38">
        <w:r>
          <w:rPr>
            <w:rStyle w:val="Hyperlink"/>
          </w:rPr>
          <w:t>[30]</w:t>
        </w:r>
      </w:hyperlink>
    </w:p>
    <w:p w14:paraId="135DF27D" w14:textId="77777777" w:rsidR="0040792C" w:rsidRDefault="00000000">
      <w:pPr>
        <w:pStyle w:val="BodyText"/>
      </w:pPr>
      <w:r>
        <w:t>The minimum measurement battery should be adapted from working-animal research rather than built only from conventional trust-in-automation scales.</w:t>
      </w:r>
    </w:p>
    <w:p w14:paraId="162C4EC6" w14:textId="77777777" w:rsidR="0040792C" w:rsidRDefault="00000000">
      <w:pPr>
        <w:numPr>
          <w:ilvl w:val="0"/>
          <w:numId w:val="3"/>
        </w:numPr>
      </w:pPr>
      <w:r>
        <w:rPr>
          <w:b/>
          <w:bCs/>
        </w:rPr>
        <w:t>Expectation fulfillment.</w:t>
      </w:r>
      <w:r>
        <w:t xml:space="preserve"> Adapt the guide-dog </w:t>
      </w:r>
      <w:r>
        <w:rPr>
          <w:b/>
          <w:bCs/>
        </w:rPr>
        <w:t>Fulfilment of Expectations Scale</w:t>
      </w:r>
      <w:r>
        <w:t xml:space="preserve"> into an AI-partnership version with repeated ratings for task efficacy, safety, social facilitation, companionship, behavior under uncertainty, and reliability after major updates. The working-animal precedent matters because expectation fulfillment is a strong predictor of whether long-term use is experienced as success rather than disappointment. </w:t>
      </w:r>
      <w:hyperlink r:id="rId39">
        <w:r>
          <w:rPr>
            <w:rStyle w:val="Hyperlink"/>
          </w:rPr>
          <w:t>[31]</w:t>
        </w:r>
      </w:hyperlink>
    </w:p>
    <w:p w14:paraId="3CD6BF99" w14:textId="77777777" w:rsidR="0040792C" w:rsidRDefault="00000000">
      <w:pPr>
        <w:numPr>
          <w:ilvl w:val="0"/>
          <w:numId w:val="3"/>
        </w:numPr>
      </w:pPr>
      <w:r>
        <w:rPr>
          <w:b/>
          <w:bCs/>
        </w:rPr>
        <w:t>Compatibility.</w:t>
      </w:r>
      <w:r>
        <w:t xml:space="preserve"> Adapt the 10-item guide-dog compatibility instrument into </w:t>
      </w:r>
      <w:r>
        <w:rPr>
          <w:b/>
          <w:bCs/>
        </w:rPr>
        <w:t>work</w:t>
      </w:r>
      <w:r>
        <w:t xml:space="preserve">, </w:t>
      </w:r>
      <w:r>
        <w:rPr>
          <w:b/>
          <w:bCs/>
        </w:rPr>
        <w:t>emotional</w:t>
      </w:r>
      <w:r>
        <w:t xml:space="preserve">, and </w:t>
      </w:r>
      <w:r>
        <w:rPr>
          <w:b/>
          <w:bCs/>
        </w:rPr>
        <w:t>social</w:t>
      </w:r>
      <w:r>
        <w:t xml:space="preserve"> compatibility subscales. Preserve the original logic—bond, attachment, control, mobility/task aid, safety, overall satisfaction, match success, overall compatibility, social effects, companionship—but rewrite items for AI-specific concerns such as overrideability, refusal appropriateness, initiative, pace-fit, handoff quality, and perceived calibration of confidence. </w:t>
      </w:r>
      <w:hyperlink r:id="rId40">
        <w:r>
          <w:rPr>
            <w:rStyle w:val="Hyperlink"/>
          </w:rPr>
          <w:t>[32]</w:t>
        </w:r>
      </w:hyperlink>
    </w:p>
    <w:p w14:paraId="158116DE" w14:textId="77777777" w:rsidR="0040792C" w:rsidRDefault="00000000">
      <w:pPr>
        <w:numPr>
          <w:ilvl w:val="0"/>
          <w:numId w:val="3"/>
        </w:numPr>
      </w:pPr>
      <w:r>
        <w:rPr>
          <w:b/>
          <w:bCs/>
        </w:rPr>
        <w:t>Relationship quality and user-side attachment.</w:t>
      </w:r>
      <w:r>
        <w:t xml:space="preserve"> Use the human-animal bond literature, including </w:t>
      </w:r>
      <w:r>
        <w:rPr>
          <w:b/>
          <w:bCs/>
        </w:rPr>
        <w:t>MDORS</w:t>
      </w:r>
      <w:r>
        <w:t xml:space="preserve">-style dimensions of interaction, emotional closeness, and perceived costs, and the robot literature’s adapted pet-attachment measures. But interpret scores carefully: in AI these are primarily measures of </w:t>
      </w:r>
      <w:r>
        <w:rPr>
          <w:b/>
          <w:bCs/>
        </w:rPr>
        <w:t>user-side attachment and dependence</w:t>
      </w:r>
      <w:r>
        <w:t xml:space="preserve">, not evidence of mutuality in the biological sense. </w:t>
      </w:r>
      <w:hyperlink r:id="rId41">
        <w:r>
          <w:rPr>
            <w:rStyle w:val="Hyperlink"/>
          </w:rPr>
          <w:t>[33]</w:t>
        </w:r>
      </w:hyperlink>
    </w:p>
    <w:p w14:paraId="145704AA" w14:textId="77777777" w:rsidR="0040792C" w:rsidRDefault="00000000">
      <w:pPr>
        <w:numPr>
          <w:ilvl w:val="0"/>
          <w:numId w:val="3"/>
        </w:numPr>
      </w:pPr>
      <w:r>
        <w:rPr>
          <w:b/>
          <w:bCs/>
        </w:rPr>
        <w:t>Standardized behavioral batteries.</w:t>
      </w:r>
      <w:r>
        <w:t xml:space="preserve"> Borrow the logic of the </w:t>
      </w:r>
      <w:r>
        <w:rPr>
          <w:b/>
          <w:bCs/>
        </w:rPr>
        <w:t>Behavior Checklist</w:t>
      </w:r>
      <w:r>
        <w:t xml:space="preserve">, </w:t>
      </w:r>
      <w:r>
        <w:rPr>
          <w:b/>
          <w:bCs/>
        </w:rPr>
        <w:t>GDBART</w:t>
      </w:r>
      <w:r>
        <w:t xml:space="preserve">, juvenile behavior tests, and </w:t>
      </w:r>
      <w:r>
        <w:rPr>
          <w:b/>
          <w:bCs/>
        </w:rPr>
        <w:t>WDC-BARQ</w:t>
      </w:r>
      <w:r>
        <w:t xml:space="preserve">. For AI, this becomes a blinded scenario battery scoring traits such as predictability, distractibility, interruption recovery, sycophancy, escalation thresholds, deference to correction, and inappropriate persistence. This is the closest analog to working-dog selection and monitoring. </w:t>
      </w:r>
      <w:hyperlink r:id="rId42">
        <w:r>
          <w:rPr>
            <w:rStyle w:val="Hyperlink"/>
          </w:rPr>
          <w:t>[34]</w:t>
        </w:r>
      </w:hyperlink>
    </w:p>
    <w:p w14:paraId="695AA235" w14:textId="77777777" w:rsidR="0040792C" w:rsidRDefault="00000000">
      <w:pPr>
        <w:numPr>
          <w:ilvl w:val="0"/>
          <w:numId w:val="3"/>
        </w:numPr>
      </w:pPr>
      <w:r>
        <w:rPr>
          <w:b/>
          <w:bCs/>
        </w:rPr>
        <w:t>Synchrony and mutual prediction.</w:t>
      </w:r>
      <w:r>
        <w:t xml:space="preserve"> Import cross-species synchrony measures: gaze coordination, joint attention, turn-taking timing, repair latency, locomotor or workflow coordination, and alignment under task pressure. In AI settings these will </w:t>
      </w:r>
      <w:r>
        <w:lastRenderedPageBreak/>
        <w:t xml:space="preserve">often be interaction-log measures rather than bodily ones, but the theoretical object is the same: whether the dyad is becoming easier, faster, and more legible to itself over time. </w:t>
      </w:r>
      <w:hyperlink r:id="rId43">
        <w:r>
          <w:rPr>
            <w:rStyle w:val="Hyperlink"/>
          </w:rPr>
          <w:t>[35]</w:t>
        </w:r>
      </w:hyperlink>
    </w:p>
    <w:p w14:paraId="550DAAC9" w14:textId="77777777" w:rsidR="0040792C" w:rsidRDefault="00000000">
      <w:pPr>
        <w:numPr>
          <w:ilvl w:val="0"/>
          <w:numId w:val="3"/>
        </w:numPr>
      </w:pPr>
      <w:r>
        <w:rPr>
          <w:b/>
          <w:bCs/>
        </w:rPr>
        <w:t>Bias and blind-protocol testing.</w:t>
      </w:r>
      <w:r>
        <w:t xml:space="preserve"> Detection-dog studies show that handler beliefs and stress shape team behavior, and that self-scoring inflates performance. Human-AI studies therefore need seeded false affordances, blinded conditions, adversarial prompts, external performance coding, and team-level outcome measures that separate actual capability from user interpretation. This is especially important for systems that may become sycophantic or overly affirming. </w:t>
      </w:r>
      <w:hyperlink r:id="rId44">
        <w:r>
          <w:rPr>
            <w:rStyle w:val="Hyperlink"/>
          </w:rPr>
          <w:t>[36]</w:t>
        </w:r>
      </w:hyperlink>
    </w:p>
    <w:p w14:paraId="085DD191" w14:textId="77777777" w:rsidR="0040792C" w:rsidRDefault="00000000">
      <w:pPr>
        <w:numPr>
          <w:ilvl w:val="0"/>
          <w:numId w:val="3"/>
        </w:numPr>
      </w:pPr>
      <w:r>
        <w:rPr>
          <w:b/>
          <w:bCs/>
        </w:rPr>
        <w:t>Human physiology and workload.</w:t>
      </w:r>
      <w:r>
        <w:t xml:space="preserve"> Working-dog studies use cortisol and other stress measures at the dyadic level. For AI, there is no partner-side physiology, so symmetry is impossible; still, human cortisol, heart-rate variability, workload, and attentional strain can be paired with system telemetry and latency logs to study whether the partnership is stabilizing or destabilizing the human worker. That asymmetry itself should be treated as data, not as a flaw to be hidden. </w:t>
      </w:r>
      <w:hyperlink r:id="rId45">
        <w:r>
          <w:rPr>
            <w:rStyle w:val="Hyperlink"/>
          </w:rPr>
          <w:t>[37]</w:t>
        </w:r>
      </w:hyperlink>
    </w:p>
    <w:p w14:paraId="123D5469" w14:textId="77777777" w:rsidR="0040792C" w:rsidRDefault="00000000">
      <w:pPr>
        <w:numPr>
          <w:ilvl w:val="0"/>
          <w:numId w:val="3"/>
        </w:numPr>
      </w:pPr>
      <w:r>
        <w:rPr>
          <w:b/>
          <w:bCs/>
        </w:rPr>
        <w:t>End-of-partnership effects.</w:t>
      </w:r>
      <w:r>
        <w:t xml:space="preserve"> Guide-dog research shows that the end of a successful partnership can reduce quality of life, trigger grief, and shape subsequent relationships. A serious human-AI research program should therefore measure dependency, disruption, migration costs, performance loss after system withdrawal, and the emotional as well as practical consequences of model deprecation or policy change. Recent AI-companion scholarship suggests this is not speculative. </w:t>
      </w:r>
      <w:hyperlink r:id="rId46">
        <w:r>
          <w:rPr>
            <w:rStyle w:val="Hyperlink"/>
          </w:rPr>
          <w:t>[38]</w:t>
        </w:r>
      </w:hyperlink>
    </w:p>
    <w:p w14:paraId="55DC047A" w14:textId="77777777" w:rsidR="0040792C" w:rsidRDefault="00000000">
      <w:pPr>
        <w:pStyle w:val="FirstParagraph"/>
      </w:pPr>
      <w:r>
        <w:t xml:space="preserve">If I condense the entire argument to a single research principle, it is this: </w:t>
      </w:r>
      <w:r>
        <w:rPr>
          <w:b/>
          <w:bCs/>
        </w:rPr>
        <w:t>study long-term human-AI working partnership the way guide-dog researchers study guide-dog teams, not the way software researchers study short tool-use sessions</w:t>
      </w:r>
      <w:r>
        <w:t xml:space="preserve">. That means treating coordination, mismatch, retraining, selective attachment, role-clarity, and the distributed social ecology around the dyad as first-order phenomena. Companion-species theory adds the necessary caution that this is not merely “automation adoption”; it is the study of how humans are re-made in recurring relation with consequential nonhuman partners. </w:t>
      </w:r>
      <w:hyperlink r:id="rId47">
        <w:r>
          <w:rPr>
            <w:rStyle w:val="Hyperlink"/>
          </w:rPr>
          <w:t>[39]</w:t>
        </w:r>
      </w:hyperlink>
    </w:p>
    <w:p w14:paraId="74A4AF55" w14:textId="77777777" w:rsidR="0040792C" w:rsidRDefault="00000000">
      <w:pPr>
        <w:pStyle w:val="Heading2"/>
      </w:pPr>
      <w:bookmarkStart w:id="9" w:name="open-questions-and-limitations"/>
      <w:bookmarkEnd w:id="8"/>
      <w:r>
        <w:t>Open questions and limitations</w:t>
      </w:r>
    </w:p>
    <w:p w14:paraId="6CE7491C" w14:textId="77777777" w:rsidR="0040792C" w:rsidRDefault="00000000">
      <w:pPr>
        <w:pStyle w:val="FirstParagraph"/>
      </w:pPr>
      <w:r>
        <w:t xml:space="preserve">The most important limitation is that the </w:t>
      </w:r>
      <w:r>
        <w:rPr>
          <w:b/>
          <w:bCs/>
        </w:rPr>
        <w:t>direct</w:t>
      </w:r>
      <w:r>
        <w:t xml:space="preserve"> companion-species HAI corpus is still sparse and mostly conceptual; it has not yet produced a robust empirical tradition of multi-year field studies comparable to the guide-dog literature. The adjacent HRI literature is methodologically richer, but it usually relies on attachment and dog-comparison frameworks without taking Haraway on board explicitly. A second limitation is that some direct robot-companion-species work, especially the 2023 social-robot review, was verifiable only at the bibliographic and keyword level from accessible pages, not at the full-abstract level. The strongest conclusion, therefore, is not that companion-species has already become an HAI paradigm. It has not. The stronger claim is that Haraway gives a </w:t>
      </w:r>
      <w:r>
        <w:lastRenderedPageBreak/>
        <w:t xml:space="preserve">better conceptual grammar for long-term human-AI partnership than most existing HAI vocabularies, and the working-animal literature already contains much of the measurement logic needed to build that paradigm now. </w:t>
      </w:r>
      <w:hyperlink r:id="rId48">
        <w:r>
          <w:rPr>
            <w:rStyle w:val="Hyperlink"/>
          </w:rPr>
          <w:t>[40]</w:t>
        </w:r>
      </w:hyperlink>
    </w:p>
    <w:bookmarkEnd w:id="1"/>
    <w:bookmarkEnd w:id="2"/>
    <w:bookmarkEnd w:id="9"/>
    <w:p w14:paraId="7FECB353" w14:textId="77777777" w:rsidR="0040792C" w:rsidRDefault="00EC77AB">
      <w:r>
        <w:rPr>
          <w:noProof/>
        </w:rPr>
      </w:r>
      <w:r w:rsidR="00EC77AB">
        <w:rPr>
          <w:noProof/>
        </w:rPr>
        <w:pict w14:anchorId="7C90B749">
          <v:rect id="_x0000_i1025" alt="" style="width:468pt;height:.05pt;mso-width-percent:0;mso-height-percent:0;mso-width-percent:0;mso-height-percent:0" o:hralign="center" o:hrstd="t" o:hr="t"/>
        </w:pict>
      </w:r>
    </w:p>
    <w:bookmarkStart w:id="10" w:name="citations"/>
    <w:p w14:paraId="36A8769B" w14:textId="77777777" w:rsidR="0040792C" w:rsidRDefault="00000000">
      <w:pPr>
        <w:pStyle w:val="FirstParagraph"/>
      </w:pPr>
      <w:r>
        <w:fldChar w:fldCharType="begin"/>
      </w:r>
      <w:r>
        <w:instrText>HYPERLINK "https://journals.sagepub.com/doi/abs/10.1177/20563051251410394" \h</w:instrText>
      </w:r>
      <w:r>
        <w:fldChar w:fldCharType="separate"/>
      </w:r>
      <w:r>
        <w:rPr>
          <w:rStyle w:val="Hyperlink"/>
        </w:rPr>
        <w:t>[1]</w:t>
      </w:r>
      <w:r>
        <w:fldChar w:fldCharType="end"/>
      </w:r>
      <w:r>
        <w:t xml:space="preserve"> </w:t>
      </w:r>
      <w:hyperlink r:id="rId49">
        <w:r>
          <w:rPr>
            <w:rStyle w:val="Hyperlink"/>
          </w:rPr>
          <w:t>[21]</w:t>
        </w:r>
      </w:hyperlink>
      <w:r>
        <w:t xml:space="preserve"> https://journals.sagepub.com/doi/abs/10.1177/20563051251410394</w:t>
      </w:r>
    </w:p>
    <w:p w14:paraId="77DAF118" w14:textId="77777777" w:rsidR="0040792C" w:rsidRDefault="00000000">
      <w:pPr>
        <w:pStyle w:val="BodyText"/>
      </w:pPr>
      <w:hyperlink r:id="rId50">
        <w:r>
          <w:rPr>
            <w:rStyle w:val="Hyperlink"/>
          </w:rPr>
          <w:t>https://journals.sagepub.com/doi/abs/10.1177/20563051251410394</w:t>
        </w:r>
      </w:hyperlink>
    </w:p>
    <w:p w14:paraId="25602F4A" w14:textId="77777777" w:rsidR="0040792C" w:rsidRDefault="00000000">
      <w:pPr>
        <w:pStyle w:val="BodyText"/>
      </w:pPr>
      <w:hyperlink r:id="rId51">
        <w:r>
          <w:rPr>
            <w:rStyle w:val="Hyperlink"/>
          </w:rPr>
          <w:t>[2]</w:t>
        </w:r>
      </w:hyperlink>
      <w:r>
        <w:t xml:space="preserve"> </w:t>
      </w:r>
      <w:hyperlink r:id="rId52">
        <w:r>
          <w:rPr>
            <w:rStyle w:val="Hyperlink"/>
          </w:rPr>
          <w:t>[11]</w:t>
        </w:r>
      </w:hyperlink>
      <w:r>
        <w:t xml:space="preserve"> </w:t>
      </w:r>
      <w:hyperlink r:id="rId53">
        <w:r>
          <w:rPr>
            <w:rStyle w:val="Hyperlink"/>
          </w:rPr>
          <w:t>[18]</w:t>
        </w:r>
      </w:hyperlink>
      <w:r>
        <w:t xml:space="preserve"> </w:t>
      </w:r>
      <w:hyperlink r:id="rId54">
        <w:r>
          <w:rPr>
            <w:rStyle w:val="Hyperlink"/>
          </w:rPr>
          <w:t>[36]</w:t>
        </w:r>
      </w:hyperlink>
      <w:r>
        <w:t xml:space="preserve"> Handler beliefs affect scent detection dog outcomes | Animal Cognition | Springer Nature Link</w:t>
      </w:r>
    </w:p>
    <w:p w14:paraId="7602F03D" w14:textId="77777777" w:rsidR="0040792C" w:rsidRDefault="00000000">
      <w:pPr>
        <w:pStyle w:val="BodyText"/>
      </w:pPr>
      <w:hyperlink r:id="rId55">
        <w:r>
          <w:rPr>
            <w:rStyle w:val="Hyperlink"/>
          </w:rPr>
          <w:t>https://link.springer.com/article/10.1007/s10071-010-0373-2?utm_source=chatgpt.com</w:t>
        </w:r>
      </w:hyperlink>
    </w:p>
    <w:p w14:paraId="69C74380" w14:textId="77777777" w:rsidR="0040792C" w:rsidRDefault="00000000">
      <w:pPr>
        <w:pStyle w:val="BodyText"/>
      </w:pPr>
      <w:hyperlink r:id="rId56">
        <w:r>
          <w:rPr>
            <w:rStyle w:val="Hyperlink"/>
          </w:rPr>
          <w:t>[3]</w:t>
        </w:r>
      </w:hyperlink>
      <w:r>
        <w:t xml:space="preserve"> </w:t>
      </w:r>
      <w:hyperlink r:id="rId57">
        <w:r>
          <w:rPr>
            <w:rStyle w:val="Hyperlink"/>
          </w:rPr>
          <w:t>[27]</w:t>
        </w:r>
      </w:hyperlink>
      <w:r>
        <w:t xml:space="preserve"> https://journals.sagepub.com/doi/full/10.1177/2053951715619947</w:t>
      </w:r>
    </w:p>
    <w:p w14:paraId="1C75828F" w14:textId="77777777" w:rsidR="0040792C" w:rsidRDefault="00000000">
      <w:pPr>
        <w:pStyle w:val="BodyText"/>
      </w:pPr>
      <w:hyperlink r:id="rId58">
        <w:r>
          <w:rPr>
            <w:rStyle w:val="Hyperlink"/>
          </w:rPr>
          <w:t>https://journals.sagepub.com/doi/full/10.1177/2053951715619947</w:t>
        </w:r>
      </w:hyperlink>
    </w:p>
    <w:p w14:paraId="631E617E" w14:textId="77777777" w:rsidR="0040792C" w:rsidRDefault="00000000">
      <w:pPr>
        <w:pStyle w:val="BodyText"/>
      </w:pPr>
      <w:hyperlink r:id="rId59">
        <w:r>
          <w:rPr>
            <w:rStyle w:val="Hyperlink"/>
          </w:rPr>
          <w:t>[4]</w:t>
        </w:r>
      </w:hyperlink>
      <w:r>
        <w:t xml:space="preserve"> </w:t>
      </w:r>
      <w:hyperlink r:id="rId60">
        <w:r>
          <w:rPr>
            <w:rStyle w:val="Hyperlink"/>
          </w:rPr>
          <w:t>[5]</w:t>
        </w:r>
      </w:hyperlink>
      <w:r>
        <w:t xml:space="preserve"> https://press.uchicago.edu/ucp/books/book/distributed/C/bo3645022.html</w:t>
      </w:r>
    </w:p>
    <w:p w14:paraId="1F8F0BCC" w14:textId="77777777" w:rsidR="0040792C" w:rsidRDefault="00000000">
      <w:pPr>
        <w:pStyle w:val="BodyText"/>
      </w:pPr>
      <w:hyperlink r:id="rId61">
        <w:r>
          <w:rPr>
            <w:rStyle w:val="Hyperlink"/>
          </w:rPr>
          <w:t>https://press.uchicago.edu/ucp/books/book/distributed/C/bo3645022.html</w:t>
        </w:r>
      </w:hyperlink>
    </w:p>
    <w:p w14:paraId="4DC44F99" w14:textId="77777777" w:rsidR="0040792C" w:rsidRDefault="00000000">
      <w:pPr>
        <w:pStyle w:val="BodyText"/>
      </w:pPr>
      <w:hyperlink r:id="rId62">
        <w:r>
          <w:rPr>
            <w:rStyle w:val="Hyperlink"/>
          </w:rPr>
          <w:t>[6]</w:t>
        </w:r>
      </w:hyperlink>
      <w:r>
        <w:t xml:space="preserve"> </w:t>
      </w:r>
      <w:hyperlink r:id="rId63">
        <w:r>
          <w:rPr>
            <w:rStyle w:val="Hyperlink"/>
          </w:rPr>
          <w:t>[7]</w:t>
        </w:r>
      </w:hyperlink>
      <w:r>
        <w:t xml:space="preserve"> </w:t>
      </w:r>
      <w:hyperlink r:id="rId64">
        <w:r>
          <w:rPr>
            <w:rStyle w:val="Hyperlink"/>
          </w:rPr>
          <w:t>[22]</w:t>
        </w:r>
      </w:hyperlink>
      <w:r>
        <w:t xml:space="preserve"> </w:t>
      </w:r>
      <w:hyperlink r:id="rId65">
        <w:r>
          <w:rPr>
            <w:rStyle w:val="Hyperlink"/>
          </w:rPr>
          <w:t>[23]</w:t>
        </w:r>
      </w:hyperlink>
      <w:r>
        <w:t xml:space="preserve"> </w:t>
      </w:r>
      <w:hyperlink r:id="rId66">
        <w:r>
          <w:rPr>
            <w:rStyle w:val="Hyperlink"/>
          </w:rPr>
          <w:t>[29]</w:t>
        </w:r>
      </w:hyperlink>
      <w:r>
        <w:t xml:space="preserve"> https://www.frontiersin.org/journals/psychology/articles/10.3389/fpsyg.2024.1357572/full</w:t>
      </w:r>
    </w:p>
    <w:p w14:paraId="7F2E8D26" w14:textId="77777777" w:rsidR="0040792C" w:rsidRDefault="00000000">
      <w:pPr>
        <w:pStyle w:val="BodyText"/>
      </w:pPr>
      <w:hyperlink r:id="rId67">
        <w:r>
          <w:rPr>
            <w:rStyle w:val="Hyperlink"/>
          </w:rPr>
          <w:t>https://www.frontiersin.org/journals/psychology/articles/10.3389/fpsyg.2024.1357572/full</w:t>
        </w:r>
      </w:hyperlink>
    </w:p>
    <w:p w14:paraId="37E9F293" w14:textId="77777777" w:rsidR="0040792C" w:rsidRDefault="00000000">
      <w:pPr>
        <w:pStyle w:val="BodyText"/>
      </w:pPr>
      <w:hyperlink r:id="rId68">
        <w:r>
          <w:rPr>
            <w:rStyle w:val="Hyperlink"/>
          </w:rPr>
          <w:t>[8]</w:t>
        </w:r>
      </w:hyperlink>
      <w:r>
        <w:t xml:space="preserve"> </w:t>
      </w:r>
      <w:hyperlink r:id="rId69">
        <w:r>
          <w:rPr>
            <w:rStyle w:val="Hyperlink"/>
          </w:rPr>
          <w:t>[25]</w:t>
        </w:r>
      </w:hyperlink>
      <w:r>
        <w:t xml:space="preserve"> https://www.tandfonline.com/doi/abs/10.1080/08038740.2011.620003</w:t>
      </w:r>
    </w:p>
    <w:p w14:paraId="250BD057" w14:textId="77777777" w:rsidR="0040792C" w:rsidRDefault="00000000">
      <w:pPr>
        <w:pStyle w:val="BodyText"/>
      </w:pPr>
      <w:hyperlink r:id="rId70">
        <w:r>
          <w:rPr>
            <w:rStyle w:val="Hyperlink"/>
          </w:rPr>
          <w:t>https://www.tandfonline.com/doi/abs/10.1080/08038740.2011.620003</w:t>
        </w:r>
      </w:hyperlink>
    </w:p>
    <w:p w14:paraId="51445266" w14:textId="77777777" w:rsidR="0040792C" w:rsidRDefault="00000000">
      <w:pPr>
        <w:pStyle w:val="BodyText"/>
      </w:pPr>
      <w:hyperlink r:id="rId71">
        <w:r>
          <w:rPr>
            <w:rStyle w:val="Hyperlink"/>
          </w:rPr>
          <w:t>[9]</w:t>
        </w:r>
      </w:hyperlink>
      <w:r>
        <w:t xml:space="preserve"> https://www.researchgate.net/publication/333998718_Guest_Introduction_More-than-human_contact_zones</w:t>
      </w:r>
    </w:p>
    <w:p w14:paraId="451A071E" w14:textId="77777777" w:rsidR="0040792C" w:rsidRDefault="00000000">
      <w:pPr>
        <w:pStyle w:val="BodyText"/>
      </w:pPr>
      <w:hyperlink r:id="rId72">
        <w:r>
          <w:rPr>
            <w:rStyle w:val="Hyperlink"/>
          </w:rPr>
          <w:t>https://www.researchgate.net/publication/333998718_Guest_Introduction_More-than-human_contact_zones</w:t>
        </w:r>
      </w:hyperlink>
    </w:p>
    <w:p w14:paraId="128FF19A" w14:textId="77777777" w:rsidR="0040792C" w:rsidRDefault="00000000">
      <w:pPr>
        <w:pStyle w:val="BodyText"/>
      </w:pPr>
      <w:hyperlink r:id="rId73">
        <w:r>
          <w:rPr>
            <w:rStyle w:val="Hyperlink"/>
          </w:rPr>
          <w:t>[10]</w:t>
        </w:r>
      </w:hyperlink>
      <w:r>
        <w:t xml:space="preserve"> </w:t>
      </w:r>
      <w:hyperlink r:id="rId74">
        <w:r>
          <w:rPr>
            <w:rStyle w:val="Hyperlink"/>
          </w:rPr>
          <w:t>[15]</w:t>
        </w:r>
      </w:hyperlink>
      <w:r>
        <w:t xml:space="preserve"> </w:t>
      </w:r>
      <w:hyperlink r:id="rId75">
        <w:r>
          <w:rPr>
            <w:rStyle w:val="Hyperlink"/>
          </w:rPr>
          <w:t>[30]</w:t>
        </w:r>
      </w:hyperlink>
      <w:r>
        <w:t xml:space="preserve"> </w:t>
      </w:r>
      <w:hyperlink r:id="rId76">
        <w:r>
          <w:rPr>
            <w:rStyle w:val="Hyperlink"/>
          </w:rPr>
          <w:t>[39]</w:t>
        </w:r>
      </w:hyperlink>
      <w:r>
        <w:t xml:space="preserve"> Frontiers | An Investigation of the Complexities of Successful and Unsuccessful Guide Dog Matching and Partnerships</w:t>
      </w:r>
    </w:p>
    <w:p w14:paraId="37346368" w14:textId="77777777" w:rsidR="0040792C" w:rsidRDefault="00000000">
      <w:pPr>
        <w:pStyle w:val="BodyText"/>
      </w:pPr>
      <w:hyperlink r:id="rId77">
        <w:r>
          <w:rPr>
            <w:rStyle w:val="Hyperlink"/>
          </w:rPr>
          <w:t>https://www.frontiersin.org/articles/10.3389/fvets.2016.00114/full?utm_source=chatgpt.com</w:t>
        </w:r>
      </w:hyperlink>
    </w:p>
    <w:p w14:paraId="6FD66B0A" w14:textId="77777777" w:rsidR="0040792C" w:rsidRDefault="00000000">
      <w:pPr>
        <w:pStyle w:val="BodyText"/>
      </w:pPr>
      <w:hyperlink r:id="rId78">
        <w:r>
          <w:rPr>
            <w:rStyle w:val="Hyperlink"/>
          </w:rPr>
          <w:t>[12]</w:t>
        </w:r>
      </w:hyperlink>
      <w:r>
        <w:t xml:space="preserve"> https://www.mdpi.com/2077-1444/10/1/25</w:t>
      </w:r>
    </w:p>
    <w:p w14:paraId="0FD54BCE" w14:textId="77777777" w:rsidR="0040792C" w:rsidRDefault="00000000">
      <w:pPr>
        <w:pStyle w:val="BodyText"/>
      </w:pPr>
      <w:hyperlink r:id="rId79">
        <w:r>
          <w:rPr>
            <w:rStyle w:val="Hyperlink"/>
          </w:rPr>
          <w:t>https://www.mdpi.com/2077-1444/10/1/25</w:t>
        </w:r>
      </w:hyperlink>
    </w:p>
    <w:p w14:paraId="04C9EA57" w14:textId="77777777" w:rsidR="0040792C" w:rsidRDefault="00000000">
      <w:pPr>
        <w:pStyle w:val="BodyText"/>
      </w:pPr>
      <w:hyperlink r:id="rId80">
        <w:r>
          <w:rPr>
            <w:rStyle w:val="Hyperlink"/>
          </w:rPr>
          <w:t>[13]</w:t>
        </w:r>
      </w:hyperlink>
      <w:r>
        <w:t xml:space="preserve"> </w:t>
      </w:r>
      <w:hyperlink r:id="rId81">
        <w:r>
          <w:rPr>
            <w:rStyle w:val="Hyperlink"/>
          </w:rPr>
          <w:t>[20]</w:t>
        </w:r>
      </w:hyperlink>
      <w:r>
        <w:t xml:space="preserve"> https://link.springer.com/article/10.1007/s10071-021-01472-w</w:t>
      </w:r>
    </w:p>
    <w:p w14:paraId="512FD08A" w14:textId="77777777" w:rsidR="0040792C" w:rsidRDefault="00000000">
      <w:pPr>
        <w:pStyle w:val="BodyText"/>
      </w:pPr>
      <w:hyperlink r:id="rId82">
        <w:r>
          <w:rPr>
            <w:rStyle w:val="Hyperlink"/>
          </w:rPr>
          <w:t>https://link.springer.com/article/10.1007/s10071-021-01472-w</w:t>
        </w:r>
      </w:hyperlink>
    </w:p>
    <w:p w14:paraId="32601C2B" w14:textId="77777777" w:rsidR="0040792C" w:rsidRDefault="00000000">
      <w:pPr>
        <w:pStyle w:val="BodyText"/>
      </w:pPr>
      <w:hyperlink r:id="rId83">
        <w:r>
          <w:rPr>
            <w:rStyle w:val="Hyperlink"/>
          </w:rPr>
          <w:t>[14]</w:t>
        </w:r>
      </w:hyperlink>
      <w:r>
        <w:t xml:space="preserve"> </w:t>
      </w:r>
      <w:hyperlink r:id="rId84">
        <w:r>
          <w:rPr>
            <w:rStyle w:val="Hyperlink"/>
          </w:rPr>
          <w:t>[24]</w:t>
        </w:r>
      </w:hyperlink>
      <w:r>
        <w:t xml:space="preserve"> https://academic.oup.com/icb/article/14/1/323/2066776</w:t>
      </w:r>
    </w:p>
    <w:p w14:paraId="2C2575E3" w14:textId="77777777" w:rsidR="0040792C" w:rsidRDefault="00000000">
      <w:pPr>
        <w:pStyle w:val="BodyText"/>
      </w:pPr>
      <w:hyperlink r:id="rId85">
        <w:r>
          <w:rPr>
            <w:rStyle w:val="Hyperlink"/>
          </w:rPr>
          <w:t>https://academic.oup.com/icb/article/14/1/323/2066776</w:t>
        </w:r>
      </w:hyperlink>
    </w:p>
    <w:p w14:paraId="34285E42" w14:textId="77777777" w:rsidR="0040792C" w:rsidRDefault="00000000">
      <w:pPr>
        <w:pStyle w:val="BodyText"/>
      </w:pPr>
      <w:hyperlink r:id="rId86">
        <w:r>
          <w:rPr>
            <w:rStyle w:val="Hyperlink"/>
          </w:rPr>
          <w:t>[16]</w:t>
        </w:r>
      </w:hyperlink>
      <w:r>
        <w:t xml:space="preserve"> </w:t>
      </w:r>
      <w:hyperlink r:id="rId87">
        <w:r>
          <w:rPr>
            <w:rStyle w:val="Hyperlink"/>
          </w:rPr>
          <w:t>[31]</w:t>
        </w:r>
      </w:hyperlink>
      <w:r>
        <w:t xml:space="preserve"> </w:t>
      </w:r>
      <w:hyperlink r:id="rId88">
        <w:r>
          <w:rPr>
            <w:rStyle w:val="Hyperlink"/>
          </w:rPr>
          <w:t>[32]</w:t>
        </w:r>
      </w:hyperlink>
      <w:r>
        <w:t xml:space="preserve"> Handlers’ Expectations and Perceived Compatibility regarding the Partnership with Their First Guide Dogs | MDPI</w:t>
      </w:r>
    </w:p>
    <w:p w14:paraId="0BB4C6D2" w14:textId="77777777" w:rsidR="0040792C" w:rsidRDefault="00000000">
      <w:pPr>
        <w:pStyle w:val="BodyText"/>
      </w:pPr>
      <w:hyperlink r:id="rId89">
        <w:r>
          <w:rPr>
            <w:rStyle w:val="Hyperlink"/>
          </w:rPr>
          <w:t>https://www.mdpi.com/2076-2615/11/10/2765</w:t>
        </w:r>
      </w:hyperlink>
    </w:p>
    <w:p w14:paraId="313C2CA6" w14:textId="77777777" w:rsidR="0040792C" w:rsidRDefault="00000000">
      <w:pPr>
        <w:pStyle w:val="BodyText"/>
      </w:pPr>
      <w:hyperlink r:id="rId90">
        <w:r>
          <w:rPr>
            <w:rStyle w:val="Hyperlink"/>
          </w:rPr>
          <w:t>[17]</w:t>
        </w:r>
      </w:hyperlink>
      <w:r>
        <w:t xml:space="preserve"> https://ojs.utlib.ee/index.php/sss/article/view/SSS.2014.42.2-3.10</w:t>
      </w:r>
    </w:p>
    <w:p w14:paraId="6C89A548" w14:textId="77777777" w:rsidR="0040792C" w:rsidRDefault="00000000">
      <w:pPr>
        <w:pStyle w:val="BodyText"/>
      </w:pPr>
      <w:hyperlink r:id="rId91">
        <w:r>
          <w:rPr>
            <w:rStyle w:val="Hyperlink"/>
          </w:rPr>
          <w:t>https://ojs.utlib.ee/index.php/sss/article/view/SSS.2014.42.2-3.10</w:t>
        </w:r>
      </w:hyperlink>
    </w:p>
    <w:p w14:paraId="7796B835" w14:textId="77777777" w:rsidR="0040792C" w:rsidRDefault="00000000">
      <w:pPr>
        <w:pStyle w:val="BodyText"/>
      </w:pPr>
      <w:hyperlink r:id="rId92">
        <w:r>
          <w:rPr>
            <w:rStyle w:val="Hyperlink"/>
          </w:rPr>
          <w:t>[19]</w:t>
        </w:r>
      </w:hyperlink>
      <w:r>
        <w:t xml:space="preserve"> https://www.sciencedirect.com/science/article/pii/S0168159100002100</w:t>
      </w:r>
    </w:p>
    <w:p w14:paraId="6C25CF99" w14:textId="77777777" w:rsidR="0040792C" w:rsidRDefault="00000000">
      <w:pPr>
        <w:pStyle w:val="BodyText"/>
      </w:pPr>
      <w:hyperlink r:id="rId93">
        <w:r>
          <w:rPr>
            <w:rStyle w:val="Hyperlink"/>
          </w:rPr>
          <w:t>https://www.sciencedirect.com/science/article/pii/S0168159100002100</w:t>
        </w:r>
      </w:hyperlink>
    </w:p>
    <w:p w14:paraId="019A14A6" w14:textId="77777777" w:rsidR="0040792C" w:rsidRDefault="00000000">
      <w:pPr>
        <w:pStyle w:val="BodyText"/>
      </w:pPr>
      <w:hyperlink r:id="rId94">
        <w:r>
          <w:rPr>
            <w:rStyle w:val="Hyperlink"/>
          </w:rPr>
          <w:t>[26]</w:t>
        </w:r>
      </w:hyperlink>
      <w:r>
        <w:t xml:space="preserve"> </w:t>
      </w:r>
      <w:hyperlink r:id="rId95">
        <w:r>
          <w:rPr>
            <w:rStyle w:val="Hyperlink"/>
          </w:rPr>
          <w:t>[40]</w:t>
        </w:r>
      </w:hyperlink>
      <w:r>
        <w:t xml:space="preserve"> https://www.jstage.jst.go.jp/article/jrsj/41/1/41_41_40/_article/-char/en</w:t>
      </w:r>
    </w:p>
    <w:p w14:paraId="0F16E5B8" w14:textId="77777777" w:rsidR="0040792C" w:rsidRDefault="00000000">
      <w:pPr>
        <w:pStyle w:val="BodyText"/>
      </w:pPr>
      <w:hyperlink r:id="rId96">
        <w:r>
          <w:rPr>
            <w:rStyle w:val="Hyperlink"/>
          </w:rPr>
          <w:t>https://www.jstage.jst.go.jp/article/jrsj/41/1/41_41_40/_article/-char/en</w:t>
        </w:r>
      </w:hyperlink>
    </w:p>
    <w:p w14:paraId="7C778D45" w14:textId="77777777" w:rsidR="0040792C" w:rsidRDefault="00000000">
      <w:pPr>
        <w:pStyle w:val="BodyText"/>
      </w:pPr>
      <w:hyperlink r:id="rId97">
        <w:r>
          <w:rPr>
            <w:rStyle w:val="Hyperlink"/>
          </w:rPr>
          <w:t>[28]</w:t>
        </w:r>
      </w:hyperlink>
      <w:r>
        <w:t xml:space="preserve"> https://journals.sagepub.com/doi/10.1177/1464700112442646</w:t>
      </w:r>
    </w:p>
    <w:p w14:paraId="11739C13" w14:textId="77777777" w:rsidR="0040792C" w:rsidRDefault="00000000">
      <w:pPr>
        <w:pStyle w:val="BodyText"/>
      </w:pPr>
      <w:hyperlink r:id="rId98">
        <w:r>
          <w:rPr>
            <w:rStyle w:val="Hyperlink"/>
          </w:rPr>
          <w:t>https://journals.sagepub.com/doi/10.1177/1464700112442646</w:t>
        </w:r>
      </w:hyperlink>
    </w:p>
    <w:p w14:paraId="1B373456" w14:textId="77777777" w:rsidR="0040792C" w:rsidRDefault="00000000">
      <w:pPr>
        <w:pStyle w:val="BodyText"/>
      </w:pPr>
      <w:hyperlink r:id="rId99">
        <w:r>
          <w:rPr>
            <w:rStyle w:val="Hyperlink"/>
          </w:rPr>
          <w:t>[33]</w:t>
        </w:r>
      </w:hyperlink>
      <w:r>
        <w:t xml:space="preserve"> https://research.monash.edu/en/publications/development-of-the-monash-dog-owner-relationship-scale-mdors/</w:t>
      </w:r>
    </w:p>
    <w:p w14:paraId="2FDF79E5" w14:textId="77777777" w:rsidR="0040792C" w:rsidRDefault="00000000">
      <w:pPr>
        <w:pStyle w:val="BodyText"/>
      </w:pPr>
      <w:hyperlink r:id="rId100">
        <w:r>
          <w:rPr>
            <w:rStyle w:val="Hyperlink"/>
          </w:rPr>
          <w:t>https://research.monash.edu/en/publications/development-of-the-monash-dog-owner-relationship-scale-mdors/</w:t>
        </w:r>
      </w:hyperlink>
    </w:p>
    <w:p w14:paraId="2B5417F1" w14:textId="77777777" w:rsidR="0040792C" w:rsidRDefault="00000000">
      <w:pPr>
        <w:pStyle w:val="BodyText"/>
      </w:pPr>
      <w:hyperlink r:id="rId101">
        <w:r>
          <w:rPr>
            <w:rStyle w:val="Hyperlink"/>
          </w:rPr>
          <w:t>[34]</w:t>
        </w:r>
      </w:hyperlink>
      <w:r>
        <w:t xml:space="preserve"> https://pmc.ncbi.nlm.nih.gov/articles/PMC12272753/</w:t>
      </w:r>
    </w:p>
    <w:p w14:paraId="5427328B" w14:textId="77777777" w:rsidR="0040792C" w:rsidRDefault="00000000">
      <w:pPr>
        <w:pStyle w:val="BodyText"/>
      </w:pPr>
      <w:hyperlink r:id="rId102">
        <w:r>
          <w:rPr>
            <w:rStyle w:val="Hyperlink"/>
          </w:rPr>
          <w:t>https://pmc.ncbi.nlm.nih.gov/articles/PMC12272753/</w:t>
        </w:r>
      </w:hyperlink>
    </w:p>
    <w:p w14:paraId="7ECAEEF6" w14:textId="77777777" w:rsidR="0040792C" w:rsidRDefault="00000000">
      <w:pPr>
        <w:pStyle w:val="BodyText"/>
      </w:pPr>
      <w:hyperlink r:id="rId103">
        <w:r>
          <w:rPr>
            <w:rStyle w:val="Hyperlink"/>
          </w:rPr>
          <w:t>[35]</w:t>
        </w:r>
      </w:hyperlink>
      <w:r>
        <w:t xml:space="preserve"> https://www.sciencedirect.com/science/article/pii/S1558787817300527</w:t>
      </w:r>
    </w:p>
    <w:p w14:paraId="4A3E45DB" w14:textId="77777777" w:rsidR="0040792C" w:rsidRDefault="00000000">
      <w:pPr>
        <w:pStyle w:val="BodyText"/>
      </w:pPr>
      <w:hyperlink r:id="rId104">
        <w:r>
          <w:rPr>
            <w:rStyle w:val="Hyperlink"/>
          </w:rPr>
          <w:t>https://www.sciencedirect.com/science/article/pii/S1558787817300527</w:t>
        </w:r>
      </w:hyperlink>
    </w:p>
    <w:p w14:paraId="520AD160" w14:textId="77777777" w:rsidR="0040792C" w:rsidRDefault="00000000">
      <w:pPr>
        <w:pStyle w:val="BodyText"/>
      </w:pPr>
      <w:hyperlink r:id="rId105">
        <w:r>
          <w:rPr>
            <w:rStyle w:val="Hyperlink"/>
          </w:rPr>
          <w:t>[37]</w:t>
        </w:r>
      </w:hyperlink>
      <w:r>
        <w:t xml:space="preserve"> https://www.mdpi.com/2076-2615/10/4/595</w:t>
      </w:r>
    </w:p>
    <w:p w14:paraId="040F4285" w14:textId="77777777" w:rsidR="0040792C" w:rsidRDefault="00000000">
      <w:pPr>
        <w:pStyle w:val="BodyText"/>
      </w:pPr>
      <w:hyperlink r:id="rId106">
        <w:r>
          <w:rPr>
            <w:rStyle w:val="Hyperlink"/>
          </w:rPr>
          <w:t>https://www.mdpi.com/2076-2615/10/4/595</w:t>
        </w:r>
      </w:hyperlink>
    </w:p>
    <w:p w14:paraId="58779858" w14:textId="77777777" w:rsidR="0040792C" w:rsidRDefault="00000000">
      <w:pPr>
        <w:pStyle w:val="BodyText"/>
      </w:pPr>
      <w:hyperlink r:id="rId107">
        <w:r>
          <w:rPr>
            <w:rStyle w:val="Hyperlink"/>
          </w:rPr>
          <w:t>[38]</w:t>
        </w:r>
      </w:hyperlink>
      <w:r>
        <w:t xml:space="preserve"> https://pmc.ncbi.nlm.nih.gov/articles/PMC8100499/</w:t>
      </w:r>
    </w:p>
    <w:p w14:paraId="7F1C525D" w14:textId="77777777" w:rsidR="0040792C" w:rsidRDefault="00000000">
      <w:pPr>
        <w:pStyle w:val="BodyText"/>
      </w:pPr>
      <w:hyperlink r:id="rId108">
        <w:r>
          <w:rPr>
            <w:rStyle w:val="Hyperlink"/>
          </w:rPr>
          <w:t>https://pmc.ncbi.nlm.nih.gov/articles/PMC8100499/</w:t>
        </w:r>
      </w:hyperlink>
    </w:p>
    <w:p w14:paraId="3E62FD63" w14:textId="77777777" w:rsidR="00EC77AB" w:rsidRDefault="00EC77AB">
      <w:pPr>
        <w:pStyle w:val="BodyText"/>
      </w:pPr>
    </w:p>
    <w:p w14:paraId="3E584423" w14:textId="77777777" w:rsidR="00EC77AB" w:rsidRDefault="00EC77AB" w:rsidP="00EC77AB">
      <w:pPr>
        <w:pStyle w:val="NormalWeb"/>
      </w:pPr>
      <w:r>
        <w:lastRenderedPageBreak/>
        <w:t xml:space="preserve">Below is a </w:t>
      </w:r>
      <w:r>
        <w:rPr>
          <w:rStyle w:val="Strong"/>
        </w:rPr>
        <w:t>structured extraction of the empirical and quasi-empirical studies</w:t>
      </w:r>
      <w:r>
        <w:t xml:space="preserve"> from the deep research, followed by synthesis and a concrete gap statement for a credible 6–24 month panel design.</w:t>
      </w:r>
    </w:p>
    <w:p w14:paraId="5B3AC489" w14:textId="77777777" w:rsidR="00EC77AB" w:rsidRDefault="00EC77AB" w:rsidP="00EC77AB">
      <w:r>
        <w:rPr>
          <w:noProof/>
        </w:rPr>
      </w:r>
      <w:r w:rsidR="00EC77AB">
        <w:rPr>
          <w:noProof/>
        </w:rPr>
        <w:pict w14:anchorId="60F3CAEB">
          <v:rect id="_x0000_i1026" alt="" style="width:468pt;height:.05pt;mso-width-percent:0;mso-height-percent:0;mso-width-percent:0;mso-height-percent:0" o:hralign="center" o:hrstd="t" o:hr="t" fillcolor="#a0a0a0" stroked="f"/>
        </w:pict>
      </w:r>
    </w:p>
    <w:p w14:paraId="7892A318" w14:textId="77777777" w:rsidR="00EC77AB" w:rsidRDefault="00EC77AB" w:rsidP="00EC77AB">
      <w:pPr>
        <w:pStyle w:val="Heading1"/>
      </w:pPr>
      <w:r>
        <w:t>Comparison Table: Working-Animal + HAI-Relevant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564"/>
        <w:gridCol w:w="1600"/>
        <w:gridCol w:w="1438"/>
        <w:gridCol w:w="2099"/>
      </w:tblGrid>
      <w:tr w:rsidR="00EC77AB" w14:paraId="20558049" w14:textId="77777777">
        <w:trPr>
          <w:tblHeader/>
          <w:tblCellSpacing w:w="15" w:type="dxa"/>
        </w:trPr>
        <w:tc>
          <w:tcPr>
            <w:tcW w:w="0" w:type="auto"/>
            <w:vAlign w:val="center"/>
            <w:hideMark/>
          </w:tcPr>
          <w:p w14:paraId="2C87BC11" w14:textId="77777777" w:rsidR="00EC77AB" w:rsidRDefault="00EC77AB">
            <w:pPr>
              <w:jc w:val="center"/>
              <w:rPr>
                <w:b/>
                <w:bCs/>
              </w:rPr>
            </w:pPr>
            <w:r>
              <w:rPr>
                <w:b/>
                <w:bCs/>
              </w:rPr>
              <w:t>Study</w:t>
            </w:r>
          </w:p>
        </w:tc>
        <w:tc>
          <w:tcPr>
            <w:tcW w:w="0" w:type="auto"/>
            <w:vAlign w:val="center"/>
            <w:hideMark/>
          </w:tcPr>
          <w:p w14:paraId="6E46A4AD" w14:textId="77777777" w:rsidR="00EC77AB" w:rsidRDefault="00EC77AB">
            <w:pPr>
              <w:jc w:val="center"/>
              <w:rPr>
                <w:b/>
                <w:bCs/>
              </w:rPr>
            </w:pPr>
            <w:r>
              <w:rPr>
                <w:b/>
                <w:bCs/>
              </w:rPr>
              <w:t>Design</w:t>
            </w:r>
          </w:p>
        </w:tc>
        <w:tc>
          <w:tcPr>
            <w:tcW w:w="0" w:type="auto"/>
            <w:vAlign w:val="center"/>
            <w:hideMark/>
          </w:tcPr>
          <w:p w14:paraId="27286C26" w14:textId="77777777" w:rsidR="00EC77AB" w:rsidRDefault="00EC77AB">
            <w:pPr>
              <w:jc w:val="center"/>
              <w:rPr>
                <w:b/>
                <w:bCs/>
              </w:rPr>
            </w:pPr>
            <w:r>
              <w:rPr>
                <w:b/>
                <w:bCs/>
              </w:rPr>
              <w:t>Duration</w:t>
            </w:r>
          </w:p>
        </w:tc>
        <w:tc>
          <w:tcPr>
            <w:tcW w:w="0" w:type="auto"/>
            <w:vAlign w:val="center"/>
            <w:hideMark/>
          </w:tcPr>
          <w:p w14:paraId="54C9A57A" w14:textId="77777777" w:rsidR="00EC77AB" w:rsidRDefault="00EC77AB">
            <w:pPr>
              <w:jc w:val="center"/>
              <w:rPr>
                <w:b/>
                <w:bCs/>
              </w:rPr>
            </w:pPr>
            <w:r>
              <w:rPr>
                <w:b/>
                <w:bCs/>
              </w:rPr>
              <w:t>N</w:t>
            </w:r>
          </w:p>
        </w:tc>
        <w:tc>
          <w:tcPr>
            <w:tcW w:w="0" w:type="auto"/>
            <w:vAlign w:val="center"/>
            <w:hideMark/>
          </w:tcPr>
          <w:p w14:paraId="56DE1196" w14:textId="77777777" w:rsidR="00EC77AB" w:rsidRDefault="00EC77AB">
            <w:pPr>
              <w:jc w:val="center"/>
              <w:rPr>
                <w:b/>
                <w:bCs/>
              </w:rPr>
            </w:pPr>
            <w:r>
              <w:rPr>
                <w:b/>
                <w:bCs/>
              </w:rPr>
              <w:t>Key Finding</w:t>
            </w:r>
          </w:p>
        </w:tc>
      </w:tr>
      <w:tr w:rsidR="00EC77AB" w14:paraId="7F483761" w14:textId="77777777">
        <w:trPr>
          <w:tblCellSpacing w:w="15" w:type="dxa"/>
        </w:trPr>
        <w:tc>
          <w:tcPr>
            <w:tcW w:w="0" w:type="auto"/>
            <w:vAlign w:val="center"/>
            <w:hideMark/>
          </w:tcPr>
          <w:p w14:paraId="0B272D5D" w14:textId="77777777" w:rsidR="00EC77AB" w:rsidRDefault="00EC77AB">
            <w:r>
              <w:t>Guide-dog matching study (2016, Frontiers Vet Sci)</w:t>
            </w:r>
          </w:p>
        </w:tc>
        <w:tc>
          <w:tcPr>
            <w:tcW w:w="0" w:type="auto"/>
            <w:vAlign w:val="center"/>
            <w:hideMark/>
          </w:tcPr>
          <w:p w14:paraId="79040F24" w14:textId="77777777" w:rsidR="00EC77AB" w:rsidRDefault="00EC77AB">
            <w:r>
              <w:t>Retrospective + cross-sectional analysis of matched/unmatched pairs</w:t>
            </w:r>
          </w:p>
        </w:tc>
        <w:tc>
          <w:tcPr>
            <w:tcW w:w="0" w:type="auto"/>
            <w:vAlign w:val="center"/>
            <w:hideMark/>
          </w:tcPr>
          <w:p w14:paraId="2BC5C76C" w14:textId="77777777" w:rsidR="00EC77AB" w:rsidRDefault="00EC77AB">
            <w:r>
              <w:t>Multi-year partnerships (avg ~6 yrs successful)</w:t>
            </w:r>
          </w:p>
        </w:tc>
        <w:tc>
          <w:tcPr>
            <w:tcW w:w="0" w:type="auto"/>
            <w:vAlign w:val="center"/>
            <w:hideMark/>
          </w:tcPr>
          <w:p w14:paraId="5D8050ED" w14:textId="77777777" w:rsidR="00EC77AB" w:rsidRDefault="00EC77AB">
            <w:r>
              <w:t>118 pairings</w:t>
            </w:r>
          </w:p>
        </w:tc>
        <w:tc>
          <w:tcPr>
            <w:tcW w:w="0" w:type="auto"/>
            <w:vAlign w:val="center"/>
            <w:hideMark/>
          </w:tcPr>
          <w:p w14:paraId="1EAD7402" w14:textId="77777777" w:rsidR="00EC77AB" w:rsidRDefault="00EC77AB">
            <w:r>
              <w:t>Success is dyadic, not reducible to dog or handler; mismatch emerges early; performance + social fit both matter</w:t>
            </w:r>
          </w:p>
        </w:tc>
      </w:tr>
      <w:tr w:rsidR="00EC77AB" w14:paraId="0B0CF8DE" w14:textId="77777777">
        <w:trPr>
          <w:tblCellSpacing w:w="15" w:type="dxa"/>
        </w:trPr>
        <w:tc>
          <w:tcPr>
            <w:tcW w:w="0" w:type="auto"/>
            <w:vAlign w:val="center"/>
            <w:hideMark/>
          </w:tcPr>
          <w:p w14:paraId="10818F75" w14:textId="77777777" w:rsidR="00EC77AB" w:rsidRDefault="00EC77AB">
            <w:r>
              <w:t>Guide-dog expectations &amp; compatibility (2021, MDPI Animals)</w:t>
            </w:r>
          </w:p>
        </w:tc>
        <w:tc>
          <w:tcPr>
            <w:tcW w:w="0" w:type="auto"/>
            <w:vAlign w:val="center"/>
            <w:hideMark/>
          </w:tcPr>
          <w:p w14:paraId="556941B6" w14:textId="77777777" w:rsidR="00EC77AB" w:rsidRDefault="00EC77AB">
            <w:r>
              <w:t>Survey + psychometric scale development (Fulfilment + Compatibility scales)</w:t>
            </w:r>
          </w:p>
        </w:tc>
        <w:tc>
          <w:tcPr>
            <w:tcW w:w="0" w:type="auto"/>
            <w:vAlign w:val="center"/>
            <w:hideMark/>
          </w:tcPr>
          <w:p w14:paraId="420AC486" w14:textId="77777777" w:rsidR="00EC77AB" w:rsidRDefault="00EC77AB">
            <w:r>
              <w:t>Cross-sectional (post-match)</w:t>
            </w:r>
          </w:p>
        </w:tc>
        <w:tc>
          <w:tcPr>
            <w:tcW w:w="0" w:type="auto"/>
            <w:vAlign w:val="center"/>
            <w:hideMark/>
          </w:tcPr>
          <w:p w14:paraId="3222279D" w14:textId="77777777" w:rsidR="00EC77AB" w:rsidRDefault="00EC77AB">
            <w:r>
              <w:t>~50–100 handlers (first-dog sample)</w:t>
            </w:r>
          </w:p>
        </w:tc>
        <w:tc>
          <w:tcPr>
            <w:tcW w:w="0" w:type="auto"/>
            <w:vAlign w:val="center"/>
            <w:hideMark/>
          </w:tcPr>
          <w:p w14:paraId="63569131" w14:textId="77777777" w:rsidR="00EC77AB" w:rsidRDefault="00EC77AB">
            <w:r>
              <w:t>Work compatibility is the strongest discriminator of success; emotional bond often high even in failed matches</w:t>
            </w:r>
          </w:p>
        </w:tc>
      </w:tr>
      <w:tr w:rsidR="00EC77AB" w14:paraId="568CBC52" w14:textId="77777777">
        <w:trPr>
          <w:tblCellSpacing w:w="15" w:type="dxa"/>
        </w:trPr>
        <w:tc>
          <w:tcPr>
            <w:tcW w:w="0" w:type="auto"/>
            <w:vAlign w:val="center"/>
            <w:hideMark/>
          </w:tcPr>
          <w:p w14:paraId="0BB41DFD" w14:textId="77777777" w:rsidR="00EC77AB" w:rsidRDefault="00EC77AB">
            <w:r>
              <w:t>Detection dog handler-belief studies (e.g., Lit et al.)</w:t>
            </w:r>
          </w:p>
        </w:tc>
        <w:tc>
          <w:tcPr>
            <w:tcW w:w="0" w:type="auto"/>
            <w:vAlign w:val="center"/>
            <w:hideMark/>
          </w:tcPr>
          <w:p w14:paraId="17EF3560" w14:textId="77777777" w:rsidR="00EC77AB" w:rsidRDefault="00EC77AB">
            <w:r>
              <w:t>Experimental manipulation (false cues / belief priming)</w:t>
            </w:r>
          </w:p>
        </w:tc>
        <w:tc>
          <w:tcPr>
            <w:tcW w:w="0" w:type="auto"/>
            <w:vAlign w:val="center"/>
            <w:hideMark/>
          </w:tcPr>
          <w:p w14:paraId="4EDF5BC5" w14:textId="77777777" w:rsidR="00EC77AB" w:rsidRDefault="00EC77AB">
            <w:r>
              <w:t>Short experimental sessions</w:t>
            </w:r>
          </w:p>
        </w:tc>
        <w:tc>
          <w:tcPr>
            <w:tcW w:w="0" w:type="auto"/>
            <w:vAlign w:val="center"/>
            <w:hideMark/>
          </w:tcPr>
          <w:p w14:paraId="69D081BC" w14:textId="77777777" w:rsidR="00EC77AB" w:rsidRDefault="00EC77AB">
            <w:r>
              <w:t>~18–40 teams</w:t>
            </w:r>
          </w:p>
        </w:tc>
        <w:tc>
          <w:tcPr>
            <w:tcW w:w="0" w:type="auto"/>
            <w:vAlign w:val="center"/>
            <w:hideMark/>
          </w:tcPr>
          <w:p w14:paraId="7F0DFC15" w14:textId="77777777" w:rsidR="00EC77AB" w:rsidRDefault="00EC77AB">
            <w:r>
              <w:t>Handler expectations systematically bias dog performance (false alerts increase under belief conditions)</w:t>
            </w:r>
          </w:p>
        </w:tc>
      </w:tr>
      <w:tr w:rsidR="00EC77AB" w14:paraId="2775CE94" w14:textId="77777777">
        <w:trPr>
          <w:tblCellSpacing w:w="15" w:type="dxa"/>
        </w:trPr>
        <w:tc>
          <w:tcPr>
            <w:tcW w:w="0" w:type="auto"/>
            <w:vAlign w:val="center"/>
            <w:hideMark/>
          </w:tcPr>
          <w:p w14:paraId="70217804" w14:textId="77777777" w:rsidR="00EC77AB" w:rsidRDefault="00EC77AB">
            <w:r>
              <w:t>Detection dog stress-performance (Zubedat et al.)</w:t>
            </w:r>
          </w:p>
        </w:tc>
        <w:tc>
          <w:tcPr>
            <w:tcW w:w="0" w:type="auto"/>
            <w:vAlign w:val="center"/>
            <w:hideMark/>
          </w:tcPr>
          <w:p w14:paraId="4F0636AD" w14:textId="77777777" w:rsidR="00EC77AB" w:rsidRDefault="00EC77AB">
            <w:r>
              <w:t>Experimental (stress induction + task performance)</w:t>
            </w:r>
          </w:p>
        </w:tc>
        <w:tc>
          <w:tcPr>
            <w:tcW w:w="0" w:type="auto"/>
            <w:vAlign w:val="center"/>
            <w:hideMark/>
          </w:tcPr>
          <w:p w14:paraId="3C6C630A" w14:textId="77777777" w:rsidR="00EC77AB" w:rsidRDefault="00EC77AB">
            <w:r>
              <w:t>Short sessions</w:t>
            </w:r>
          </w:p>
        </w:tc>
        <w:tc>
          <w:tcPr>
            <w:tcW w:w="0" w:type="auto"/>
            <w:vAlign w:val="center"/>
            <w:hideMark/>
          </w:tcPr>
          <w:p w14:paraId="25204875" w14:textId="77777777" w:rsidR="00EC77AB" w:rsidRDefault="00EC77AB">
            <w:r>
              <w:t>~20–30 teams</w:t>
            </w:r>
          </w:p>
        </w:tc>
        <w:tc>
          <w:tcPr>
            <w:tcW w:w="0" w:type="auto"/>
            <w:vAlign w:val="center"/>
            <w:hideMark/>
          </w:tcPr>
          <w:p w14:paraId="62887177" w14:textId="77777777" w:rsidR="00EC77AB" w:rsidRDefault="00EC77AB">
            <w:r>
              <w:t>Handler stress degrades team performance; dyad-level physiology matters</w:t>
            </w:r>
          </w:p>
        </w:tc>
      </w:tr>
      <w:tr w:rsidR="00EC77AB" w14:paraId="7D806C27" w14:textId="77777777">
        <w:trPr>
          <w:tblCellSpacing w:w="15" w:type="dxa"/>
        </w:trPr>
        <w:tc>
          <w:tcPr>
            <w:tcW w:w="0" w:type="auto"/>
            <w:vAlign w:val="center"/>
            <w:hideMark/>
          </w:tcPr>
          <w:p w14:paraId="6D82D044" w14:textId="77777777" w:rsidR="00EC77AB" w:rsidRDefault="00EC77AB">
            <w:r>
              <w:t xml:space="preserve">Handler self-rating bias </w:t>
            </w:r>
            <w:r>
              <w:lastRenderedPageBreak/>
              <w:t>(Frontiers 2020)</w:t>
            </w:r>
          </w:p>
        </w:tc>
        <w:tc>
          <w:tcPr>
            <w:tcW w:w="0" w:type="auto"/>
            <w:vAlign w:val="center"/>
            <w:hideMark/>
          </w:tcPr>
          <w:p w14:paraId="4E7CAC00" w14:textId="77777777" w:rsidR="00EC77AB" w:rsidRDefault="00EC77AB">
            <w:r>
              <w:lastRenderedPageBreak/>
              <w:t xml:space="preserve">Observational + comparison (self vs. </w:t>
            </w:r>
            <w:r>
              <w:lastRenderedPageBreak/>
              <w:t>external scoring)</w:t>
            </w:r>
          </w:p>
        </w:tc>
        <w:tc>
          <w:tcPr>
            <w:tcW w:w="0" w:type="auto"/>
            <w:vAlign w:val="center"/>
            <w:hideMark/>
          </w:tcPr>
          <w:p w14:paraId="1FDF5A0A" w14:textId="77777777" w:rsidR="00EC77AB" w:rsidRDefault="00EC77AB">
            <w:r>
              <w:lastRenderedPageBreak/>
              <w:t>Cross-sectional</w:t>
            </w:r>
          </w:p>
        </w:tc>
        <w:tc>
          <w:tcPr>
            <w:tcW w:w="0" w:type="auto"/>
            <w:vAlign w:val="center"/>
            <w:hideMark/>
          </w:tcPr>
          <w:p w14:paraId="568DE389" w14:textId="77777777" w:rsidR="00EC77AB" w:rsidRDefault="00EC77AB">
            <w:r>
              <w:t>~50 handlers</w:t>
            </w:r>
          </w:p>
        </w:tc>
        <w:tc>
          <w:tcPr>
            <w:tcW w:w="0" w:type="auto"/>
            <w:vAlign w:val="center"/>
            <w:hideMark/>
          </w:tcPr>
          <w:p w14:paraId="1C5ED790" w14:textId="77777777" w:rsidR="00EC77AB" w:rsidRDefault="00EC77AB">
            <w:r>
              <w:t xml:space="preserve">Handlers overestimate their </w:t>
            </w:r>
            <w:r>
              <w:lastRenderedPageBreak/>
              <w:t>dog’s performance; subjective reports are unreliable without external validation</w:t>
            </w:r>
          </w:p>
        </w:tc>
      </w:tr>
      <w:tr w:rsidR="00EC77AB" w14:paraId="285578A6" w14:textId="77777777">
        <w:trPr>
          <w:tblCellSpacing w:w="15" w:type="dxa"/>
        </w:trPr>
        <w:tc>
          <w:tcPr>
            <w:tcW w:w="0" w:type="auto"/>
            <w:vAlign w:val="center"/>
            <w:hideMark/>
          </w:tcPr>
          <w:p w14:paraId="42C200E4" w14:textId="77777777" w:rsidR="00EC77AB" w:rsidRDefault="00EC77AB">
            <w:r>
              <w:lastRenderedPageBreak/>
              <w:t>Human–dog synchrony study (2017, J Vet Behavior)</w:t>
            </w:r>
          </w:p>
        </w:tc>
        <w:tc>
          <w:tcPr>
            <w:tcW w:w="0" w:type="auto"/>
            <w:vAlign w:val="center"/>
            <w:hideMark/>
          </w:tcPr>
          <w:p w14:paraId="27A8F3E3" w14:textId="77777777" w:rsidR="00EC77AB" w:rsidRDefault="00EC77AB">
            <w:r>
              <w:t>Behavioral + physiological synchrony (HRV, coordination)</w:t>
            </w:r>
          </w:p>
        </w:tc>
        <w:tc>
          <w:tcPr>
            <w:tcW w:w="0" w:type="auto"/>
            <w:vAlign w:val="center"/>
            <w:hideMark/>
          </w:tcPr>
          <w:p w14:paraId="17A102C4" w14:textId="77777777" w:rsidR="00EC77AB" w:rsidRDefault="00EC77AB">
            <w:r>
              <w:t>Short sessions</w:t>
            </w:r>
          </w:p>
        </w:tc>
        <w:tc>
          <w:tcPr>
            <w:tcW w:w="0" w:type="auto"/>
            <w:vAlign w:val="center"/>
            <w:hideMark/>
          </w:tcPr>
          <w:p w14:paraId="16F3CEA1" w14:textId="77777777" w:rsidR="00EC77AB" w:rsidRDefault="00EC77AB">
            <w:r>
              <w:t>Small N (~10–30 dyads)</w:t>
            </w:r>
          </w:p>
        </w:tc>
        <w:tc>
          <w:tcPr>
            <w:tcW w:w="0" w:type="auto"/>
            <w:vAlign w:val="center"/>
            <w:hideMark/>
          </w:tcPr>
          <w:p w14:paraId="224ABD86" w14:textId="77777777" w:rsidR="00EC77AB" w:rsidRDefault="00EC77AB">
            <w:r>
              <w:t>Dyadic synchrony measurable; coordination correlates with relationship quality</w:t>
            </w:r>
          </w:p>
        </w:tc>
      </w:tr>
      <w:tr w:rsidR="00EC77AB" w14:paraId="494AF4E0" w14:textId="77777777">
        <w:trPr>
          <w:tblCellSpacing w:w="15" w:type="dxa"/>
        </w:trPr>
        <w:tc>
          <w:tcPr>
            <w:tcW w:w="0" w:type="auto"/>
            <w:vAlign w:val="center"/>
            <w:hideMark/>
          </w:tcPr>
          <w:p w14:paraId="72025045" w14:textId="77777777" w:rsidR="00EC77AB" w:rsidRDefault="00EC77AB">
            <w:r>
              <w:t>MDORS (Monash Dog Owner Relationship Scale)</w:t>
            </w:r>
          </w:p>
        </w:tc>
        <w:tc>
          <w:tcPr>
            <w:tcW w:w="0" w:type="auto"/>
            <w:vAlign w:val="center"/>
            <w:hideMark/>
          </w:tcPr>
          <w:p w14:paraId="5DCE4A58" w14:textId="77777777" w:rsidR="00EC77AB" w:rsidRDefault="00EC77AB">
            <w:r>
              <w:t>Psychometric instrument (validated scale)</w:t>
            </w:r>
          </w:p>
        </w:tc>
        <w:tc>
          <w:tcPr>
            <w:tcW w:w="0" w:type="auto"/>
            <w:vAlign w:val="center"/>
            <w:hideMark/>
          </w:tcPr>
          <w:p w14:paraId="4E0705BC" w14:textId="77777777" w:rsidR="00EC77AB" w:rsidRDefault="00EC77AB">
            <w:r>
              <w:t>Cross-sectional / repeatable</w:t>
            </w:r>
          </w:p>
        </w:tc>
        <w:tc>
          <w:tcPr>
            <w:tcW w:w="0" w:type="auto"/>
            <w:vAlign w:val="center"/>
            <w:hideMark/>
          </w:tcPr>
          <w:p w14:paraId="7E73C91F" w14:textId="77777777" w:rsidR="00EC77AB" w:rsidRDefault="00EC77AB">
            <w:r>
              <w:t>Large validation samples</w:t>
            </w:r>
          </w:p>
        </w:tc>
        <w:tc>
          <w:tcPr>
            <w:tcW w:w="0" w:type="auto"/>
            <w:vAlign w:val="center"/>
            <w:hideMark/>
          </w:tcPr>
          <w:p w14:paraId="3AF7A392" w14:textId="77777777" w:rsidR="00EC77AB" w:rsidRDefault="00EC77AB">
            <w:r>
              <w:t>Relationship quality decomposes into interaction, emotional closeness, and perceived cost</w:t>
            </w:r>
          </w:p>
        </w:tc>
      </w:tr>
      <w:tr w:rsidR="00EC77AB" w14:paraId="69CE7D65" w14:textId="77777777">
        <w:trPr>
          <w:tblCellSpacing w:w="15" w:type="dxa"/>
        </w:trPr>
        <w:tc>
          <w:tcPr>
            <w:tcW w:w="0" w:type="auto"/>
            <w:vAlign w:val="center"/>
            <w:hideMark/>
          </w:tcPr>
          <w:p w14:paraId="5BA1113C" w14:textId="77777777" w:rsidR="00EC77AB" w:rsidRDefault="00EC77AB">
            <w:r>
              <w:t>Juvenile guide-dog predictive tests</w:t>
            </w:r>
          </w:p>
        </w:tc>
        <w:tc>
          <w:tcPr>
            <w:tcW w:w="0" w:type="auto"/>
            <w:vAlign w:val="center"/>
            <w:hideMark/>
          </w:tcPr>
          <w:p w14:paraId="4D1F1F29" w14:textId="77777777" w:rsidR="00EC77AB" w:rsidRDefault="00EC77AB">
            <w:r>
              <w:t>Longitudinal predictive validation</w:t>
            </w:r>
          </w:p>
        </w:tc>
        <w:tc>
          <w:tcPr>
            <w:tcW w:w="0" w:type="auto"/>
            <w:vAlign w:val="center"/>
            <w:hideMark/>
          </w:tcPr>
          <w:p w14:paraId="3DFB451B" w14:textId="77777777" w:rsidR="00EC77AB" w:rsidRDefault="00EC77AB">
            <w:r>
              <w:t>Months → placement outcomes</w:t>
            </w:r>
          </w:p>
        </w:tc>
        <w:tc>
          <w:tcPr>
            <w:tcW w:w="0" w:type="auto"/>
            <w:vAlign w:val="center"/>
            <w:hideMark/>
          </w:tcPr>
          <w:p w14:paraId="6B96F526" w14:textId="77777777" w:rsidR="00EC77AB" w:rsidRDefault="00EC77AB">
            <w:r>
              <w:t>Varies (~50–200 dogs)</w:t>
            </w:r>
          </w:p>
        </w:tc>
        <w:tc>
          <w:tcPr>
            <w:tcW w:w="0" w:type="auto"/>
            <w:vAlign w:val="center"/>
            <w:hideMark/>
          </w:tcPr>
          <w:p w14:paraId="19479291" w14:textId="77777777" w:rsidR="00EC77AB" w:rsidRDefault="00EC77AB">
            <w:r>
              <w:t>Early behavioral traits predict later partnership success (trainability, attachment)</w:t>
            </w:r>
          </w:p>
        </w:tc>
      </w:tr>
      <w:tr w:rsidR="00EC77AB" w14:paraId="6A8EDEBC" w14:textId="77777777">
        <w:trPr>
          <w:tblCellSpacing w:w="15" w:type="dxa"/>
        </w:trPr>
        <w:tc>
          <w:tcPr>
            <w:tcW w:w="0" w:type="auto"/>
            <w:vAlign w:val="center"/>
            <w:hideMark/>
          </w:tcPr>
          <w:p w14:paraId="31AD78CA" w14:textId="77777777" w:rsidR="00EC77AB" w:rsidRDefault="00EC77AB">
            <w:r>
              <w:t>Human–dog → human–robot attachment review (2021, Animal Cognition)</w:t>
            </w:r>
          </w:p>
        </w:tc>
        <w:tc>
          <w:tcPr>
            <w:tcW w:w="0" w:type="auto"/>
            <w:vAlign w:val="center"/>
            <w:hideMark/>
          </w:tcPr>
          <w:p w14:paraId="66FFA2D7" w14:textId="77777777" w:rsidR="00EC77AB" w:rsidRDefault="00EC77AB">
            <w:r>
              <w:t>Multidisciplinary conceptual synthesis</w:t>
            </w:r>
          </w:p>
        </w:tc>
        <w:tc>
          <w:tcPr>
            <w:tcW w:w="0" w:type="auto"/>
            <w:vAlign w:val="center"/>
            <w:hideMark/>
          </w:tcPr>
          <w:p w14:paraId="7816FA8D" w14:textId="77777777" w:rsidR="00EC77AB" w:rsidRDefault="00EC77AB">
            <w:r>
              <w:t>N/A</w:t>
            </w:r>
          </w:p>
        </w:tc>
        <w:tc>
          <w:tcPr>
            <w:tcW w:w="0" w:type="auto"/>
            <w:vAlign w:val="center"/>
            <w:hideMark/>
          </w:tcPr>
          <w:p w14:paraId="2496FB5F" w14:textId="77777777" w:rsidR="00EC77AB" w:rsidRDefault="00EC77AB">
            <w:r>
              <w:t>N/A</w:t>
            </w:r>
          </w:p>
        </w:tc>
        <w:tc>
          <w:tcPr>
            <w:tcW w:w="0" w:type="auto"/>
            <w:vAlign w:val="center"/>
            <w:hideMark/>
          </w:tcPr>
          <w:p w14:paraId="4F3620A3" w14:textId="77777777" w:rsidR="00EC77AB" w:rsidRDefault="00EC77AB">
            <w:r>
              <w:t>Dog–human relations provide a tractable model for human–robot attachment dynamics</w:t>
            </w:r>
          </w:p>
        </w:tc>
      </w:tr>
      <w:tr w:rsidR="00EC77AB" w14:paraId="03C9A78C" w14:textId="77777777">
        <w:trPr>
          <w:tblCellSpacing w:w="15" w:type="dxa"/>
        </w:trPr>
        <w:tc>
          <w:tcPr>
            <w:tcW w:w="0" w:type="auto"/>
            <w:vAlign w:val="center"/>
            <w:hideMark/>
          </w:tcPr>
          <w:p w14:paraId="0603C41E" w14:textId="77777777" w:rsidR="00EC77AB" w:rsidRDefault="00EC77AB">
            <w:r>
              <w:t>Pet-robot bonding framework (2023)</w:t>
            </w:r>
          </w:p>
        </w:tc>
        <w:tc>
          <w:tcPr>
            <w:tcW w:w="0" w:type="auto"/>
            <w:vAlign w:val="center"/>
            <w:hideMark/>
          </w:tcPr>
          <w:p w14:paraId="59876300" w14:textId="77777777" w:rsidR="00EC77AB" w:rsidRDefault="00EC77AB">
            <w:r>
              <w:t>Conceptual + staged interaction model</w:t>
            </w:r>
          </w:p>
        </w:tc>
        <w:tc>
          <w:tcPr>
            <w:tcW w:w="0" w:type="auto"/>
            <w:vAlign w:val="center"/>
            <w:hideMark/>
          </w:tcPr>
          <w:p w14:paraId="39EDE85E" w14:textId="77777777" w:rsidR="00EC77AB" w:rsidRDefault="00EC77AB">
            <w:r>
              <w:t>N/A</w:t>
            </w:r>
          </w:p>
        </w:tc>
        <w:tc>
          <w:tcPr>
            <w:tcW w:w="0" w:type="auto"/>
            <w:vAlign w:val="center"/>
            <w:hideMark/>
          </w:tcPr>
          <w:p w14:paraId="76F8312A" w14:textId="77777777" w:rsidR="00EC77AB" w:rsidRDefault="00EC77AB">
            <w:r>
              <w:t>N/A</w:t>
            </w:r>
          </w:p>
        </w:tc>
        <w:tc>
          <w:tcPr>
            <w:tcW w:w="0" w:type="auto"/>
            <w:vAlign w:val="center"/>
            <w:hideMark/>
          </w:tcPr>
          <w:p w14:paraId="2A83225A" w14:textId="77777777" w:rsidR="00EC77AB" w:rsidRDefault="00EC77AB">
            <w:r>
              <w:t>Bonding unfolds in phases: first encounter → short-term → long-term relationship</w:t>
            </w:r>
          </w:p>
        </w:tc>
      </w:tr>
      <w:tr w:rsidR="00EC77AB" w14:paraId="1B678318" w14:textId="77777777">
        <w:trPr>
          <w:tblCellSpacing w:w="15" w:type="dxa"/>
        </w:trPr>
        <w:tc>
          <w:tcPr>
            <w:tcW w:w="0" w:type="auto"/>
            <w:vAlign w:val="center"/>
            <w:hideMark/>
          </w:tcPr>
          <w:p w14:paraId="6A2D58F5" w14:textId="77777777" w:rsidR="00EC77AB" w:rsidRDefault="00EC77AB">
            <w:r>
              <w:t xml:space="preserve">Dogs vs AIBO </w:t>
            </w:r>
            <w:r>
              <w:lastRenderedPageBreak/>
              <w:t>bonding study (2025, PLOS One)</w:t>
            </w:r>
          </w:p>
        </w:tc>
        <w:tc>
          <w:tcPr>
            <w:tcW w:w="0" w:type="auto"/>
            <w:vAlign w:val="center"/>
            <w:hideMark/>
          </w:tcPr>
          <w:p w14:paraId="68BAAA8F" w14:textId="77777777" w:rsidR="00EC77AB" w:rsidRDefault="00EC77AB">
            <w:r>
              <w:lastRenderedPageBreak/>
              <w:t xml:space="preserve">Experimental </w:t>
            </w:r>
            <w:r>
              <w:lastRenderedPageBreak/>
              <w:t>comparison (behavior + oxytocin + surveys)</w:t>
            </w:r>
          </w:p>
        </w:tc>
        <w:tc>
          <w:tcPr>
            <w:tcW w:w="0" w:type="auto"/>
            <w:vAlign w:val="center"/>
            <w:hideMark/>
          </w:tcPr>
          <w:p w14:paraId="5C2E1DF1" w14:textId="77777777" w:rsidR="00EC77AB" w:rsidRDefault="00EC77AB">
            <w:r>
              <w:lastRenderedPageBreak/>
              <w:t xml:space="preserve">~1 month </w:t>
            </w:r>
            <w:r>
              <w:lastRenderedPageBreak/>
              <w:t>bonding period</w:t>
            </w:r>
          </w:p>
        </w:tc>
        <w:tc>
          <w:tcPr>
            <w:tcW w:w="0" w:type="auto"/>
            <w:vAlign w:val="center"/>
            <w:hideMark/>
          </w:tcPr>
          <w:p w14:paraId="703F9943" w14:textId="77777777" w:rsidR="00EC77AB" w:rsidRDefault="00EC77AB">
            <w:r>
              <w:lastRenderedPageBreak/>
              <w:t xml:space="preserve">~20–40 </w:t>
            </w:r>
            <w:r>
              <w:lastRenderedPageBreak/>
              <w:t>participants</w:t>
            </w:r>
          </w:p>
        </w:tc>
        <w:tc>
          <w:tcPr>
            <w:tcW w:w="0" w:type="auto"/>
            <w:vAlign w:val="center"/>
            <w:hideMark/>
          </w:tcPr>
          <w:p w14:paraId="52E7A310" w14:textId="77777777" w:rsidR="00EC77AB" w:rsidRDefault="00EC77AB">
            <w:r>
              <w:lastRenderedPageBreak/>
              <w:t xml:space="preserve">Biological dogs </w:t>
            </w:r>
            <w:r>
              <w:lastRenderedPageBreak/>
              <w:t>outperform robots in bonding, but measurable attachment forms with robots</w:t>
            </w:r>
          </w:p>
        </w:tc>
      </w:tr>
      <w:tr w:rsidR="00EC77AB" w14:paraId="74D93865" w14:textId="77777777">
        <w:trPr>
          <w:tblCellSpacing w:w="15" w:type="dxa"/>
        </w:trPr>
        <w:tc>
          <w:tcPr>
            <w:tcW w:w="0" w:type="auto"/>
            <w:vAlign w:val="center"/>
            <w:hideMark/>
          </w:tcPr>
          <w:p w14:paraId="6D1CE0DF" w14:textId="77777777" w:rsidR="00EC77AB" w:rsidRDefault="00EC77AB">
            <w:r>
              <w:lastRenderedPageBreak/>
              <w:t>Human–robot synchrony (2023, SAGE HRI)</w:t>
            </w:r>
          </w:p>
        </w:tc>
        <w:tc>
          <w:tcPr>
            <w:tcW w:w="0" w:type="auto"/>
            <w:vAlign w:val="center"/>
            <w:hideMark/>
          </w:tcPr>
          <w:p w14:paraId="07EBAAD9" w14:textId="77777777" w:rsidR="00EC77AB" w:rsidRDefault="00EC77AB">
            <w:r>
              <w:t>Experimental (neurophysiological synchrony + performance)</w:t>
            </w:r>
          </w:p>
        </w:tc>
        <w:tc>
          <w:tcPr>
            <w:tcW w:w="0" w:type="auto"/>
            <w:vAlign w:val="center"/>
            <w:hideMark/>
          </w:tcPr>
          <w:p w14:paraId="77060698" w14:textId="77777777" w:rsidR="00EC77AB" w:rsidRDefault="00EC77AB">
            <w:r>
              <w:t>Short task sessions</w:t>
            </w:r>
          </w:p>
        </w:tc>
        <w:tc>
          <w:tcPr>
            <w:tcW w:w="0" w:type="auto"/>
            <w:vAlign w:val="center"/>
            <w:hideMark/>
          </w:tcPr>
          <w:p w14:paraId="3D37E52A" w14:textId="77777777" w:rsidR="00EC77AB" w:rsidRDefault="00EC77AB">
            <w:r>
              <w:t>~20–40 teams</w:t>
            </w:r>
          </w:p>
        </w:tc>
        <w:tc>
          <w:tcPr>
            <w:tcW w:w="0" w:type="auto"/>
            <w:vAlign w:val="center"/>
            <w:hideMark/>
          </w:tcPr>
          <w:p w14:paraId="245F3DF9" w14:textId="77777777" w:rsidR="00EC77AB" w:rsidRDefault="00EC77AB">
            <w:r>
              <w:t>Synchrony correlates with trust and team performance in HRI</w:t>
            </w:r>
          </w:p>
        </w:tc>
      </w:tr>
      <w:tr w:rsidR="00EC77AB" w14:paraId="6BC02A74" w14:textId="77777777">
        <w:trPr>
          <w:tblCellSpacing w:w="15" w:type="dxa"/>
        </w:trPr>
        <w:tc>
          <w:tcPr>
            <w:tcW w:w="0" w:type="auto"/>
            <w:vAlign w:val="center"/>
            <w:hideMark/>
          </w:tcPr>
          <w:p w14:paraId="4C556AB5" w14:textId="77777777" w:rsidR="00EC77AB" w:rsidRDefault="00EC77AB">
            <w:r>
              <w:t>Ethorobotics framework (2017, Frontiers)</w:t>
            </w:r>
          </w:p>
        </w:tc>
        <w:tc>
          <w:tcPr>
            <w:tcW w:w="0" w:type="auto"/>
            <w:vAlign w:val="center"/>
            <w:hideMark/>
          </w:tcPr>
          <w:p w14:paraId="03EB90E0" w14:textId="77777777" w:rsidR="00EC77AB" w:rsidRDefault="00EC77AB">
            <w:r>
              <w:t>Conceptual + experimental program</w:t>
            </w:r>
          </w:p>
        </w:tc>
        <w:tc>
          <w:tcPr>
            <w:tcW w:w="0" w:type="auto"/>
            <w:vAlign w:val="center"/>
            <w:hideMark/>
          </w:tcPr>
          <w:p w14:paraId="7F21A329" w14:textId="77777777" w:rsidR="00EC77AB" w:rsidRDefault="00EC77AB">
            <w:r>
              <w:t>N/A</w:t>
            </w:r>
          </w:p>
        </w:tc>
        <w:tc>
          <w:tcPr>
            <w:tcW w:w="0" w:type="auto"/>
            <w:vAlign w:val="center"/>
            <w:hideMark/>
          </w:tcPr>
          <w:p w14:paraId="487D482A" w14:textId="77777777" w:rsidR="00EC77AB" w:rsidRDefault="00EC77AB">
            <w:r>
              <w:t>N/A</w:t>
            </w:r>
          </w:p>
        </w:tc>
        <w:tc>
          <w:tcPr>
            <w:tcW w:w="0" w:type="auto"/>
            <w:vAlign w:val="center"/>
            <w:hideMark/>
          </w:tcPr>
          <w:p w14:paraId="09465F3C" w14:textId="77777777" w:rsidR="00EC77AB" w:rsidRDefault="00EC77AB">
            <w:r>
              <w:t>Human–robot interaction should be studied using ethological methods (behavioral ecology lens)</w:t>
            </w:r>
          </w:p>
        </w:tc>
      </w:tr>
      <w:tr w:rsidR="00EC77AB" w14:paraId="57718637" w14:textId="77777777">
        <w:trPr>
          <w:tblCellSpacing w:w="15" w:type="dxa"/>
        </w:trPr>
        <w:tc>
          <w:tcPr>
            <w:tcW w:w="0" w:type="auto"/>
            <w:vAlign w:val="center"/>
            <w:hideMark/>
          </w:tcPr>
          <w:p w14:paraId="4629A40B" w14:textId="77777777" w:rsidR="00EC77AB" w:rsidRDefault="00EC77AB">
            <w:r>
              <w:t>Haraway-informed chatbot analysis (2024, Frontiers Psych)</w:t>
            </w:r>
          </w:p>
        </w:tc>
        <w:tc>
          <w:tcPr>
            <w:tcW w:w="0" w:type="auto"/>
            <w:vAlign w:val="center"/>
            <w:hideMark/>
          </w:tcPr>
          <w:p w14:paraId="4687163C" w14:textId="77777777" w:rsidR="00EC77AB" w:rsidRDefault="00EC77AB">
            <w:r>
              <w:t>Conceptual + interpretive</w:t>
            </w:r>
          </w:p>
        </w:tc>
        <w:tc>
          <w:tcPr>
            <w:tcW w:w="0" w:type="auto"/>
            <w:vAlign w:val="center"/>
            <w:hideMark/>
          </w:tcPr>
          <w:p w14:paraId="476CC647" w14:textId="77777777" w:rsidR="00EC77AB" w:rsidRDefault="00EC77AB">
            <w:r>
              <w:t>N/A</w:t>
            </w:r>
          </w:p>
        </w:tc>
        <w:tc>
          <w:tcPr>
            <w:tcW w:w="0" w:type="auto"/>
            <w:vAlign w:val="center"/>
            <w:hideMark/>
          </w:tcPr>
          <w:p w14:paraId="32FF5A66" w14:textId="77777777" w:rsidR="00EC77AB" w:rsidRDefault="00EC77AB">
            <w:r>
              <w:t>N/A</w:t>
            </w:r>
          </w:p>
        </w:tc>
        <w:tc>
          <w:tcPr>
            <w:tcW w:w="0" w:type="auto"/>
            <w:vAlign w:val="center"/>
            <w:hideMark/>
          </w:tcPr>
          <w:p w14:paraId="093BD546" w14:textId="77777777" w:rsidR="00EC77AB" w:rsidRDefault="00EC77AB">
            <w:r>
              <w:t>Human–AI relations better modeled as “companion species” than tools; emphasizes co-becoming</w:t>
            </w:r>
          </w:p>
        </w:tc>
      </w:tr>
    </w:tbl>
    <w:p w14:paraId="3936D721" w14:textId="77777777" w:rsidR="00EC77AB" w:rsidRDefault="00EC77AB" w:rsidP="00EC77AB">
      <w:r>
        <w:pict w14:anchorId="03BC93E2">
          <v:rect id="_x0000_i1027" style="width:0;height:1.5pt" o:hralign="center" o:hrstd="t" o:hr="t" fillcolor="#a0a0a0" stroked="f"/>
        </w:pict>
      </w:r>
    </w:p>
    <w:p w14:paraId="07E7DD17" w14:textId="77777777" w:rsidR="00EC77AB" w:rsidRDefault="00EC77AB" w:rsidP="00EC77AB">
      <w:pPr>
        <w:pStyle w:val="Heading1"/>
      </w:pPr>
      <w:r>
        <w:t>Synthesis</w:t>
      </w:r>
    </w:p>
    <w:p w14:paraId="6519757F" w14:textId="77777777" w:rsidR="00EC77AB" w:rsidRDefault="00EC77AB" w:rsidP="00EC77AB">
      <w:pPr>
        <w:pStyle w:val="NormalWeb"/>
      </w:pPr>
      <w:r>
        <w:t xml:space="preserve">Across both </w:t>
      </w:r>
      <w:r>
        <w:rPr>
          <w:rStyle w:val="Strong"/>
        </w:rPr>
        <w:t>working-animal research and early HAI analogs</w:t>
      </w:r>
      <w:r>
        <w:t>, a consistent pattern emerges:</w:t>
      </w:r>
    </w:p>
    <w:p w14:paraId="1CBD878B" w14:textId="77777777" w:rsidR="00EC77AB" w:rsidRDefault="00EC77AB" w:rsidP="00EC77AB">
      <w:pPr>
        <w:numPr>
          <w:ilvl w:val="0"/>
          <w:numId w:val="4"/>
        </w:numPr>
        <w:spacing w:before="100" w:beforeAutospacing="1" w:after="100" w:afterAutospacing="1"/>
      </w:pPr>
      <w:r>
        <w:rPr>
          <w:rStyle w:val="Strong"/>
        </w:rPr>
        <w:t>The dyad—not the agent—is the unit of analysis.</w:t>
      </w:r>
      <w:r>
        <w:br/>
        <w:t xml:space="preserve">Guide-dog, detection-dog, and synchrony studies all show that performance and success emerge from interaction effects (expectations, stress, coordination), not intrinsic capability. </w:t>
      </w:r>
    </w:p>
    <w:p w14:paraId="2E05A362" w14:textId="77777777" w:rsidR="00EC77AB" w:rsidRDefault="00EC77AB" w:rsidP="00EC77AB">
      <w:pPr>
        <w:numPr>
          <w:ilvl w:val="0"/>
          <w:numId w:val="4"/>
        </w:numPr>
        <w:spacing w:before="100" w:beforeAutospacing="1" w:after="100" w:afterAutospacing="1"/>
      </w:pPr>
      <w:r>
        <w:rPr>
          <w:rStyle w:val="Strong"/>
        </w:rPr>
        <w:t>Long-term success is multidimensional.</w:t>
      </w:r>
      <w:r>
        <w:br/>
        <w:t xml:space="preserve">The guide-dog literature is decisive here: </w:t>
      </w:r>
    </w:p>
    <w:p w14:paraId="2959AFCF" w14:textId="77777777" w:rsidR="00EC77AB" w:rsidRDefault="00EC77AB" w:rsidP="00EC77AB">
      <w:pPr>
        <w:numPr>
          <w:ilvl w:val="1"/>
          <w:numId w:val="4"/>
        </w:numPr>
        <w:spacing w:before="100" w:beforeAutospacing="1" w:after="100" w:afterAutospacing="1"/>
      </w:pPr>
      <w:r>
        <w:t xml:space="preserve">Work performance </w:t>
      </w:r>
    </w:p>
    <w:p w14:paraId="70BA5D6E" w14:textId="77777777" w:rsidR="00EC77AB" w:rsidRDefault="00EC77AB" w:rsidP="00EC77AB">
      <w:pPr>
        <w:numPr>
          <w:ilvl w:val="1"/>
          <w:numId w:val="4"/>
        </w:numPr>
        <w:spacing w:before="100" w:beforeAutospacing="1" w:after="100" w:afterAutospacing="1"/>
      </w:pPr>
      <w:r>
        <w:t xml:space="preserve">Emotional bond </w:t>
      </w:r>
    </w:p>
    <w:p w14:paraId="389F3EDF" w14:textId="77777777" w:rsidR="00EC77AB" w:rsidRDefault="00EC77AB" w:rsidP="00EC77AB">
      <w:pPr>
        <w:numPr>
          <w:ilvl w:val="1"/>
          <w:numId w:val="4"/>
        </w:numPr>
        <w:spacing w:before="100" w:beforeAutospacing="1" w:after="100" w:afterAutospacing="1"/>
      </w:pPr>
      <w:r>
        <w:lastRenderedPageBreak/>
        <w:t xml:space="preserve">Social integration </w:t>
      </w:r>
    </w:p>
    <w:p w14:paraId="503BB8DE" w14:textId="77777777" w:rsidR="00EC77AB" w:rsidRDefault="00EC77AB" w:rsidP="00EC77AB">
      <w:pPr>
        <w:numPr>
          <w:ilvl w:val="1"/>
          <w:numId w:val="4"/>
        </w:numPr>
        <w:spacing w:before="100" w:beforeAutospacing="1" w:after="100" w:afterAutospacing="1"/>
      </w:pPr>
      <w:r>
        <w:t>Behavioral reliability</w:t>
      </w:r>
      <w:r>
        <w:br/>
        <w:t xml:space="preserve">These do not move together; high emotional attachment can coexist with poor functional performance. </w:t>
      </w:r>
    </w:p>
    <w:p w14:paraId="1E2FFDE8" w14:textId="77777777" w:rsidR="00EC77AB" w:rsidRDefault="00EC77AB" w:rsidP="00EC77AB">
      <w:pPr>
        <w:numPr>
          <w:ilvl w:val="0"/>
          <w:numId w:val="4"/>
        </w:numPr>
        <w:spacing w:before="100" w:beforeAutospacing="1" w:after="100" w:afterAutospacing="1"/>
      </w:pPr>
      <w:r>
        <w:rPr>
          <w:rStyle w:val="Strong"/>
        </w:rPr>
        <w:t>Subjective perception is systematically biased.</w:t>
      </w:r>
      <w:r>
        <w:br/>
        <w:t xml:space="preserve">Handler belief effects, stress effects, and self-rating bias all show that </w:t>
      </w:r>
      <w:r>
        <w:rPr>
          <w:rStyle w:val="Strong"/>
        </w:rPr>
        <w:t>user-reported trust, satisfaction, or performance is not reliable</w:t>
      </w:r>
      <w:r>
        <w:t xml:space="preserve"> without external validation. </w:t>
      </w:r>
    </w:p>
    <w:p w14:paraId="322C7E48" w14:textId="77777777" w:rsidR="00EC77AB" w:rsidRDefault="00EC77AB" w:rsidP="00EC77AB">
      <w:pPr>
        <w:numPr>
          <w:ilvl w:val="0"/>
          <w:numId w:val="4"/>
        </w:numPr>
        <w:spacing w:before="100" w:beforeAutospacing="1" w:after="100" w:afterAutospacing="1"/>
      </w:pPr>
      <w:r>
        <w:rPr>
          <w:rStyle w:val="Strong"/>
        </w:rPr>
        <w:t>Coordination and “mind-reading” are real but operationalizable.</w:t>
      </w:r>
      <w:r>
        <w:br/>
        <w:t xml:space="preserve">What handlers call “mind-reading” decomposes into: </w:t>
      </w:r>
    </w:p>
    <w:p w14:paraId="6FF55131" w14:textId="77777777" w:rsidR="00EC77AB" w:rsidRDefault="00EC77AB" w:rsidP="00EC77AB">
      <w:pPr>
        <w:numPr>
          <w:ilvl w:val="1"/>
          <w:numId w:val="4"/>
        </w:numPr>
        <w:spacing w:before="100" w:beforeAutospacing="1" w:after="100" w:afterAutospacing="1"/>
      </w:pPr>
      <w:r>
        <w:t xml:space="preserve">Predictive coordination </w:t>
      </w:r>
    </w:p>
    <w:p w14:paraId="3138B81E" w14:textId="77777777" w:rsidR="00EC77AB" w:rsidRDefault="00EC77AB" w:rsidP="00EC77AB">
      <w:pPr>
        <w:numPr>
          <w:ilvl w:val="1"/>
          <w:numId w:val="4"/>
        </w:numPr>
        <w:spacing w:before="100" w:beforeAutospacing="1" w:after="100" w:afterAutospacing="1"/>
      </w:pPr>
      <w:r>
        <w:t xml:space="preserve">Synchrony (timing, gaze, movement, interaction flow) </w:t>
      </w:r>
    </w:p>
    <w:p w14:paraId="67FC1F5A" w14:textId="77777777" w:rsidR="00EC77AB" w:rsidRDefault="00EC77AB" w:rsidP="00EC77AB">
      <w:pPr>
        <w:numPr>
          <w:ilvl w:val="1"/>
          <w:numId w:val="4"/>
        </w:numPr>
        <w:spacing w:before="100" w:beforeAutospacing="1" w:after="100" w:afterAutospacing="1"/>
      </w:pPr>
      <w:r>
        <w:t>Repair signals and ambiguity management</w:t>
      </w:r>
      <w:r>
        <w:br/>
        <w:t xml:space="preserve">These are measurable and improve over time. </w:t>
      </w:r>
    </w:p>
    <w:p w14:paraId="4E4BB256" w14:textId="77777777" w:rsidR="00EC77AB" w:rsidRDefault="00EC77AB" w:rsidP="00EC77AB">
      <w:pPr>
        <w:numPr>
          <w:ilvl w:val="0"/>
          <w:numId w:val="4"/>
        </w:numPr>
        <w:spacing w:before="100" w:beforeAutospacing="1" w:after="100" w:afterAutospacing="1"/>
      </w:pPr>
      <w:r>
        <w:rPr>
          <w:rStyle w:val="Strong"/>
        </w:rPr>
        <w:t>Attachment can form without symmetry—but differs structurally.</w:t>
      </w:r>
      <w:r>
        <w:br/>
        <w:t xml:space="preserve">Robot and AIBO studies show: </w:t>
      </w:r>
    </w:p>
    <w:p w14:paraId="490563A2" w14:textId="77777777" w:rsidR="00EC77AB" w:rsidRDefault="00EC77AB" w:rsidP="00EC77AB">
      <w:pPr>
        <w:numPr>
          <w:ilvl w:val="1"/>
          <w:numId w:val="4"/>
        </w:numPr>
        <w:spacing w:before="100" w:beforeAutospacing="1" w:after="100" w:afterAutospacing="1"/>
      </w:pPr>
      <w:r>
        <w:t xml:space="preserve">Humans form attachment to artificial partners </w:t>
      </w:r>
    </w:p>
    <w:p w14:paraId="6ECC283F" w14:textId="77777777" w:rsidR="00EC77AB" w:rsidRDefault="00EC77AB" w:rsidP="00EC77AB">
      <w:pPr>
        <w:numPr>
          <w:ilvl w:val="1"/>
          <w:numId w:val="4"/>
        </w:numPr>
        <w:spacing w:before="100" w:beforeAutospacing="1" w:after="100" w:afterAutospacing="1"/>
      </w:pPr>
      <w:r>
        <w:t>But attachment is weaker and structurally asymmetric</w:t>
      </w:r>
      <w:r>
        <w:br/>
        <w:t xml:space="preserve">This aligns with the non-transfer conditions (no biological reciprocity, no shared life-history). </w:t>
      </w:r>
    </w:p>
    <w:p w14:paraId="2930F665" w14:textId="77777777" w:rsidR="00EC77AB" w:rsidRDefault="00EC77AB" w:rsidP="00EC77AB">
      <w:pPr>
        <w:pStyle w:val="NormalWeb"/>
        <w:numPr>
          <w:ilvl w:val="0"/>
          <w:numId w:val="4"/>
        </w:numPr>
      </w:pPr>
      <w:r>
        <w:rPr>
          <w:rStyle w:val="Strong"/>
        </w:rPr>
        <w:t>The strongest existing measurement systems already exist—in animal research.</w:t>
      </w:r>
      <w:r>
        <w:br/>
        <w:t>Notably:</w:t>
      </w:r>
    </w:p>
    <w:p w14:paraId="56693DC2" w14:textId="77777777" w:rsidR="00EC77AB" w:rsidRDefault="00EC77AB" w:rsidP="00EC77AB">
      <w:pPr>
        <w:numPr>
          <w:ilvl w:val="1"/>
          <w:numId w:val="4"/>
        </w:numPr>
        <w:spacing w:before="100" w:beforeAutospacing="1" w:after="100" w:afterAutospacing="1"/>
      </w:pPr>
      <w:r>
        <w:t xml:space="preserve">Fulfilment of Expectations Scale </w:t>
      </w:r>
    </w:p>
    <w:p w14:paraId="1E7316BE" w14:textId="77777777" w:rsidR="00EC77AB" w:rsidRDefault="00EC77AB" w:rsidP="00EC77AB">
      <w:pPr>
        <w:numPr>
          <w:ilvl w:val="1"/>
          <w:numId w:val="4"/>
        </w:numPr>
        <w:spacing w:before="100" w:beforeAutospacing="1" w:after="100" w:afterAutospacing="1"/>
      </w:pPr>
      <w:r>
        <w:t xml:space="preserve">Compatibility scales (work/emotional/social) </w:t>
      </w:r>
    </w:p>
    <w:p w14:paraId="403C33A4" w14:textId="77777777" w:rsidR="00EC77AB" w:rsidRDefault="00EC77AB" w:rsidP="00EC77AB">
      <w:pPr>
        <w:numPr>
          <w:ilvl w:val="1"/>
          <w:numId w:val="4"/>
        </w:numPr>
        <w:spacing w:before="100" w:beforeAutospacing="1" w:after="100" w:afterAutospacing="1"/>
      </w:pPr>
      <w:r>
        <w:t xml:space="preserve">MDORS (relationship quality) </w:t>
      </w:r>
    </w:p>
    <w:p w14:paraId="6095F264" w14:textId="77777777" w:rsidR="00EC77AB" w:rsidRDefault="00EC77AB" w:rsidP="00EC77AB">
      <w:pPr>
        <w:numPr>
          <w:ilvl w:val="1"/>
          <w:numId w:val="4"/>
        </w:numPr>
        <w:spacing w:before="100" w:beforeAutospacing="1" w:after="100" w:afterAutospacing="1"/>
      </w:pPr>
      <w:r>
        <w:t xml:space="preserve">Behavioral checklists (C-BARQ variants) </w:t>
      </w:r>
    </w:p>
    <w:p w14:paraId="7380E208" w14:textId="77777777" w:rsidR="00EC77AB" w:rsidRDefault="00EC77AB" w:rsidP="00EC77AB">
      <w:pPr>
        <w:numPr>
          <w:ilvl w:val="1"/>
          <w:numId w:val="4"/>
        </w:numPr>
        <w:spacing w:before="100" w:beforeAutospacing="1" w:after="100" w:afterAutospacing="1"/>
      </w:pPr>
      <w:r>
        <w:t xml:space="preserve">Synchrony metrics </w:t>
      </w:r>
    </w:p>
    <w:p w14:paraId="326C48D7" w14:textId="77777777" w:rsidR="00EC77AB" w:rsidRDefault="00EC77AB" w:rsidP="00EC77AB">
      <w:pPr>
        <w:numPr>
          <w:ilvl w:val="1"/>
          <w:numId w:val="4"/>
        </w:numPr>
        <w:spacing w:before="100" w:beforeAutospacing="1" w:after="100" w:afterAutospacing="1"/>
      </w:pPr>
      <w:r>
        <w:t xml:space="preserve">Bias-controlled experimental designs </w:t>
      </w:r>
    </w:p>
    <w:p w14:paraId="7F332436" w14:textId="77777777" w:rsidR="00EC77AB" w:rsidRDefault="00EC77AB" w:rsidP="00EC77AB">
      <w:pPr>
        <w:pStyle w:val="NormalWeb"/>
        <w:ind w:left="720"/>
      </w:pPr>
      <w:r>
        <w:t xml:space="preserve">HAI largely </w:t>
      </w:r>
      <w:r>
        <w:rPr>
          <w:rStyle w:val="Strong"/>
        </w:rPr>
        <w:t>has not yet adopted this measurement maturity</w:t>
      </w:r>
      <w:r>
        <w:t>.</w:t>
      </w:r>
    </w:p>
    <w:p w14:paraId="68013017" w14:textId="77777777" w:rsidR="00EC77AB" w:rsidRDefault="00EC77AB" w:rsidP="00EC77AB">
      <w:r>
        <w:pict w14:anchorId="7481F7E6">
          <v:rect id="_x0000_i1028" style="width:0;height:1.5pt" o:hralign="center" o:hrstd="t" o:hr="t" fillcolor="#a0a0a0" stroked="f"/>
        </w:pict>
      </w:r>
    </w:p>
    <w:p w14:paraId="109EC198" w14:textId="77777777" w:rsidR="00EC77AB" w:rsidRDefault="00EC77AB" w:rsidP="00EC77AB">
      <w:pPr>
        <w:pStyle w:val="Heading1"/>
      </w:pPr>
      <w:r>
        <w:t>Gap Statement: What a Credible 6–24 Month Panel Study Must Measure</w:t>
      </w:r>
    </w:p>
    <w:p w14:paraId="35759287" w14:textId="77777777" w:rsidR="00EC77AB" w:rsidRDefault="00EC77AB" w:rsidP="00EC77AB">
      <w:pPr>
        <w:pStyle w:val="NormalWeb"/>
      </w:pPr>
      <w:r>
        <w:t xml:space="preserve">A serious longitudinal study of human–AI working partnership cannot look like current HAI studies (short sessions, self-report, task accuracy). It must instead replicate the </w:t>
      </w:r>
      <w:r>
        <w:rPr>
          <w:rStyle w:val="Strong"/>
        </w:rPr>
        <w:t>structure of working-animal research</w:t>
      </w:r>
      <w:r>
        <w:t>, with the following minimum requirements:</w:t>
      </w:r>
    </w:p>
    <w:p w14:paraId="7A830242" w14:textId="77777777" w:rsidR="00EC77AB" w:rsidRDefault="00EC77AB" w:rsidP="00EC77AB">
      <w:pPr>
        <w:pStyle w:val="Heading2"/>
      </w:pPr>
      <w:r>
        <w:lastRenderedPageBreak/>
        <w:t>1. Dyadic Longitudinal Design</w:t>
      </w:r>
    </w:p>
    <w:p w14:paraId="0EFA872E" w14:textId="77777777" w:rsidR="00EC77AB" w:rsidRDefault="00EC77AB" w:rsidP="00EC77AB">
      <w:pPr>
        <w:numPr>
          <w:ilvl w:val="0"/>
          <w:numId w:val="5"/>
        </w:numPr>
        <w:spacing w:before="100" w:beforeAutospacing="1" w:after="100" w:afterAutospacing="1"/>
      </w:pPr>
      <w:r>
        <w:t xml:space="preserve">Repeated measures over </w:t>
      </w:r>
      <w:r>
        <w:rPr>
          <w:rStyle w:val="Strong"/>
        </w:rPr>
        <w:t>6–24 months</w:t>
      </w:r>
      <w:r>
        <w:t xml:space="preserve"> </w:t>
      </w:r>
    </w:p>
    <w:p w14:paraId="3C20A416" w14:textId="77777777" w:rsidR="00EC77AB" w:rsidRDefault="00EC77AB" w:rsidP="00EC77AB">
      <w:pPr>
        <w:numPr>
          <w:ilvl w:val="0"/>
          <w:numId w:val="5"/>
        </w:numPr>
        <w:spacing w:before="100" w:beforeAutospacing="1" w:after="100" w:afterAutospacing="1"/>
      </w:pPr>
      <w:r>
        <w:t xml:space="preserve">Capture </w:t>
      </w:r>
      <w:r>
        <w:rPr>
          <w:rStyle w:val="Strong"/>
        </w:rPr>
        <w:t>phases</w:t>
      </w:r>
      <w:r>
        <w:t xml:space="preserve">: </w:t>
      </w:r>
    </w:p>
    <w:p w14:paraId="4B43B88F" w14:textId="77777777" w:rsidR="00EC77AB" w:rsidRDefault="00EC77AB" w:rsidP="00EC77AB">
      <w:pPr>
        <w:numPr>
          <w:ilvl w:val="1"/>
          <w:numId w:val="5"/>
        </w:numPr>
        <w:spacing w:before="100" w:beforeAutospacing="1" w:after="100" w:afterAutospacing="1"/>
      </w:pPr>
      <w:r>
        <w:t xml:space="preserve">Onboarding / matching </w:t>
      </w:r>
    </w:p>
    <w:p w14:paraId="000C1441" w14:textId="77777777" w:rsidR="00EC77AB" w:rsidRDefault="00EC77AB" w:rsidP="00EC77AB">
      <w:pPr>
        <w:numPr>
          <w:ilvl w:val="1"/>
          <w:numId w:val="5"/>
        </w:numPr>
        <w:spacing w:before="100" w:beforeAutospacing="1" w:after="100" w:afterAutospacing="1"/>
      </w:pPr>
      <w:r>
        <w:t xml:space="preserve">Early calibration </w:t>
      </w:r>
    </w:p>
    <w:p w14:paraId="6A71ADF8" w14:textId="77777777" w:rsidR="00EC77AB" w:rsidRDefault="00EC77AB" w:rsidP="00EC77AB">
      <w:pPr>
        <w:numPr>
          <w:ilvl w:val="1"/>
          <w:numId w:val="5"/>
        </w:numPr>
        <w:spacing w:before="100" w:beforeAutospacing="1" w:after="100" w:afterAutospacing="1"/>
      </w:pPr>
      <w:r>
        <w:t xml:space="preserve">Stable operation </w:t>
      </w:r>
    </w:p>
    <w:p w14:paraId="262BF151" w14:textId="77777777" w:rsidR="00EC77AB" w:rsidRDefault="00EC77AB" w:rsidP="00EC77AB">
      <w:pPr>
        <w:numPr>
          <w:ilvl w:val="1"/>
          <w:numId w:val="5"/>
        </w:numPr>
        <w:spacing w:before="100" w:beforeAutospacing="1" w:after="100" w:afterAutospacing="1"/>
      </w:pPr>
      <w:r>
        <w:t xml:space="preserve">Breakdown / mismatch events </w:t>
      </w:r>
    </w:p>
    <w:p w14:paraId="7ED578F4" w14:textId="77777777" w:rsidR="00EC77AB" w:rsidRDefault="00EC77AB" w:rsidP="00EC77AB">
      <w:pPr>
        <w:numPr>
          <w:ilvl w:val="1"/>
          <w:numId w:val="5"/>
        </w:numPr>
        <w:spacing w:before="100" w:beforeAutospacing="1" w:after="100" w:afterAutospacing="1"/>
      </w:pPr>
      <w:r>
        <w:t xml:space="preserve">System updates / retraining </w:t>
      </w:r>
    </w:p>
    <w:p w14:paraId="5E8E223F" w14:textId="77777777" w:rsidR="00EC77AB" w:rsidRDefault="00EC77AB" w:rsidP="00EC77AB">
      <w:pPr>
        <w:numPr>
          <w:ilvl w:val="1"/>
          <w:numId w:val="5"/>
        </w:numPr>
        <w:spacing w:before="100" w:beforeAutospacing="1" w:after="100" w:afterAutospacing="1"/>
      </w:pPr>
      <w:r>
        <w:t xml:space="preserve">Exit or migration </w:t>
      </w:r>
    </w:p>
    <w:p w14:paraId="0DC4C399" w14:textId="77777777" w:rsidR="00EC77AB" w:rsidRDefault="00EC77AB" w:rsidP="00EC77AB">
      <w:pPr>
        <w:pStyle w:val="Heading2"/>
      </w:pPr>
      <w:r>
        <w:t>2. Multi-Dimensional Outcome Model</w:t>
      </w:r>
    </w:p>
    <w:p w14:paraId="50908FF6" w14:textId="77777777" w:rsidR="00EC77AB" w:rsidRDefault="00EC77AB" w:rsidP="00EC77AB">
      <w:pPr>
        <w:pStyle w:val="NormalWeb"/>
      </w:pPr>
      <w:r>
        <w:t>Must measure at least four independent axes:</w:t>
      </w:r>
    </w:p>
    <w:p w14:paraId="54EF9FDD" w14:textId="77777777" w:rsidR="00EC77AB" w:rsidRDefault="00EC77AB" w:rsidP="00EC77AB">
      <w:pPr>
        <w:numPr>
          <w:ilvl w:val="0"/>
          <w:numId w:val="6"/>
        </w:numPr>
        <w:spacing w:before="100" w:beforeAutospacing="1" w:after="100" w:afterAutospacing="1"/>
      </w:pPr>
      <w:r>
        <w:rPr>
          <w:rStyle w:val="Strong"/>
        </w:rPr>
        <w:t>Work performance</w:t>
      </w:r>
      <w:r>
        <w:t xml:space="preserve"> </w:t>
      </w:r>
    </w:p>
    <w:p w14:paraId="07D4D6C7" w14:textId="77777777" w:rsidR="00EC77AB" w:rsidRDefault="00EC77AB" w:rsidP="00EC77AB">
      <w:pPr>
        <w:numPr>
          <w:ilvl w:val="1"/>
          <w:numId w:val="6"/>
        </w:numPr>
        <w:spacing w:before="100" w:beforeAutospacing="1" w:after="100" w:afterAutospacing="1"/>
      </w:pPr>
      <w:r>
        <w:t xml:space="preserve">Objective task success (externally validated) </w:t>
      </w:r>
    </w:p>
    <w:p w14:paraId="0B403C94" w14:textId="77777777" w:rsidR="00EC77AB" w:rsidRDefault="00EC77AB" w:rsidP="00EC77AB">
      <w:pPr>
        <w:numPr>
          <w:ilvl w:val="1"/>
          <w:numId w:val="6"/>
        </w:numPr>
        <w:spacing w:before="100" w:beforeAutospacing="1" w:after="100" w:afterAutospacing="1"/>
      </w:pPr>
      <w:r>
        <w:t xml:space="preserve">Error profiles (not just accuracy) </w:t>
      </w:r>
    </w:p>
    <w:p w14:paraId="3A60BAA7" w14:textId="77777777" w:rsidR="00EC77AB" w:rsidRDefault="00EC77AB" w:rsidP="00EC77AB">
      <w:pPr>
        <w:numPr>
          <w:ilvl w:val="0"/>
          <w:numId w:val="6"/>
        </w:numPr>
        <w:spacing w:before="100" w:beforeAutospacing="1" w:after="100" w:afterAutospacing="1"/>
      </w:pPr>
      <w:r>
        <w:rPr>
          <w:rStyle w:val="Strong"/>
        </w:rPr>
        <w:t>Coordination / mutual prediction</w:t>
      </w:r>
      <w:r>
        <w:t xml:space="preserve"> </w:t>
      </w:r>
    </w:p>
    <w:p w14:paraId="2BE57E0C" w14:textId="77777777" w:rsidR="00EC77AB" w:rsidRDefault="00EC77AB" w:rsidP="00EC77AB">
      <w:pPr>
        <w:numPr>
          <w:ilvl w:val="1"/>
          <w:numId w:val="6"/>
        </w:numPr>
        <w:spacing w:before="100" w:beforeAutospacing="1" w:after="100" w:afterAutospacing="1"/>
      </w:pPr>
      <w:r>
        <w:t xml:space="preserve">Interaction latency </w:t>
      </w:r>
    </w:p>
    <w:p w14:paraId="1E2162FC" w14:textId="77777777" w:rsidR="00EC77AB" w:rsidRDefault="00EC77AB" w:rsidP="00EC77AB">
      <w:pPr>
        <w:numPr>
          <w:ilvl w:val="1"/>
          <w:numId w:val="6"/>
        </w:numPr>
        <w:spacing w:before="100" w:beforeAutospacing="1" w:after="100" w:afterAutospacing="1"/>
      </w:pPr>
      <w:r>
        <w:t xml:space="preserve">Turn-taking efficiency </w:t>
      </w:r>
    </w:p>
    <w:p w14:paraId="01DF221C" w14:textId="77777777" w:rsidR="00EC77AB" w:rsidRDefault="00EC77AB" w:rsidP="00EC77AB">
      <w:pPr>
        <w:numPr>
          <w:ilvl w:val="1"/>
          <w:numId w:val="6"/>
        </w:numPr>
        <w:spacing w:before="100" w:beforeAutospacing="1" w:after="100" w:afterAutospacing="1"/>
      </w:pPr>
      <w:r>
        <w:t xml:space="preserve">Repair frequency </w:t>
      </w:r>
    </w:p>
    <w:p w14:paraId="682C475D" w14:textId="77777777" w:rsidR="00EC77AB" w:rsidRDefault="00EC77AB" w:rsidP="00EC77AB">
      <w:pPr>
        <w:numPr>
          <w:ilvl w:val="1"/>
          <w:numId w:val="6"/>
        </w:numPr>
        <w:spacing w:before="100" w:beforeAutospacing="1" w:after="100" w:afterAutospacing="1"/>
      </w:pPr>
      <w:r>
        <w:t xml:space="preserve">Synchrony metrics (timing, flow) </w:t>
      </w:r>
    </w:p>
    <w:p w14:paraId="05BAA7AA" w14:textId="77777777" w:rsidR="00EC77AB" w:rsidRDefault="00EC77AB" w:rsidP="00EC77AB">
      <w:pPr>
        <w:numPr>
          <w:ilvl w:val="0"/>
          <w:numId w:val="6"/>
        </w:numPr>
        <w:spacing w:before="100" w:beforeAutospacing="1" w:after="100" w:afterAutospacing="1"/>
      </w:pPr>
      <w:r>
        <w:rPr>
          <w:rStyle w:val="Strong"/>
        </w:rPr>
        <w:t>Expectation fulfillment</w:t>
      </w:r>
      <w:r>
        <w:t xml:space="preserve"> </w:t>
      </w:r>
    </w:p>
    <w:p w14:paraId="64BEC5F3" w14:textId="77777777" w:rsidR="00EC77AB" w:rsidRDefault="00EC77AB" w:rsidP="00EC77AB">
      <w:pPr>
        <w:numPr>
          <w:ilvl w:val="1"/>
          <w:numId w:val="6"/>
        </w:numPr>
        <w:spacing w:before="100" w:beforeAutospacing="1" w:after="100" w:afterAutospacing="1"/>
      </w:pPr>
      <w:r>
        <w:t xml:space="preserve">Adapted Fulfilment of Expectations Scale (longitudinal) </w:t>
      </w:r>
    </w:p>
    <w:p w14:paraId="05BCE707" w14:textId="77777777" w:rsidR="00EC77AB" w:rsidRDefault="00EC77AB" w:rsidP="00EC77AB">
      <w:pPr>
        <w:numPr>
          <w:ilvl w:val="0"/>
          <w:numId w:val="6"/>
        </w:numPr>
        <w:spacing w:before="100" w:beforeAutospacing="1" w:after="100" w:afterAutospacing="1"/>
      </w:pPr>
      <w:r>
        <w:rPr>
          <w:rStyle w:val="Strong"/>
        </w:rPr>
        <w:t>Relationship structure</w:t>
      </w:r>
      <w:r>
        <w:t xml:space="preserve"> </w:t>
      </w:r>
    </w:p>
    <w:p w14:paraId="3AF7B2A9" w14:textId="77777777" w:rsidR="00EC77AB" w:rsidRDefault="00EC77AB" w:rsidP="00EC77AB">
      <w:pPr>
        <w:numPr>
          <w:ilvl w:val="1"/>
          <w:numId w:val="6"/>
        </w:numPr>
        <w:spacing w:before="100" w:beforeAutospacing="1" w:after="100" w:afterAutospacing="1"/>
      </w:pPr>
      <w:r>
        <w:t xml:space="preserve">Compatibility (work / emotional / social) </w:t>
      </w:r>
    </w:p>
    <w:p w14:paraId="4B8DE34C" w14:textId="77777777" w:rsidR="00EC77AB" w:rsidRDefault="00EC77AB" w:rsidP="00EC77AB">
      <w:pPr>
        <w:numPr>
          <w:ilvl w:val="1"/>
          <w:numId w:val="6"/>
        </w:numPr>
        <w:spacing w:before="100" w:beforeAutospacing="1" w:after="100" w:afterAutospacing="1"/>
      </w:pPr>
      <w:r>
        <w:t xml:space="preserve">Attachment / dependence (user-side) </w:t>
      </w:r>
    </w:p>
    <w:p w14:paraId="1D55B5A6" w14:textId="77777777" w:rsidR="00EC77AB" w:rsidRDefault="00EC77AB" w:rsidP="00EC77AB">
      <w:pPr>
        <w:pStyle w:val="Heading2"/>
      </w:pPr>
      <w:r>
        <w:t>3. Bias-Controlled Measurement Layer</w:t>
      </w:r>
    </w:p>
    <w:p w14:paraId="7C266F60" w14:textId="77777777" w:rsidR="00EC77AB" w:rsidRDefault="00EC77AB" w:rsidP="00EC77AB">
      <w:pPr>
        <w:pStyle w:val="NormalWeb"/>
      </w:pPr>
      <w:r>
        <w:t>Mandatory (based on detection-dog literature):</w:t>
      </w:r>
    </w:p>
    <w:p w14:paraId="698BC06A" w14:textId="77777777" w:rsidR="00EC77AB" w:rsidRDefault="00EC77AB" w:rsidP="00EC77AB">
      <w:pPr>
        <w:numPr>
          <w:ilvl w:val="0"/>
          <w:numId w:val="7"/>
        </w:numPr>
        <w:spacing w:before="100" w:beforeAutospacing="1" w:after="100" w:afterAutospacing="1"/>
      </w:pPr>
      <w:r>
        <w:t xml:space="preserve">Blinded tasks </w:t>
      </w:r>
    </w:p>
    <w:p w14:paraId="31619D2B" w14:textId="77777777" w:rsidR="00EC77AB" w:rsidRDefault="00EC77AB" w:rsidP="00EC77AB">
      <w:pPr>
        <w:numPr>
          <w:ilvl w:val="0"/>
          <w:numId w:val="7"/>
        </w:numPr>
        <w:spacing w:before="100" w:beforeAutospacing="1" w:after="100" w:afterAutospacing="1"/>
      </w:pPr>
      <w:r>
        <w:t xml:space="preserve">Seeded false affordances / adversarial prompts </w:t>
      </w:r>
    </w:p>
    <w:p w14:paraId="08D73B5D" w14:textId="77777777" w:rsidR="00EC77AB" w:rsidRDefault="00EC77AB" w:rsidP="00EC77AB">
      <w:pPr>
        <w:numPr>
          <w:ilvl w:val="0"/>
          <w:numId w:val="7"/>
        </w:numPr>
        <w:spacing w:before="100" w:beforeAutospacing="1" w:after="100" w:afterAutospacing="1"/>
      </w:pPr>
      <w:r>
        <w:t xml:space="preserve">External raters </w:t>
      </w:r>
    </w:p>
    <w:p w14:paraId="440D0FDD" w14:textId="77777777" w:rsidR="00EC77AB" w:rsidRDefault="00EC77AB" w:rsidP="00EC77AB">
      <w:pPr>
        <w:numPr>
          <w:ilvl w:val="0"/>
          <w:numId w:val="7"/>
        </w:numPr>
        <w:spacing w:before="100" w:beforeAutospacing="1" w:after="100" w:afterAutospacing="1"/>
      </w:pPr>
      <w:r>
        <w:t xml:space="preserve">Separation of: </w:t>
      </w:r>
    </w:p>
    <w:p w14:paraId="44266A26" w14:textId="77777777" w:rsidR="00EC77AB" w:rsidRDefault="00EC77AB" w:rsidP="00EC77AB">
      <w:pPr>
        <w:numPr>
          <w:ilvl w:val="1"/>
          <w:numId w:val="7"/>
        </w:numPr>
        <w:spacing w:before="100" w:beforeAutospacing="1" w:after="100" w:afterAutospacing="1"/>
      </w:pPr>
      <w:r>
        <w:rPr>
          <w:rStyle w:val="Strong"/>
        </w:rPr>
        <w:t>Perceived performance</w:t>
      </w:r>
      <w:r>
        <w:t xml:space="preserve"> </w:t>
      </w:r>
    </w:p>
    <w:p w14:paraId="10C31DFB" w14:textId="77777777" w:rsidR="00EC77AB" w:rsidRDefault="00EC77AB" w:rsidP="00EC77AB">
      <w:pPr>
        <w:numPr>
          <w:ilvl w:val="1"/>
          <w:numId w:val="7"/>
        </w:numPr>
        <w:spacing w:before="100" w:beforeAutospacing="1" w:after="100" w:afterAutospacing="1"/>
      </w:pPr>
      <w:r>
        <w:rPr>
          <w:rStyle w:val="Strong"/>
        </w:rPr>
        <w:t>Actual performance</w:t>
      </w:r>
      <w:r>
        <w:t xml:space="preserve"> </w:t>
      </w:r>
    </w:p>
    <w:p w14:paraId="2861E86C" w14:textId="77777777" w:rsidR="00EC77AB" w:rsidRDefault="00EC77AB" w:rsidP="00EC77AB">
      <w:pPr>
        <w:pStyle w:val="Heading2"/>
      </w:pPr>
      <w:r>
        <w:t>4. Behavioral Battery for the AI Partner</w:t>
      </w:r>
    </w:p>
    <w:p w14:paraId="4F1E4097" w14:textId="77777777" w:rsidR="00EC77AB" w:rsidRDefault="00EC77AB" w:rsidP="00EC77AB">
      <w:pPr>
        <w:pStyle w:val="NormalWeb"/>
      </w:pPr>
      <w:r>
        <w:t>Analogous to working-dog evaluation:</w:t>
      </w:r>
    </w:p>
    <w:p w14:paraId="56A0B406" w14:textId="77777777" w:rsidR="00EC77AB" w:rsidRDefault="00EC77AB" w:rsidP="00EC77AB">
      <w:pPr>
        <w:numPr>
          <w:ilvl w:val="0"/>
          <w:numId w:val="8"/>
        </w:numPr>
        <w:spacing w:before="100" w:beforeAutospacing="1" w:after="100" w:afterAutospacing="1"/>
      </w:pPr>
      <w:r>
        <w:lastRenderedPageBreak/>
        <w:t xml:space="preserve">Predictability </w:t>
      </w:r>
    </w:p>
    <w:p w14:paraId="6E273BD8" w14:textId="77777777" w:rsidR="00EC77AB" w:rsidRDefault="00EC77AB" w:rsidP="00EC77AB">
      <w:pPr>
        <w:numPr>
          <w:ilvl w:val="0"/>
          <w:numId w:val="8"/>
        </w:numPr>
        <w:spacing w:before="100" w:beforeAutospacing="1" w:after="100" w:afterAutospacing="1"/>
      </w:pPr>
      <w:r>
        <w:t xml:space="preserve">Recovery from interruption </w:t>
      </w:r>
    </w:p>
    <w:p w14:paraId="722FBC5C" w14:textId="77777777" w:rsidR="00EC77AB" w:rsidRDefault="00EC77AB" w:rsidP="00EC77AB">
      <w:pPr>
        <w:numPr>
          <w:ilvl w:val="0"/>
          <w:numId w:val="8"/>
        </w:numPr>
        <w:spacing w:before="100" w:beforeAutospacing="1" w:after="100" w:afterAutospacing="1"/>
      </w:pPr>
      <w:r>
        <w:t xml:space="preserve">Calibration of confidence </w:t>
      </w:r>
    </w:p>
    <w:p w14:paraId="2C5A0F08" w14:textId="77777777" w:rsidR="00EC77AB" w:rsidRDefault="00EC77AB" w:rsidP="00EC77AB">
      <w:pPr>
        <w:numPr>
          <w:ilvl w:val="0"/>
          <w:numId w:val="8"/>
        </w:numPr>
        <w:spacing w:before="100" w:beforeAutospacing="1" w:after="100" w:afterAutospacing="1"/>
      </w:pPr>
      <w:r>
        <w:t xml:space="preserve">Deference vs. persistence </w:t>
      </w:r>
    </w:p>
    <w:p w14:paraId="15FF7841" w14:textId="77777777" w:rsidR="00EC77AB" w:rsidRDefault="00EC77AB" w:rsidP="00EC77AB">
      <w:pPr>
        <w:numPr>
          <w:ilvl w:val="0"/>
          <w:numId w:val="8"/>
        </w:numPr>
        <w:spacing w:before="100" w:beforeAutospacing="1" w:after="100" w:afterAutospacing="1"/>
      </w:pPr>
      <w:r>
        <w:t xml:space="preserve">Failure modes (hallucination, sycophancy) </w:t>
      </w:r>
    </w:p>
    <w:p w14:paraId="04B520FF" w14:textId="77777777" w:rsidR="00EC77AB" w:rsidRDefault="00EC77AB" w:rsidP="00EC77AB">
      <w:pPr>
        <w:pStyle w:val="Heading2"/>
      </w:pPr>
      <w:r>
        <w:t>5. Human-State Instrumentation</w:t>
      </w:r>
    </w:p>
    <w:p w14:paraId="33BF7FC6" w14:textId="77777777" w:rsidR="00EC77AB" w:rsidRDefault="00EC77AB" w:rsidP="00EC77AB">
      <w:pPr>
        <w:pStyle w:val="NormalWeb"/>
      </w:pPr>
      <w:r>
        <w:t>Because the AI lacks physiology:</w:t>
      </w:r>
    </w:p>
    <w:p w14:paraId="54959E0E" w14:textId="77777777" w:rsidR="00EC77AB" w:rsidRDefault="00EC77AB" w:rsidP="00EC77AB">
      <w:pPr>
        <w:numPr>
          <w:ilvl w:val="0"/>
          <w:numId w:val="9"/>
        </w:numPr>
        <w:spacing w:before="100" w:beforeAutospacing="1" w:after="100" w:afterAutospacing="1"/>
      </w:pPr>
      <w:r>
        <w:t xml:space="preserve">Cognitive load </w:t>
      </w:r>
    </w:p>
    <w:p w14:paraId="0ADD51BC" w14:textId="77777777" w:rsidR="00EC77AB" w:rsidRDefault="00EC77AB" w:rsidP="00EC77AB">
      <w:pPr>
        <w:numPr>
          <w:ilvl w:val="0"/>
          <w:numId w:val="9"/>
        </w:numPr>
        <w:spacing w:before="100" w:beforeAutospacing="1" w:after="100" w:afterAutospacing="1"/>
      </w:pPr>
      <w:r>
        <w:t xml:space="preserve">Stress (HRV, cortisol where possible) </w:t>
      </w:r>
    </w:p>
    <w:p w14:paraId="67955A2F" w14:textId="77777777" w:rsidR="00EC77AB" w:rsidRDefault="00EC77AB" w:rsidP="00EC77AB">
      <w:pPr>
        <w:numPr>
          <w:ilvl w:val="0"/>
          <w:numId w:val="9"/>
        </w:numPr>
        <w:spacing w:before="100" w:beforeAutospacing="1" w:after="100" w:afterAutospacing="1"/>
      </w:pPr>
      <w:r>
        <w:t xml:space="preserve">Attention fragmentation </w:t>
      </w:r>
    </w:p>
    <w:p w14:paraId="67B1A273" w14:textId="77777777" w:rsidR="00EC77AB" w:rsidRDefault="00EC77AB" w:rsidP="00EC77AB">
      <w:pPr>
        <w:numPr>
          <w:ilvl w:val="0"/>
          <w:numId w:val="9"/>
        </w:numPr>
        <w:spacing w:before="100" w:beforeAutospacing="1" w:after="100" w:afterAutospacing="1"/>
      </w:pPr>
      <w:r>
        <w:t xml:space="preserve">Fatigue over long sessions </w:t>
      </w:r>
    </w:p>
    <w:p w14:paraId="24B20CC4" w14:textId="77777777" w:rsidR="00EC77AB" w:rsidRDefault="00EC77AB" w:rsidP="00EC77AB">
      <w:pPr>
        <w:pStyle w:val="Heading2"/>
      </w:pPr>
      <w:r>
        <w:t>6. Adaptation and Co-Development Tracking</w:t>
      </w:r>
    </w:p>
    <w:p w14:paraId="5DA07FC3" w14:textId="77777777" w:rsidR="00EC77AB" w:rsidRDefault="00EC77AB" w:rsidP="00EC77AB">
      <w:pPr>
        <w:pStyle w:val="NormalWeb"/>
      </w:pPr>
      <w:r>
        <w:t>Critical for “co-becoming”:</w:t>
      </w:r>
    </w:p>
    <w:p w14:paraId="71523D65" w14:textId="77777777" w:rsidR="00EC77AB" w:rsidRDefault="00EC77AB" w:rsidP="00EC77AB">
      <w:pPr>
        <w:numPr>
          <w:ilvl w:val="0"/>
          <w:numId w:val="10"/>
        </w:numPr>
        <w:spacing w:before="100" w:beforeAutospacing="1" w:after="100" w:afterAutospacing="1"/>
      </w:pPr>
      <w:r>
        <w:t xml:space="preserve">User strategy evolution </w:t>
      </w:r>
    </w:p>
    <w:p w14:paraId="7B0A388F" w14:textId="77777777" w:rsidR="00EC77AB" w:rsidRDefault="00EC77AB" w:rsidP="00EC77AB">
      <w:pPr>
        <w:numPr>
          <w:ilvl w:val="0"/>
          <w:numId w:val="10"/>
        </w:numPr>
        <w:spacing w:before="100" w:beforeAutospacing="1" w:after="100" w:afterAutospacing="1"/>
      </w:pPr>
      <w:r>
        <w:t xml:space="preserve">Prompting style drift </w:t>
      </w:r>
    </w:p>
    <w:p w14:paraId="5228C34E" w14:textId="77777777" w:rsidR="00EC77AB" w:rsidRDefault="00EC77AB" w:rsidP="00EC77AB">
      <w:pPr>
        <w:numPr>
          <w:ilvl w:val="0"/>
          <w:numId w:val="10"/>
        </w:numPr>
        <w:spacing w:before="100" w:beforeAutospacing="1" w:after="100" w:afterAutospacing="1"/>
      </w:pPr>
      <w:r>
        <w:t xml:space="preserve">Delegation patterns </w:t>
      </w:r>
    </w:p>
    <w:p w14:paraId="00D95CD5" w14:textId="77777777" w:rsidR="00EC77AB" w:rsidRDefault="00EC77AB" w:rsidP="00EC77AB">
      <w:pPr>
        <w:numPr>
          <w:ilvl w:val="0"/>
          <w:numId w:val="10"/>
        </w:numPr>
        <w:spacing w:before="100" w:beforeAutospacing="1" w:after="100" w:afterAutospacing="1"/>
      </w:pPr>
      <w:r>
        <w:t xml:space="preserve">Reliance vs. override behavior </w:t>
      </w:r>
    </w:p>
    <w:p w14:paraId="2DCB1486" w14:textId="77777777" w:rsidR="00EC77AB" w:rsidRDefault="00EC77AB" w:rsidP="00EC77AB">
      <w:pPr>
        <w:pStyle w:val="Heading2"/>
      </w:pPr>
      <w:r>
        <w:t>7. System Discontinuity Events (Unique to AI)</w:t>
      </w:r>
    </w:p>
    <w:p w14:paraId="62DF148C" w14:textId="77777777" w:rsidR="00EC77AB" w:rsidRDefault="00EC77AB" w:rsidP="00EC77AB">
      <w:pPr>
        <w:pStyle w:val="NormalWeb"/>
      </w:pPr>
      <w:r>
        <w:t>Not present in animal literature but essential:</w:t>
      </w:r>
    </w:p>
    <w:p w14:paraId="23242939" w14:textId="77777777" w:rsidR="00EC77AB" w:rsidRDefault="00EC77AB" w:rsidP="00EC77AB">
      <w:pPr>
        <w:numPr>
          <w:ilvl w:val="0"/>
          <w:numId w:val="11"/>
        </w:numPr>
        <w:spacing w:before="100" w:beforeAutospacing="1" w:after="100" w:afterAutospacing="1"/>
      </w:pPr>
      <w:r>
        <w:t xml:space="preserve">Model updates / regressions </w:t>
      </w:r>
    </w:p>
    <w:p w14:paraId="3D4E3039" w14:textId="77777777" w:rsidR="00EC77AB" w:rsidRDefault="00EC77AB" w:rsidP="00EC77AB">
      <w:pPr>
        <w:numPr>
          <w:ilvl w:val="0"/>
          <w:numId w:val="11"/>
        </w:numPr>
        <w:spacing w:before="100" w:beforeAutospacing="1" w:after="100" w:afterAutospacing="1"/>
      </w:pPr>
      <w:r>
        <w:t xml:space="preserve">Policy changes </w:t>
      </w:r>
    </w:p>
    <w:p w14:paraId="7B9CBD3D" w14:textId="77777777" w:rsidR="00EC77AB" w:rsidRDefault="00EC77AB" w:rsidP="00EC77AB">
      <w:pPr>
        <w:numPr>
          <w:ilvl w:val="0"/>
          <w:numId w:val="11"/>
        </w:numPr>
        <w:spacing w:before="100" w:beforeAutospacing="1" w:after="100" w:afterAutospacing="1"/>
      </w:pPr>
      <w:r>
        <w:t xml:space="preserve">Loss of memory / context </w:t>
      </w:r>
    </w:p>
    <w:p w14:paraId="4714D8C0" w14:textId="77777777" w:rsidR="00EC77AB" w:rsidRDefault="00EC77AB" w:rsidP="00EC77AB">
      <w:pPr>
        <w:numPr>
          <w:ilvl w:val="0"/>
          <w:numId w:val="11"/>
        </w:numPr>
        <w:spacing w:before="100" w:beforeAutospacing="1" w:after="100" w:afterAutospacing="1"/>
      </w:pPr>
      <w:r>
        <w:t xml:space="preserve">Platform shutdown risk </w:t>
      </w:r>
    </w:p>
    <w:p w14:paraId="05CC26E1" w14:textId="77777777" w:rsidR="00EC77AB" w:rsidRDefault="00EC77AB" w:rsidP="00EC77AB">
      <w:pPr>
        <w:pStyle w:val="Heading2"/>
      </w:pPr>
      <w:r>
        <w:t>8. End-of-Relationship Module</w:t>
      </w:r>
    </w:p>
    <w:p w14:paraId="03FC3326" w14:textId="77777777" w:rsidR="00EC77AB" w:rsidRDefault="00EC77AB" w:rsidP="00EC77AB">
      <w:pPr>
        <w:pStyle w:val="NormalWeb"/>
      </w:pPr>
      <w:r>
        <w:t>Borrowed directly from guide-dog research:</w:t>
      </w:r>
    </w:p>
    <w:p w14:paraId="7D42EF20" w14:textId="77777777" w:rsidR="00EC77AB" w:rsidRDefault="00EC77AB" w:rsidP="00EC77AB">
      <w:pPr>
        <w:numPr>
          <w:ilvl w:val="0"/>
          <w:numId w:val="12"/>
        </w:numPr>
        <w:spacing w:before="100" w:beforeAutospacing="1" w:after="100" w:afterAutospacing="1"/>
      </w:pPr>
      <w:r>
        <w:t xml:space="preserve">Performance drop after removal </w:t>
      </w:r>
    </w:p>
    <w:p w14:paraId="0BDC92EB" w14:textId="77777777" w:rsidR="00EC77AB" w:rsidRDefault="00EC77AB" w:rsidP="00EC77AB">
      <w:pPr>
        <w:numPr>
          <w:ilvl w:val="0"/>
          <w:numId w:val="12"/>
        </w:numPr>
        <w:spacing w:before="100" w:beforeAutospacing="1" w:after="100" w:afterAutospacing="1"/>
      </w:pPr>
      <w:r>
        <w:t xml:space="preserve">Migration cost to new system </w:t>
      </w:r>
    </w:p>
    <w:p w14:paraId="27FCF141" w14:textId="77777777" w:rsidR="00EC77AB" w:rsidRDefault="00EC77AB" w:rsidP="00EC77AB">
      <w:pPr>
        <w:numPr>
          <w:ilvl w:val="0"/>
          <w:numId w:val="12"/>
        </w:numPr>
        <w:spacing w:before="100" w:beforeAutospacing="1" w:after="100" w:afterAutospacing="1"/>
      </w:pPr>
      <w:r>
        <w:t xml:space="preserve">Emotional + cognitive disruption </w:t>
      </w:r>
    </w:p>
    <w:p w14:paraId="2DC000B7" w14:textId="77777777" w:rsidR="00EC77AB" w:rsidRDefault="00EC77AB" w:rsidP="00EC77AB">
      <w:pPr>
        <w:numPr>
          <w:ilvl w:val="0"/>
          <w:numId w:val="12"/>
        </w:numPr>
        <w:spacing w:before="100" w:beforeAutospacing="1" w:after="100" w:afterAutospacing="1"/>
      </w:pPr>
      <w:r>
        <w:t xml:space="preserve">Residual dependence </w:t>
      </w:r>
    </w:p>
    <w:p w14:paraId="39E82580" w14:textId="77777777" w:rsidR="00EC77AB" w:rsidRDefault="00EC77AB" w:rsidP="00EC77AB">
      <w:pPr>
        <w:spacing w:after="0"/>
      </w:pPr>
      <w:r>
        <w:rPr>
          <w:noProof/>
        </w:rPr>
      </w:r>
      <w:r w:rsidR="00EC77AB">
        <w:rPr>
          <w:noProof/>
        </w:rPr>
        <w:pict w14:anchorId="3910389A">
          <v:rect id="_x0000_i1029" alt="" style="width:468pt;height:.05pt;mso-width-percent:0;mso-height-percent:0;mso-width-percent:0;mso-height-percent:0" o:hralign="center" o:hrstd="t" o:hr="t" fillcolor="#a0a0a0" stroked="f"/>
        </w:pict>
      </w:r>
    </w:p>
    <w:p w14:paraId="19F3821C" w14:textId="77777777" w:rsidR="00EC77AB" w:rsidRDefault="00EC77AB" w:rsidP="00EC77AB">
      <w:pPr>
        <w:pStyle w:val="Heading1"/>
      </w:pPr>
      <w:r>
        <w:lastRenderedPageBreak/>
        <w:t>Bottom Line</w:t>
      </w:r>
    </w:p>
    <w:p w14:paraId="2DD32126" w14:textId="77777777" w:rsidR="00EC77AB" w:rsidRDefault="00EC77AB" w:rsidP="00EC77AB">
      <w:pPr>
        <w:pStyle w:val="NormalWeb"/>
      </w:pPr>
      <w:r>
        <w:t>A credible panel study must shift from:</w:t>
      </w:r>
    </w:p>
    <w:p w14:paraId="17AB7265" w14:textId="77777777" w:rsidR="00EC77AB" w:rsidRDefault="00EC77AB" w:rsidP="00EC77AB">
      <w:pPr>
        <w:pStyle w:val="NormalWeb"/>
      </w:pPr>
      <w:r>
        <w:t>“Does the AI perform well in tasks?”</w:t>
      </w:r>
    </w:p>
    <w:p w14:paraId="27503A06" w14:textId="77777777" w:rsidR="00EC77AB" w:rsidRDefault="00EC77AB" w:rsidP="00EC77AB">
      <w:pPr>
        <w:pStyle w:val="NormalWeb"/>
      </w:pPr>
      <w:r>
        <w:t>to:</w:t>
      </w:r>
    </w:p>
    <w:p w14:paraId="4BCECDE6" w14:textId="77777777" w:rsidR="00EC77AB" w:rsidRDefault="00EC77AB" w:rsidP="00EC77AB">
      <w:pPr>
        <w:pStyle w:val="NormalWeb"/>
      </w:pPr>
      <w:r>
        <w:rPr>
          <w:rStyle w:val="Strong"/>
        </w:rPr>
        <w:t>“How does a human–AI dyad become (or fail to become) a stable, coordinated, and effective working partnership over time—and how is that process systematically distorted by perception, bias, and system design?”</w:t>
      </w:r>
    </w:p>
    <w:p w14:paraId="57BDC29A" w14:textId="77777777" w:rsidR="00EC77AB" w:rsidRDefault="00EC77AB" w:rsidP="00EC77AB">
      <w:pPr>
        <w:pStyle w:val="NormalWeb"/>
      </w:pPr>
      <w:r>
        <w:t xml:space="preserve">The gap is not theoretical—it is </w:t>
      </w:r>
      <w:r>
        <w:rPr>
          <w:rStyle w:val="Strong"/>
        </w:rPr>
        <w:t>methodological</w:t>
      </w:r>
      <w:r>
        <w:t>.</w:t>
      </w:r>
      <w:r>
        <w:br/>
        <w:t>The measurement system already exists in working-animal science.</w:t>
      </w:r>
      <w:r>
        <w:br/>
        <w:t>It simply hasn’t been imported into HAI at full fidelity yet.</w:t>
      </w:r>
    </w:p>
    <w:bookmarkEnd w:id="10"/>
    <w:p w14:paraId="02481F37" w14:textId="77777777" w:rsidR="00EC77AB" w:rsidRDefault="00EC77AB">
      <w:pPr>
        <w:pStyle w:val="BodyText"/>
      </w:pPr>
    </w:p>
    <w:sectPr w:rsidR="00EC77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443C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8AE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1C72206"/>
    <w:multiLevelType w:val="multilevel"/>
    <w:tmpl w:val="1000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04A2C"/>
    <w:multiLevelType w:val="multilevel"/>
    <w:tmpl w:val="9E0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06AB1"/>
    <w:multiLevelType w:val="multilevel"/>
    <w:tmpl w:val="A03C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25126"/>
    <w:multiLevelType w:val="multilevel"/>
    <w:tmpl w:val="EED6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54AF8"/>
    <w:multiLevelType w:val="multilevel"/>
    <w:tmpl w:val="94726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5965A8"/>
    <w:multiLevelType w:val="multilevel"/>
    <w:tmpl w:val="5DEC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61F1"/>
    <w:multiLevelType w:val="multilevel"/>
    <w:tmpl w:val="377A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2568F"/>
    <w:multiLevelType w:val="multilevel"/>
    <w:tmpl w:val="DEA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25CD9"/>
    <w:multiLevelType w:val="multilevel"/>
    <w:tmpl w:val="6A7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936836">
    <w:abstractNumId w:val="0"/>
  </w:num>
  <w:num w:numId="2" w16cid:durableId="212616514">
    <w:abstractNumId w:val="1"/>
  </w:num>
  <w:num w:numId="3" w16cid:durableId="674310179">
    <w:abstractNumId w:val="1"/>
  </w:num>
  <w:num w:numId="4" w16cid:durableId="572158365">
    <w:abstractNumId w:val="6"/>
  </w:num>
  <w:num w:numId="5" w16cid:durableId="1933126553">
    <w:abstractNumId w:val="8"/>
  </w:num>
  <w:num w:numId="6" w16cid:durableId="1086606908">
    <w:abstractNumId w:val="5"/>
  </w:num>
  <w:num w:numId="7" w16cid:durableId="1949269495">
    <w:abstractNumId w:val="2"/>
  </w:num>
  <w:num w:numId="8" w16cid:durableId="68354258">
    <w:abstractNumId w:val="4"/>
  </w:num>
  <w:num w:numId="9" w16cid:durableId="522330896">
    <w:abstractNumId w:val="3"/>
  </w:num>
  <w:num w:numId="10" w16cid:durableId="723141952">
    <w:abstractNumId w:val="9"/>
  </w:num>
  <w:num w:numId="11" w16cid:durableId="768743317">
    <w:abstractNumId w:val="10"/>
  </w:num>
  <w:num w:numId="12" w16cid:durableId="495921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792C"/>
    <w:rsid w:val="0040792C"/>
    <w:rsid w:val="006F2A6E"/>
    <w:rsid w:val="00EC7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AF3D"/>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C77AB"/>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EC77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168159100002100" TargetMode="External"/><Relationship Id="rId21" Type="http://schemas.openxmlformats.org/officeDocument/2006/relationships/hyperlink" Target="https://academic.oup.com/icb/article/14/1/323/2066776" TargetMode="External"/><Relationship Id="rId42" Type="http://schemas.openxmlformats.org/officeDocument/2006/relationships/hyperlink" Target="https://pmc.ncbi.nlm.nih.gov/articles/PMC12272753/" TargetMode="External"/><Relationship Id="rId47" Type="http://schemas.openxmlformats.org/officeDocument/2006/relationships/hyperlink" Target="https://www.frontiersin.org/articles/10.3389/fvets.2016.00114/full?utm_source=chatgpt.com" TargetMode="External"/><Relationship Id="rId63" Type="http://schemas.openxmlformats.org/officeDocument/2006/relationships/hyperlink" Target="https://www.frontiersin.org/journals/psychology/articles/10.3389/fpsyg.2024.1357572/full" TargetMode="External"/><Relationship Id="rId68" Type="http://schemas.openxmlformats.org/officeDocument/2006/relationships/hyperlink" Target="https://www.tandfonline.com/doi/abs/10.1080/08038740.2011.620003" TargetMode="External"/><Relationship Id="rId84" Type="http://schemas.openxmlformats.org/officeDocument/2006/relationships/hyperlink" Target="https://academic.oup.com/icb/article/14/1/323/2066776" TargetMode="External"/><Relationship Id="rId89" Type="http://schemas.openxmlformats.org/officeDocument/2006/relationships/hyperlink" Target="https://www.mdpi.com/2076-2615/11/10/2765" TargetMode="External"/><Relationship Id="rId16" Type="http://schemas.openxmlformats.org/officeDocument/2006/relationships/hyperlink" Target="https://www.researchgate.net/publication/333998718_Guest_Introduction_More-than-human_contact_zones" TargetMode="External"/><Relationship Id="rId107" Type="http://schemas.openxmlformats.org/officeDocument/2006/relationships/hyperlink" Target="https://pmc.ncbi.nlm.nih.gov/articles/PMC8100499/" TargetMode="External"/><Relationship Id="rId11" Type="http://schemas.openxmlformats.org/officeDocument/2006/relationships/hyperlink" Target="https://press.uchicago.edu/ucp/books/book/distributed/C/bo3645022.html" TargetMode="External"/><Relationship Id="rId32" Type="http://schemas.openxmlformats.org/officeDocument/2006/relationships/hyperlink" Target="https://www.tandfonline.com/doi/abs/10.1080/08038740.2011.620003" TargetMode="External"/><Relationship Id="rId37" Type="http://schemas.openxmlformats.org/officeDocument/2006/relationships/hyperlink" Target="https://www.frontiersin.org/journals/psychology/articles/10.3389/fpsyg.2024.1357572/full" TargetMode="External"/><Relationship Id="rId53" Type="http://schemas.openxmlformats.org/officeDocument/2006/relationships/hyperlink" Target="https://link.springer.com/article/10.1007/s10071-010-0373-2?utm_source=chatgpt.com" TargetMode="External"/><Relationship Id="rId58" Type="http://schemas.openxmlformats.org/officeDocument/2006/relationships/hyperlink" Target="https://journals.sagepub.com/doi/full/10.1177/2053951715619947" TargetMode="External"/><Relationship Id="rId74" Type="http://schemas.openxmlformats.org/officeDocument/2006/relationships/hyperlink" Target="https://www.frontiersin.org/articles/10.3389/fvets.2016.00114/full?utm_source=chatgpt.com" TargetMode="External"/><Relationship Id="rId79" Type="http://schemas.openxmlformats.org/officeDocument/2006/relationships/hyperlink" Target="https://www.mdpi.com/2077-1444/10/1/25" TargetMode="External"/><Relationship Id="rId102" Type="http://schemas.openxmlformats.org/officeDocument/2006/relationships/hyperlink" Target="https://pmc.ncbi.nlm.nih.gov/articles/PMC12272753/" TargetMode="External"/><Relationship Id="rId5" Type="http://schemas.openxmlformats.org/officeDocument/2006/relationships/hyperlink" Target="https://journals.sagepub.com/doi/abs/10.1177/20563051251410394" TargetMode="External"/><Relationship Id="rId90" Type="http://schemas.openxmlformats.org/officeDocument/2006/relationships/hyperlink" Target="https://ojs.utlib.ee/index.php/sss/article/view/SSS.2014.42.2-3.10" TargetMode="External"/><Relationship Id="rId95" Type="http://schemas.openxmlformats.org/officeDocument/2006/relationships/hyperlink" Target="https://www.jstage.jst.go.jp/article/jrsj/41/1/41_41_40/_article/-char/en" TargetMode="External"/><Relationship Id="rId22" Type="http://schemas.openxmlformats.org/officeDocument/2006/relationships/hyperlink" Target="https://www.frontiersin.org/articles/10.3389/fvets.2016.00114/full?utm_source=chatgpt.com" TargetMode="External"/><Relationship Id="rId27" Type="http://schemas.openxmlformats.org/officeDocument/2006/relationships/hyperlink" Target="https://link.springer.com/article/10.1007/s10071-021-01472-w" TargetMode="External"/><Relationship Id="rId43" Type="http://schemas.openxmlformats.org/officeDocument/2006/relationships/hyperlink" Target="https://www.sciencedirect.com/science/article/pii/S1558787817300527" TargetMode="External"/><Relationship Id="rId48" Type="http://schemas.openxmlformats.org/officeDocument/2006/relationships/hyperlink" Target="https://www.jstage.jst.go.jp/article/jrsj/41/1/41_41_40/_article/-char/en" TargetMode="External"/><Relationship Id="rId64" Type="http://schemas.openxmlformats.org/officeDocument/2006/relationships/hyperlink" Target="https://www.frontiersin.org/journals/psychology/articles/10.3389/fpsyg.2024.1357572/full" TargetMode="External"/><Relationship Id="rId69" Type="http://schemas.openxmlformats.org/officeDocument/2006/relationships/hyperlink" Target="https://www.tandfonline.com/doi/abs/10.1080/08038740.2011.620003" TargetMode="External"/><Relationship Id="rId80" Type="http://schemas.openxmlformats.org/officeDocument/2006/relationships/hyperlink" Target="https://link.springer.com/article/10.1007/s10071-021-01472-w" TargetMode="External"/><Relationship Id="rId85" Type="http://schemas.openxmlformats.org/officeDocument/2006/relationships/hyperlink" Target="https://academic.oup.com/icb/article/14/1/323/2066776" TargetMode="External"/><Relationship Id="rId12" Type="http://schemas.openxmlformats.org/officeDocument/2006/relationships/hyperlink" Target="https://press.uchicago.edu/ucp/books/book/distributed/C/bo3645022.html" TargetMode="External"/><Relationship Id="rId17" Type="http://schemas.openxmlformats.org/officeDocument/2006/relationships/hyperlink" Target="https://www.frontiersin.org/articles/10.3389/fvets.2016.00114/full?utm_source=chatgpt.com" TargetMode="External"/><Relationship Id="rId33" Type="http://schemas.openxmlformats.org/officeDocument/2006/relationships/hyperlink" Target="https://www.jstage.jst.go.jp/article/jrsj/41/1/41_41_40/_article/-char/en" TargetMode="External"/><Relationship Id="rId38" Type="http://schemas.openxmlformats.org/officeDocument/2006/relationships/hyperlink" Target="https://www.frontiersin.org/articles/10.3389/fvets.2016.00114/full?utm_source=chatgpt.com" TargetMode="External"/><Relationship Id="rId59" Type="http://schemas.openxmlformats.org/officeDocument/2006/relationships/hyperlink" Target="https://press.uchicago.edu/ucp/books/book/distributed/C/bo3645022.html" TargetMode="External"/><Relationship Id="rId103" Type="http://schemas.openxmlformats.org/officeDocument/2006/relationships/hyperlink" Target="https://www.sciencedirect.com/science/article/pii/S1558787817300527" TargetMode="External"/><Relationship Id="rId108" Type="http://schemas.openxmlformats.org/officeDocument/2006/relationships/hyperlink" Target="https://pmc.ncbi.nlm.nih.gov/articles/PMC8100499/" TargetMode="External"/><Relationship Id="rId54" Type="http://schemas.openxmlformats.org/officeDocument/2006/relationships/hyperlink" Target="https://link.springer.com/article/10.1007/s10071-010-0373-2?utm_source=chatgpt.com" TargetMode="External"/><Relationship Id="rId70" Type="http://schemas.openxmlformats.org/officeDocument/2006/relationships/hyperlink" Target="https://www.tandfonline.com/doi/abs/10.1080/08038740.2011.620003" TargetMode="External"/><Relationship Id="rId75" Type="http://schemas.openxmlformats.org/officeDocument/2006/relationships/hyperlink" Target="https://www.frontiersin.org/articles/10.3389/fvets.2016.00114/full?utm_source=chatgpt.com" TargetMode="External"/><Relationship Id="rId91" Type="http://schemas.openxmlformats.org/officeDocument/2006/relationships/hyperlink" Target="https://ojs.utlib.ee/index.php/sss/article/view/SSS.2014.42.2-3.10" TargetMode="External"/><Relationship Id="rId96" Type="http://schemas.openxmlformats.org/officeDocument/2006/relationships/hyperlink" Target="https://www.jstage.jst.go.jp/article/jrsj/41/1/41_41_40/_article/-char/en" TargetMode="External"/><Relationship Id="rId1" Type="http://schemas.openxmlformats.org/officeDocument/2006/relationships/numbering" Target="numbering.xml"/><Relationship Id="rId6" Type="http://schemas.openxmlformats.org/officeDocument/2006/relationships/hyperlink" Target="https://link.springer.com/article/10.1007/s10071-010-0373-2?utm_source=chatgpt.com" TargetMode="External"/><Relationship Id="rId15" Type="http://schemas.openxmlformats.org/officeDocument/2006/relationships/hyperlink" Target="https://www.tandfonline.com/doi/abs/10.1080/08038740.2011.620003" TargetMode="External"/><Relationship Id="rId23" Type="http://schemas.openxmlformats.org/officeDocument/2006/relationships/hyperlink" Target="https://www.mdpi.com/2076-2615/11/10/2765" TargetMode="External"/><Relationship Id="rId28" Type="http://schemas.openxmlformats.org/officeDocument/2006/relationships/hyperlink" Target="https://journals.sagepub.com/doi/abs/10.1177/20563051251410394" TargetMode="External"/><Relationship Id="rId36" Type="http://schemas.openxmlformats.org/officeDocument/2006/relationships/hyperlink" Target="https://link.springer.com/article/10.1007/s10071-021-01472-w" TargetMode="External"/><Relationship Id="rId49" Type="http://schemas.openxmlformats.org/officeDocument/2006/relationships/hyperlink" Target="https://journals.sagepub.com/doi/abs/10.1177/20563051251410394" TargetMode="External"/><Relationship Id="rId57" Type="http://schemas.openxmlformats.org/officeDocument/2006/relationships/hyperlink" Target="https://journals.sagepub.com/doi/full/10.1177/2053951715619947" TargetMode="External"/><Relationship Id="rId106" Type="http://schemas.openxmlformats.org/officeDocument/2006/relationships/hyperlink" Target="https://www.mdpi.com/2076-2615/10/4/595" TargetMode="External"/><Relationship Id="rId10" Type="http://schemas.openxmlformats.org/officeDocument/2006/relationships/hyperlink" Target="https://journals.sagepub.com/doi/full/10.1177/2053951715619947" TargetMode="External"/><Relationship Id="rId31" Type="http://schemas.openxmlformats.org/officeDocument/2006/relationships/hyperlink" Target="https://academic.oup.com/icb/article/14/1/323/2066776" TargetMode="External"/><Relationship Id="rId44" Type="http://schemas.openxmlformats.org/officeDocument/2006/relationships/hyperlink" Target="https://link.springer.com/article/10.1007/s10071-010-0373-2?utm_source=chatgpt.com" TargetMode="External"/><Relationship Id="rId52" Type="http://schemas.openxmlformats.org/officeDocument/2006/relationships/hyperlink" Target="https://link.springer.com/article/10.1007/s10071-010-0373-2?utm_source=chatgpt.com" TargetMode="External"/><Relationship Id="rId60" Type="http://schemas.openxmlformats.org/officeDocument/2006/relationships/hyperlink" Target="https://press.uchicago.edu/ucp/books/book/distributed/C/bo3645022.html" TargetMode="External"/><Relationship Id="rId65" Type="http://schemas.openxmlformats.org/officeDocument/2006/relationships/hyperlink" Target="https://www.frontiersin.org/journals/psychology/articles/10.3389/fpsyg.2024.1357572/full" TargetMode="External"/><Relationship Id="rId73" Type="http://schemas.openxmlformats.org/officeDocument/2006/relationships/hyperlink" Target="https://www.frontiersin.org/articles/10.3389/fvets.2016.00114/full?utm_source=chatgpt.com" TargetMode="External"/><Relationship Id="rId78" Type="http://schemas.openxmlformats.org/officeDocument/2006/relationships/hyperlink" Target="https://www.mdpi.com/2077-1444/10/1/25" TargetMode="External"/><Relationship Id="rId81" Type="http://schemas.openxmlformats.org/officeDocument/2006/relationships/hyperlink" Target="https://link.springer.com/article/10.1007/s10071-021-01472-w" TargetMode="External"/><Relationship Id="rId86" Type="http://schemas.openxmlformats.org/officeDocument/2006/relationships/hyperlink" Target="https://www.mdpi.com/2076-2615/11/10/2765" TargetMode="External"/><Relationship Id="rId94" Type="http://schemas.openxmlformats.org/officeDocument/2006/relationships/hyperlink" Target="https://www.jstage.jst.go.jp/article/jrsj/41/1/41_41_40/_article/-char/en" TargetMode="External"/><Relationship Id="rId99" Type="http://schemas.openxmlformats.org/officeDocument/2006/relationships/hyperlink" Target="https://research.monash.edu/en/publications/development-of-the-monash-dog-owner-relationship-scale-mdors/" TargetMode="External"/><Relationship Id="rId101" Type="http://schemas.openxmlformats.org/officeDocument/2006/relationships/hyperlink" Target="https://pmc.ncbi.nlm.nih.gov/articles/PMC12272753/" TargetMode="External"/><Relationship Id="rId4" Type="http://schemas.openxmlformats.org/officeDocument/2006/relationships/webSettings" Target="webSettings.xml"/><Relationship Id="rId9" Type="http://schemas.openxmlformats.org/officeDocument/2006/relationships/hyperlink" Target="https://link.springer.com/article/10.1007/s10071-010-0373-2?utm_source=chatgpt.com" TargetMode="External"/><Relationship Id="rId13" Type="http://schemas.openxmlformats.org/officeDocument/2006/relationships/hyperlink" Target="https://www.frontiersin.org/journals/psychology/articles/10.3389/fpsyg.2024.1357572/full" TargetMode="External"/><Relationship Id="rId18" Type="http://schemas.openxmlformats.org/officeDocument/2006/relationships/hyperlink" Target="https://link.springer.com/article/10.1007/s10071-010-0373-2?utm_source=chatgpt.com" TargetMode="External"/><Relationship Id="rId39" Type="http://schemas.openxmlformats.org/officeDocument/2006/relationships/hyperlink" Target="https://www.mdpi.com/2076-2615/11/10/2765" TargetMode="External"/><Relationship Id="rId109" Type="http://schemas.openxmlformats.org/officeDocument/2006/relationships/fontTable" Target="fontTable.xml"/><Relationship Id="rId34" Type="http://schemas.openxmlformats.org/officeDocument/2006/relationships/hyperlink" Target="https://journals.sagepub.com/doi/full/10.1177/2053951715619947" TargetMode="External"/><Relationship Id="rId50" Type="http://schemas.openxmlformats.org/officeDocument/2006/relationships/hyperlink" Target="https://journals.sagepub.com/doi/abs/10.1177/20563051251410394" TargetMode="External"/><Relationship Id="rId55" Type="http://schemas.openxmlformats.org/officeDocument/2006/relationships/hyperlink" Target="https://link.springer.com/article/10.1007/s10071-010-0373-2?utm_source=chatgpt.com" TargetMode="External"/><Relationship Id="rId76" Type="http://schemas.openxmlformats.org/officeDocument/2006/relationships/hyperlink" Target="https://www.frontiersin.org/articles/10.3389/fvets.2016.00114/full?utm_source=chatgpt.com" TargetMode="External"/><Relationship Id="rId97" Type="http://schemas.openxmlformats.org/officeDocument/2006/relationships/hyperlink" Target="https://journals.sagepub.com/doi/10.1177/1464700112442646" TargetMode="External"/><Relationship Id="rId104" Type="http://schemas.openxmlformats.org/officeDocument/2006/relationships/hyperlink" Target="https://www.sciencedirect.com/science/article/pii/S1558787817300527" TargetMode="External"/><Relationship Id="rId7" Type="http://schemas.openxmlformats.org/officeDocument/2006/relationships/hyperlink" Target="https://journals.sagepub.com/doi/full/10.1177/2053951715619947" TargetMode="External"/><Relationship Id="rId71" Type="http://schemas.openxmlformats.org/officeDocument/2006/relationships/hyperlink" Target="https://www.researchgate.net/publication/333998718_Guest_Introduction_More-than-human_contact_zones" TargetMode="External"/><Relationship Id="rId92" Type="http://schemas.openxmlformats.org/officeDocument/2006/relationships/hyperlink" Target="https://www.sciencedirect.com/science/article/pii/S0168159100002100" TargetMode="External"/><Relationship Id="rId2" Type="http://schemas.openxmlformats.org/officeDocument/2006/relationships/styles" Target="styles.xml"/><Relationship Id="rId29" Type="http://schemas.openxmlformats.org/officeDocument/2006/relationships/hyperlink" Target="https://www.frontiersin.org/journals/psychology/articles/10.3389/fpsyg.2024.1357572/full" TargetMode="External"/><Relationship Id="rId24" Type="http://schemas.openxmlformats.org/officeDocument/2006/relationships/hyperlink" Target="https://ojs.utlib.ee/index.php/sss/article/view/SSS.2014.42.2-3.10" TargetMode="External"/><Relationship Id="rId40" Type="http://schemas.openxmlformats.org/officeDocument/2006/relationships/hyperlink" Target="https://www.mdpi.com/2076-2615/11/10/2765" TargetMode="External"/><Relationship Id="rId45" Type="http://schemas.openxmlformats.org/officeDocument/2006/relationships/hyperlink" Target="https://www.mdpi.com/2076-2615/10/4/595" TargetMode="External"/><Relationship Id="rId66" Type="http://schemas.openxmlformats.org/officeDocument/2006/relationships/hyperlink" Target="https://www.frontiersin.org/journals/psychology/articles/10.3389/fpsyg.2024.1357572/full" TargetMode="External"/><Relationship Id="rId87" Type="http://schemas.openxmlformats.org/officeDocument/2006/relationships/hyperlink" Target="https://www.mdpi.com/2076-2615/11/10/2765" TargetMode="External"/><Relationship Id="rId110" Type="http://schemas.openxmlformats.org/officeDocument/2006/relationships/theme" Target="theme/theme1.xml"/><Relationship Id="rId61" Type="http://schemas.openxmlformats.org/officeDocument/2006/relationships/hyperlink" Target="https://press.uchicago.edu/ucp/books/book/distributed/C/bo3645022.html" TargetMode="External"/><Relationship Id="rId82" Type="http://schemas.openxmlformats.org/officeDocument/2006/relationships/hyperlink" Target="https://link.springer.com/article/10.1007/s10071-021-01472-w" TargetMode="External"/><Relationship Id="rId19" Type="http://schemas.openxmlformats.org/officeDocument/2006/relationships/hyperlink" Target="https://www.mdpi.com/2077-1444/10/1/25" TargetMode="External"/><Relationship Id="rId14" Type="http://schemas.openxmlformats.org/officeDocument/2006/relationships/hyperlink" Target="https://www.frontiersin.org/journals/psychology/articles/10.3389/fpsyg.2024.1357572/full" TargetMode="External"/><Relationship Id="rId30" Type="http://schemas.openxmlformats.org/officeDocument/2006/relationships/hyperlink" Target="https://www.frontiersin.org/journals/psychology/articles/10.3389/fpsyg.2024.1357572/full" TargetMode="External"/><Relationship Id="rId35" Type="http://schemas.openxmlformats.org/officeDocument/2006/relationships/hyperlink" Target="https://journals.sagepub.com/doi/10.1177/1464700112442646" TargetMode="External"/><Relationship Id="rId56" Type="http://schemas.openxmlformats.org/officeDocument/2006/relationships/hyperlink" Target="https://journals.sagepub.com/doi/full/10.1177/2053951715619947" TargetMode="External"/><Relationship Id="rId77" Type="http://schemas.openxmlformats.org/officeDocument/2006/relationships/hyperlink" Target="https://www.frontiersin.org/articles/10.3389/fvets.2016.00114/full?utm_source=chatgpt.com" TargetMode="External"/><Relationship Id="rId100" Type="http://schemas.openxmlformats.org/officeDocument/2006/relationships/hyperlink" Target="https://research.monash.edu/en/publications/development-of-the-monash-dog-owner-relationship-scale-mdors/" TargetMode="External"/><Relationship Id="rId105" Type="http://schemas.openxmlformats.org/officeDocument/2006/relationships/hyperlink" Target="https://www.mdpi.com/2076-2615/10/4/595" TargetMode="External"/><Relationship Id="rId8" Type="http://schemas.openxmlformats.org/officeDocument/2006/relationships/hyperlink" Target="https://journals.sagepub.com/doi/abs/10.1177/20563051251410394" TargetMode="External"/><Relationship Id="rId51" Type="http://schemas.openxmlformats.org/officeDocument/2006/relationships/hyperlink" Target="https://link.springer.com/article/10.1007/s10071-010-0373-2?utm_source=chatgpt.com" TargetMode="External"/><Relationship Id="rId72" Type="http://schemas.openxmlformats.org/officeDocument/2006/relationships/hyperlink" Target="https://www.researchgate.net/publication/333998718_Guest_Introduction_More-than-human_contact_zones" TargetMode="External"/><Relationship Id="rId93" Type="http://schemas.openxmlformats.org/officeDocument/2006/relationships/hyperlink" Target="https://www.sciencedirect.com/science/article/pii/S0168159100002100" TargetMode="External"/><Relationship Id="rId98" Type="http://schemas.openxmlformats.org/officeDocument/2006/relationships/hyperlink" Target="https://journals.sagepub.com/doi/10.1177/1464700112442646" TargetMode="External"/><Relationship Id="rId3" Type="http://schemas.openxmlformats.org/officeDocument/2006/relationships/settings" Target="settings.xml"/><Relationship Id="rId25" Type="http://schemas.openxmlformats.org/officeDocument/2006/relationships/hyperlink" Target="https://link.springer.com/article/10.1007/s10071-010-0373-2?utm_source=chatgpt.com" TargetMode="External"/><Relationship Id="rId46" Type="http://schemas.openxmlformats.org/officeDocument/2006/relationships/hyperlink" Target="https://pmc.ncbi.nlm.nih.gov/articles/PMC8100499/" TargetMode="External"/><Relationship Id="rId67" Type="http://schemas.openxmlformats.org/officeDocument/2006/relationships/hyperlink" Target="https://www.frontiersin.org/journals/psychology/articles/10.3389/fpsyg.2024.1357572/full" TargetMode="External"/><Relationship Id="rId20" Type="http://schemas.openxmlformats.org/officeDocument/2006/relationships/hyperlink" Target="https://link.springer.com/article/10.1007/s10071-021-01472-w" TargetMode="External"/><Relationship Id="rId41" Type="http://schemas.openxmlformats.org/officeDocument/2006/relationships/hyperlink" Target="https://research.monash.edu/en/publications/development-of-the-monash-dog-owner-relationship-scale-mdors/" TargetMode="External"/><Relationship Id="rId62" Type="http://schemas.openxmlformats.org/officeDocument/2006/relationships/hyperlink" Target="https://www.frontiersin.org/journals/psychology/articles/10.3389/fpsyg.2024.1357572/full" TargetMode="External"/><Relationship Id="rId83" Type="http://schemas.openxmlformats.org/officeDocument/2006/relationships/hyperlink" Target="https://academic.oup.com/icb/article/14/1/323/2066776" TargetMode="External"/><Relationship Id="rId88" Type="http://schemas.openxmlformats.org/officeDocument/2006/relationships/hyperlink" Target="https://www.mdpi.com/2076-2615/11/10/27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5217</Words>
  <Characters>36473</Characters>
  <Application>Microsoft Office Word</Application>
  <DocSecurity>0</DocSecurity>
  <Lines>561</Lines>
  <Paragraphs>165</Paragraphs>
  <ScaleCrop>false</ScaleCrop>
  <Company/>
  <LinksUpToDate>false</LinksUpToDate>
  <CharactersWithSpaces>41525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2026-05-02T11:09:00Z</dcterms:created>
  <dcterms:modified xsi:type="dcterms:W3CDTF">2026-05-02T16:48:00Z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