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705a00d3d097ec4cd031eab9c4a14a57769cfc5"/>
    <w:p>
      <w:pPr>
        <w:pStyle w:val="Heading1"/>
      </w:pPr>
      <w:r>
        <w:t xml:space="preserve">Distributed cognition for AI-augmented professional work</w:t>
      </w:r>
    </w:p>
    <w:p>
      <w:pPr>
        <w:pStyle w:val="FirstParagraph"/>
      </w:pPr>
      <w:r>
        <w:t xml:space="preserve">The most useful way to carry Edwin Hutchins’s framework into AI-augmented work is not to treat AI as a smarter tool attached to an otherwise unchanged worker, but to treat the relevant unit of analysis as a sociotechnical cognitive system: people, models, interfaces, documents, prompts, code, tests, procedures, and timing relations. That move is canonical in distributed cognition, well established across navigation, aviation, healthcare, and software work, and only thinly developed so far in post-2018 AI-work research. In the current AI literature on professional work, the dominant methods are still controlled experiments, product telemetry, repository mining, surveys, and short qualitative studies; very few studies use Hutchins-style cognitive ethnography to follow cognitive work as it unfolds in situ over time.</w:t>
      </w:r>
      <w:r>
        <w:t xml:space="preserve"> </w:t>
      </w:r>
      <w:hyperlink r:id="rId21">
        <w:r>
          <w:rPr>
            <w:rStyle w:val="Hyperlink"/>
          </w:rPr>
          <w:t xml:space="preserve">[1]</w:t>
        </w:r>
      </w:hyperlink>
    </w:p>
    <w:bookmarkStart w:id="26" w:name="framework-summary"/>
    <w:p>
      <w:pPr>
        <w:pStyle w:val="Heading2"/>
      </w:pPr>
      <w:r>
        <w:t xml:space="preserve">Framework summary</w:t>
      </w:r>
    </w:p>
    <w:p>
      <w:pPr>
        <w:pStyle w:val="FirstParagraph"/>
      </w:pPr>
      <w:r>
        <w:t xml:space="preserve">In Cognition in the Wild</w:t>
      </w:r>
      <w:hyperlink r:id="rId22">
        <w:r>
          <w:rPr>
            <w:rStyle w:val="Hyperlink"/>
          </w:rPr>
          <w:t xml:space="preserve">[2]</w:t>
        </w:r>
      </w:hyperlink>
      <w:r>
        <w:t xml:space="preserve">, Hutchins argued that culturally organized activity systems can have cognitive properties of their own, and not merely “influence” the cognition of individuals. Hollan, Hutchins, and Kirsh then made the point explicit for HCI: distributed cognition expands the unit of analysis beyond the individual, treats cognition as organized through functional relations among people and artifacts, and identifies distribution across social groups, internal-external structures, and time as core analytic dimensions.</w:t>
      </w:r>
      <w:r>
        <w:t xml:space="preserve"> </w:t>
      </w:r>
      <w:hyperlink r:id="rId21">
        <w:r>
          <w:rPr>
            <w:rStyle w:val="Hyperlink"/>
          </w:rPr>
          <w:t xml:space="preserve">[3]</w:t>
        </w:r>
      </w:hyperlink>
    </w:p>
    <w:p>
      <w:pPr>
        <w:pStyle w:val="BodyText"/>
      </w:pPr>
      <w:r>
        <w:t xml:space="preserve">Methodologically, distributed cognition is committed to naturalistic analysis of work “in the wild.” In the later cognitive-ethnography tradition, that means sustained observation of real activity, often with interviews, artifact analysis, and increasingly synchronized multimodal records. The analytic target is not attitude or self-report alone, but the propagation and transformation of information, constraints, and representations as they move across media, people, spatial layouts, and temporal sequences. In the flight-deck work, Hutchins and collaborators explicitly describe distributed cognition as paired with cognitive ethnography, and they operationalize it through integrated multimodal data such as video, audio, transcripts, simulator traces, and eye-gaze records.</w:t>
      </w:r>
      <w:r>
        <w:t xml:space="preserve"> </w:t>
      </w:r>
      <w:hyperlink r:id="rId23">
        <w:r>
          <w:rPr>
            <w:rStyle w:val="Hyperlink"/>
          </w:rPr>
          <w:t xml:space="preserve">[4]</w:t>
        </w:r>
      </w:hyperlink>
    </w:p>
    <w:p>
      <w:pPr>
        <w:pStyle w:val="BodyText"/>
      </w:pPr>
      <w:r>
        <w:t xml:space="preserve">A practical implication is that distributed cognition is not just a grand theory; it also pushed toward structured field methods. DiCoT, developed in HCI, was introduced precisely because distributed cognition had often been treated as analytically powerful but methodologically craft-like. DiCoT reorients contextual-design style fieldwork around models of information flow, artifacts, physical layout, social organization, and temporal evolution. A later reflective comparison of contextual inquiry and distributed cognition found that contextual inquiry was easier for novices to learn, but that distributed cognition added analytic value through its explicit focus on information propagation and transformation across people and artifacts.</w:t>
      </w:r>
      <w:r>
        <w:t xml:space="preserve"> </w:t>
      </w:r>
      <w:hyperlink r:id="rId24">
        <w:r>
          <w:rPr>
            <w:rStyle w:val="Hyperlink"/>
          </w:rPr>
          <w:t xml:space="preserve">[5]</w:t>
        </w:r>
      </w:hyperlink>
    </w:p>
    <w:p>
      <w:pPr>
        <w:pStyle w:val="BodyText"/>
      </w:pPr>
      <w:r>
        <w:t xml:space="preserve">The framework is therefore best understood as having three linked commitments. First, the “system-as-cognitive-unit” move: analyze the sociotechnical ensemble, not just the person. Second, representational propagation: follow how states of knowledge, memory, constraint, and coordination are materialized and transformed across artifacts and participants. Third, cognitive ethnography: study the work in situ, where breakdowns, repairs, timing, spatial arrangement, routine improvisations, and learned workarounds become visible.</w:t>
      </w:r>
      <w:r>
        <w:t xml:space="preserve"> </w:t>
      </w:r>
      <w:hyperlink r:id="rId25">
        <w:r>
          <w:rPr>
            <w:rStyle w:val="Hyperlink"/>
          </w:rPr>
          <w:t xml:space="preserve">[6]</w:t>
        </w:r>
      </w:hyperlink>
    </w:p>
    <w:bookmarkEnd w:id="26"/>
    <w:bookmarkStart w:id="29" w:name="X061711d3e59c918206894680ece200af7c99612"/>
    <w:p>
      <w:pPr>
        <w:pStyle w:val="Heading2"/>
      </w:pPr>
      <w:r>
        <w:t xml:space="preserve">Canonical applications across professional domains</w:t>
      </w:r>
    </w:p>
    <w:p>
      <w:pPr>
        <w:pStyle w:val="FirstParagraph"/>
      </w:pPr>
      <w:r>
        <w:t xml:space="preserve">The original and still-defining application is ship navigation: the navigation team, chart table, instruments, procedures, and environmental landmarks jointly perform a computation that no single head contains. That argument later generalized to the airline cockpit, where memory, attention, and decision-making are distributed between pilots, displays, procedures, and the aircraft itself. In the flight-crew literature, Hutchins’s lab explicitly describes distributed cognition and cognitive ethnography as the combined basis for multimodal analysis of pilot activity. A later aviation study of routine gate-to-gate operations likewise analyzed aviation as distributed cognition, using network methods to model interactions across actors, tasks, information, and technologies.</w:t>
      </w:r>
      <w:r>
        <w:t xml:space="preserve"> </w:t>
      </w:r>
      <w:hyperlink r:id="rId21">
        <w:r>
          <w:rPr>
            <w:rStyle w:val="Hyperlink"/>
          </w:rPr>
          <w:t xml:space="preserve">[7]</w:t>
        </w:r>
      </w:hyperlink>
    </w:p>
    <w:p>
      <w:pPr>
        <w:pStyle w:val="BodyText"/>
      </w:pPr>
      <w:r>
        <w:t xml:space="preserve">Medicine is the most mature applied domain after transportation. Cardiac-surgery research used distributed cognition and cognitive ethnography to explain how surgeons and perfusionists maintain shared situation awareness through patterned verbal exchanges. Emergency medical dispatch work used distributed cognition to analyze team coordination and, crucially, to turn it into a more reusable design method. ICU infusion studies later used DiCoT to model information flow, layout, social structure, and artifacts; follow-on work extended DiCoT with concentric layers to handle the wider organizational context around devices; and a 2019 ethnographic infusion-safety study used DiCoT-CL to show how safety emerges from interactions distributed across artifacts, tasks, networks, space, and time. A 2022 scoping review found 37 distributed-cognition studies in acute-care clinical decision-making, mostly qualitative and heavily focused on information flow, task coordination, and provider-artifact interaction.</w:t>
      </w:r>
      <w:r>
        <w:t xml:space="preserve"> </w:t>
      </w:r>
      <w:hyperlink r:id="rId27">
        <w:r>
          <w:rPr>
            <w:rStyle w:val="Hyperlink"/>
          </w:rPr>
          <w:t xml:space="preserve">[8]</w:t>
        </w:r>
      </w:hyperlink>
    </w:p>
    <w:p>
      <w:pPr>
        <w:pStyle w:val="BodyText"/>
      </w:pPr>
      <w:r>
        <w:t xml:space="preserve">Software work has an older but thinner distributed-cognition lineage. The classic early case is Flor and Hutchins’s 1991 analysis of pair programming during perfective maintenance, which explicitly treats the programming pair plus development artifacts as a complex cognitive system and follows the trajectories and transformations of information through that system. More recent non-AI work includes studies of agile project management and UX information in agile teams; these show that team cognition and artifact use shift across an iteration, and that user-related information often flows verbally or discontinuously through the team rather than remaining stably captured in artifacts.</w:t>
      </w:r>
      <w:r>
        <w:t xml:space="preserve"> </w:t>
      </w:r>
      <w:hyperlink r:id="rId28">
        <w:r>
          <w:rPr>
            <w:rStyle w:val="Hyperlink"/>
          </w:rPr>
          <w:t xml:space="preserve">[9]</w:t>
        </w:r>
      </w:hyperlink>
    </w:p>
    <w:bookmarkEnd w:id="29"/>
    <w:bookmarkStart w:id="33" w:name="X3c5d16d82678b6f87f8d776c0b1eefb288f280b"/>
    <w:p>
      <w:pPr>
        <w:pStyle w:val="Heading2"/>
      </w:pPr>
      <w:r>
        <w:t xml:space="preserve">Inventory of HAI work that uses the framework directly</w:t>
      </w:r>
    </w:p>
    <w:p>
      <w:pPr>
        <w:pStyle w:val="FirstParagraph"/>
      </w:pPr>
      <w:r>
        <w:t xml:space="preserve">What is striking in the post-2018 AI literature is how little direct Hutchins-style work there is on AI-augmented professional practice. The explicit uses I found are real, but they are sparse and mostly not workplace cognitive ethnographies.</w:t>
      </w:r>
      <w:r>
        <w:t xml:space="preserve"> </w:t>
      </w:r>
      <w:hyperlink r:id="rId30">
        <w:r>
          <w:rPr>
            <w:rStyle w:val="Hyperlink"/>
          </w:rPr>
          <w:t xml:space="preserve">[10]</w:t>
        </w:r>
      </w:hyperlink>
    </w:p>
    <w:p>
      <w:pPr>
        <w:pStyle w:val="Compact"/>
        <w:numPr>
          <w:ilvl w:val="0"/>
          <w:numId w:val="1001"/>
        </w:numPr>
      </w:pPr>
      <w:r>
        <w:rPr>
          <w:b/>
          <w:bCs/>
        </w:rPr>
        <w:t xml:space="preserve">Human–autonomy collaboration in driving.</w:t>
      </w:r>
      <w:r>
        <w:t xml:space="preserve"> </w:t>
      </w:r>
      <w:r>
        <w:t xml:space="preserve">A 2022 Frontiers article explicitly grounds collaboration between drivers and self-driving cars in distributed cognition and proposes a human–agent coordination mechanism demonstrated in a driving simulator. It is a genuine distributed-cognition application to AI collaboration, but it is design/simulation work rather than field-based professional-work ethnography.</w:t>
      </w:r>
      <w:r>
        <w:t xml:space="preserve"> </w:t>
      </w:r>
      <w:hyperlink r:id="rId30">
        <w:r>
          <w:rPr>
            <w:rStyle w:val="Hyperlink"/>
          </w:rPr>
          <w:t xml:space="preserve">[11]</w:t>
        </w:r>
      </w:hyperlink>
    </w:p>
    <w:p>
      <w:pPr>
        <w:pStyle w:val="Compact"/>
        <w:numPr>
          <w:ilvl w:val="0"/>
          <w:numId w:val="1001"/>
        </w:numPr>
      </w:pPr>
      <w:r>
        <w:rPr>
          <w:b/>
          <w:bCs/>
        </w:rPr>
        <w:t xml:space="preserve">Generative AI and anthropological knowledge work.</w:t>
      </w:r>
      <w:r>
        <w:t xml:space="preserve"> </w:t>
      </w:r>
      <w:r>
        <w:t xml:space="preserve">A 2025 teaching-anthropology paper uses distributed cognition to frame generative AI as a cognitive partner in fieldwork, note-taking, and textualization. It is relevant because it treats AI as part of a distributed cognitive arrangement, but its center of gravity is pedagogical and conceptual rather than occupational workflow analysis.</w:t>
      </w:r>
      <w:r>
        <w:t xml:space="preserve"> </w:t>
      </w:r>
      <w:hyperlink r:id="rId31">
        <w:r>
          <w:rPr>
            <w:rStyle w:val="Hyperlink"/>
          </w:rPr>
          <w:t xml:space="preserve">[12]</w:t>
        </w:r>
      </w:hyperlink>
    </w:p>
    <w:p>
      <w:pPr>
        <w:pStyle w:val="Compact"/>
        <w:numPr>
          <w:ilvl w:val="0"/>
          <w:numId w:val="1001"/>
        </w:numPr>
      </w:pPr>
      <w:r>
        <w:rPr>
          <w:b/>
          <w:bCs/>
        </w:rPr>
        <w:t xml:space="preserve">Generative AI as distributed delusion.</w:t>
      </w:r>
      <w:r>
        <w:t xml:space="preserve"> </w:t>
      </w:r>
      <w:r>
        <w:t xml:space="preserve">A 2026 philosophy paper by Lucy Osler explicitly applies distributed cognition to human-chatbot interaction, arguing that conversational AI can participate in the co-construction of false beliefs and self-narratives. This is an important conceptual extension of Hutchins to generative AI, but again it is not a cognitive ethnography of workplace activity.</w:t>
      </w:r>
      <w:r>
        <w:t xml:space="preserve"> </w:t>
      </w:r>
      <w:hyperlink r:id="rId22">
        <w:r>
          <w:rPr>
            <w:rStyle w:val="Hyperlink"/>
          </w:rPr>
          <w:t xml:space="preserve">[13]</w:t>
        </w:r>
      </w:hyperlink>
    </w:p>
    <w:p>
      <w:pPr>
        <w:pStyle w:val="Compact"/>
        <w:numPr>
          <w:ilvl w:val="0"/>
          <w:numId w:val="1001"/>
        </w:numPr>
      </w:pPr>
      <w:r>
        <w:rPr>
          <w:b/>
          <w:bCs/>
        </w:rPr>
        <w:t xml:space="preserve">LLMs and collective intelligence.</w:t>
      </w:r>
      <w:r>
        <w:t xml:space="preserve"> </w:t>
      </w:r>
      <w:r>
        <w:t xml:space="preserve">A 2024 Nature Human Behaviour perspective argues that LLMs may reshape collective intelligence through distributed cognition and coordination. This is closer to agenda-setting than to empirical cognitive ethnography, but it reinforces the idea that AI should be analyzed at the level of collective cognitive systems rather than individual usage episodes.</w:t>
      </w:r>
      <w:r>
        <w:t xml:space="preserve"> </w:t>
      </w:r>
      <w:hyperlink r:id="rId32">
        <w:r>
          <w:rPr>
            <w:rStyle w:val="Hyperlink"/>
          </w:rPr>
          <w:t xml:space="preserve">[14]</w:t>
        </w:r>
      </w:hyperlink>
    </w:p>
    <w:p>
      <w:pPr>
        <w:pStyle w:val="FirstParagraph"/>
      </w:pPr>
      <w:r>
        <w:t xml:space="preserve">The upshot is that the framework has reached AI mostly as a conceptual vocabulary and occasionally as a design principle, not yet as a robust empirical tradition studying AI-augmented professional teams in the wild.</w:t>
      </w:r>
      <w:r>
        <w:t xml:space="preserve"> </w:t>
      </w:r>
      <w:hyperlink r:id="rId30">
        <w:r>
          <w:rPr>
            <w:rStyle w:val="Hyperlink"/>
          </w:rPr>
          <w:t xml:space="preserve">[15]</w:t>
        </w:r>
      </w:hyperlink>
    </w:p>
    <w:bookmarkEnd w:id="33"/>
    <w:bookmarkStart w:id="42" w:name="X45cc49bed8bd0bc76fe4011aa826415303b7de0"/>
    <w:p>
      <w:pPr>
        <w:pStyle w:val="Heading2"/>
      </w:pPr>
      <w:r>
        <w:t xml:space="preserve">Inventory of HAI software work that could use the framework</w:t>
      </w:r>
    </w:p>
    <w:p>
      <w:pPr>
        <w:pStyle w:val="FirstParagraph"/>
      </w:pPr>
      <w:r>
        <w:t xml:space="preserve">The software-engineering literature on AI augmentation is now large enough to show where distributed cognition would add the most value. The studies below are not distributed-cognition studies, but they are exactly the kinds of cases where the framework would be analytically productive.</w:t>
      </w:r>
      <w:r>
        <w:t xml:space="preserve"> </w:t>
      </w:r>
      <w:hyperlink r:id="rId34">
        <w:r>
          <w:rPr>
            <w:rStyle w:val="Hyperlink"/>
          </w:rPr>
          <w:t xml:space="preserve">[16]</w:t>
        </w:r>
      </w:hyperlink>
    </w:p>
    <w:p>
      <w:pPr>
        <w:pStyle w:val="Compact"/>
        <w:numPr>
          <w:ilvl w:val="0"/>
          <w:numId w:val="1002"/>
        </w:numPr>
      </w:pPr>
      <w:r>
        <w:rPr>
          <w:b/>
          <w:bCs/>
        </w:rPr>
        <w:t xml:space="preserve">Controlled-task productivity experiments.</w:t>
      </w:r>
      <w:r>
        <w:t xml:space="preserve"> </w:t>
      </w:r>
      <w:r>
        <w:t xml:space="preserve">A 2023 study from Microsoft</w:t>
      </w:r>
      <w:hyperlink r:id="rId25">
        <w:r>
          <w:rPr>
            <w:rStyle w:val="Hyperlink"/>
          </w:rPr>
          <w:t xml:space="preserve">[17]</w:t>
        </w:r>
      </w:hyperlink>
      <w:r>
        <w:t xml:space="preserve"> </w:t>
      </w:r>
      <w:r>
        <w:t xml:space="preserve">reported that developers using GitHub</w:t>
      </w:r>
      <w:hyperlink r:id="rId35">
        <w:r>
          <w:rPr>
            <w:rStyle w:val="Hyperlink"/>
          </w:rPr>
          <w:t xml:space="preserve">[18]</w:t>
        </w:r>
      </w:hyperlink>
      <w:r>
        <w:t xml:space="preserve"> </w:t>
      </w:r>
      <w:r>
        <w:t xml:space="preserve">Copilot completed an HTTP-server task 55.8% faster than controls. This is valuable for causal estimation, but the task is bounded, synthetic, and thin on organizational context. A distributed-cognition reading would ask what parts of real software work that task omits: repository history, reviewer expectations, CI pipelines, local conventions, and prior tacit knowledge.</w:t>
      </w:r>
      <w:r>
        <w:t xml:space="preserve"> </w:t>
      </w:r>
      <w:hyperlink r:id="rId34">
        <w:r>
          <w:rPr>
            <w:rStyle w:val="Hyperlink"/>
          </w:rPr>
          <w:t xml:space="preserve">[19]</w:t>
        </w:r>
      </w:hyperlink>
    </w:p>
    <w:p>
      <w:pPr>
        <w:pStyle w:val="Compact"/>
        <w:numPr>
          <w:ilvl w:val="0"/>
          <w:numId w:val="1002"/>
        </w:numPr>
      </w:pPr>
      <w:r>
        <w:rPr>
          <w:b/>
          <w:bCs/>
        </w:rPr>
        <w:t xml:space="preserve">Observed interaction with code generators.</w:t>
      </w:r>
      <w:r>
        <w:t xml:space="preserve"> </w:t>
      </w:r>
      <w:r>
        <w:t xml:space="preserve">“Grounded Copilot” is stronger qualitatively: it observed 20 programmers solving tasks across languages and found two recurrent interaction modes, acceleration and exploration. This begins to reveal a distributed cognitive dynamic, but the activity is still framed around task sessions rather than around team-, artifact-, and time-spanning work systems.</w:t>
      </w:r>
      <w:r>
        <w:t xml:space="preserve"> </w:t>
      </w:r>
      <w:hyperlink r:id="rId36">
        <w:r>
          <w:rPr>
            <w:rStyle w:val="Hyperlink"/>
          </w:rPr>
          <w:t xml:space="preserve">[20]</w:t>
        </w:r>
      </w:hyperlink>
    </w:p>
    <w:p>
      <w:pPr>
        <w:pStyle w:val="Compact"/>
        <w:numPr>
          <w:ilvl w:val="0"/>
          <w:numId w:val="1002"/>
        </w:numPr>
      </w:pPr>
      <w:r>
        <w:rPr>
          <w:b/>
          <w:bCs/>
        </w:rPr>
        <w:t xml:space="preserve">Repository-trace studies of collaborative use.</w:t>
      </w:r>
      <w:r>
        <w:t xml:space="preserve"> </w:t>
      </w:r>
      <w:r>
        <w:t xml:space="preserve">A 2024 Empirical Software Engineering paper analyzed 210 developers’ shared ChatGPT conversations in pull requests and 370 in issues, showing multi-turn conversational use and role-specific sharing in collaborative work. This is highly relevant to representational propagation, because conversations become artifacts that move across issues, PRs, and reviewers; a distributed-cognition study would follow those trajectories in much greater situational detail.</w:t>
      </w:r>
      <w:r>
        <w:t xml:space="preserve"> </w:t>
      </w:r>
      <w:hyperlink r:id="rId37">
        <w:r>
          <w:rPr>
            <w:rStyle w:val="Hyperlink"/>
          </w:rPr>
          <w:t xml:space="preserve">[21]</w:t>
        </w:r>
      </w:hyperlink>
    </w:p>
    <w:p>
      <w:pPr>
        <w:pStyle w:val="Compact"/>
        <w:numPr>
          <w:ilvl w:val="0"/>
          <w:numId w:val="1002"/>
        </w:numPr>
      </w:pPr>
      <w:r>
        <w:rPr>
          <w:b/>
          <w:bCs/>
        </w:rPr>
        <w:t xml:space="preserve">Enterprise perception and usability studies.</w:t>
      </w:r>
      <w:r>
        <w:t xml:space="preserve"> </w:t>
      </w:r>
      <w:r>
        <w:t xml:space="preserve">An internal enterprise case from IBM</w:t>
      </w:r>
      <w:hyperlink r:id="rId21">
        <w:r>
          <w:rPr>
            <w:rStyle w:val="Hyperlink"/>
          </w:rPr>
          <w:t xml:space="preserve">[22]</w:t>
        </w:r>
      </w:hyperlink>
      <w:r>
        <w:t xml:space="preserve"> </w:t>
      </w:r>
      <w:r>
        <w:t xml:space="preserve">used surveys of 669 developers and unmoderated usability testing with 15 users to understand an LLM coding assistant, surfacing not only productivity perceptions but also ownership and responsibility concerns. Those are exactly the kinds of emergent system properties that distributed cognition would treat as outcomes of reorganized representational work.</w:t>
      </w:r>
      <w:r>
        <w:t xml:space="preserve"> </w:t>
      </w:r>
      <w:hyperlink r:id="rId38">
        <w:r>
          <w:rPr>
            <w:rStyle w:val="Hyperlink"/>
          </w:rPr>
          <w:t xml:space="preserve">[23]</w:t>
        </w:r>
      </w:hyperlink>
    </w:p>
    <w:p>
      <w:pPr>
        <w:pStyle w:val="Compact"/>
        <w:numPr>
          <w:ilvl w:val="0"/>
          <w:numId w:val="1002"/>
        </w:numPr>
      </w:pPr>
      <w:r>
        <w:rPr>
          <w:b/>
          <w:bCs/>
        </w:rPr>
        <w:t xml:space="preserve">Large field experiments.</w:t>
      </w:r>
      <w:r>
        <w:t xml:space="preserve"> </w:t>
      </w:r>
      <w:r>
        <w:t xml:space="preserve">A 2026 Management Science paper covering three ordinary-course-of-business field experiments at Microsoft</w:t>
      </w:r>
      <w:hyperlink r:id="rId25">
        <w:r>
          <w:rPr>
            <w:rStyle w:val="Hyperlink"/>
          </w:rPr>
          <w:t xml:space="preserve">[17]</w:t>
        </w:r>
      </w:hyperlink>
      <w:r>
        <w:t xml:space="preserve">, Accenture</w:t>
      </w:r>
      <w:hyperlink r:id="rId39">
        <w:r>
          <w:rPr>
            <w:rStyle w:val="Hyperlink"/>
          </w:rPr>
          <w:t xml:space="preserve">[24]</w:t>
        </w:r>
      </w:hyperlink>
      <w:r>
        <w:t xml:space="preserve">, and another Fortune 100 firm found a combined 26.08% increase in completed tasks for developers given AI code assistants, with larger gains for less experienced developers. This is stronger on ecological validity than lab work, but the dependent variable is still “completed tasks” rather than the internal organization of the cognitive system that produced them.</w:t>
      </w:r>
      <w:r>
        <w:t xml:space="preserve"> </w:t>
      </w:r>
      <w:hyperlink r:id="rId40">
        <w:r>
          <w:rPr>
            <w:rStyle w:val="Hyperlink"/>
          </w:rPr>
          <w:t xml:space="preserve">[25]</w:t>
        </w:r>
      </w:hyperlink>
    </w:p>
    <w:p>
      <w:pPr>
        <w:pStyle w:val="Compact"/>
        <w:numPr>
          <w:ilvl w:val="0"/>
          <w:numId w:val="1002"/>
        </w:numPr>
      </w:pPr>
      <w:r>
        <w:rPr>
          <w:b/>
          <w:bCs/>
        </w:rPr>
        <w:t xml:space="preserve">Longitudinal mixed-methods case studies.</w:t>
      </w:r>
      <w:r>
        <w:t xml:space="preserve"> </w:t>
      </w:r>
      <w:r>
        <w:t xml:space="preserve">A 2025 mixed-methods case study in NAV IT analyzed 26,317 commits from 703 repositories and supplemented that with surveys and 13 interviews. It found a mismatch between subjective productivity gains and statistically insignificant changes in commit-based activity after Copilot adoption. Distributed cognition is particularly well suited to explaining that kind of mismatch because subjective relief, redistributed effort, and changed artifact ecology need not show up as more commits.</w:t>
      </w:r>
      <w:r>
        <w:t xml:space="preserve"> </w:t>
      </w:r>
      <w:hyperlink r:id="rId41">
        <w:r>
          <w:rPr>
            <w:rStyle w:val="Hyperlink"/>
          </w:rPr>
          <w:t xml:space="preserve">[26]</w:t>
        </w:r>
      </w:hyperlink>
    </w:p>
    <w:p>
      <w:pPr>
        <w:pStyle w:val="Compact"/>
        <w:numPr>
          <w:ilvl w:val="0"/>
          <w:numId w:val="1002"/>
        </w:numPr>
      </w:pPr>
      <w:r>
        <w:rPr>
          <w:b/>
          <w:bCs/>
        </w:rPr>
        <w:t xml:space="preserve">Real-task randomized trials with rich recordings.</w:t>
      </w:r>
      <w:r>
        <w:t xml:space="preserve"> </w:t>
      </w:r>
      <w:r>
        <w:t xml:space="preserve">The most important near-miss for Hutchins-style software research is the 2025 METR study: 16 experienced open-source developers, 246 real tasks in familiar repositories, screen recordings, interviews, surveys, and fine-grained time-use labels. It found that allowing AI increased completion time by 19%, with notable time spent reviewing, cleaning, and waiting on AI output. This is the closest current software-AI study to a distributed-cognition sensibility, because it works on live issues and records the work process. But it remains an experiment organized around a productivity question, not a cognitive ethnography organized around the evolution of a sociotechnical system.</w:t>
      </w:r>
      <w:r>
        <w:t xml:space="preserve"> </w:t>
      </w:r>
      <w:hyperlink r:id="rId35">
        <w:r>
          <w:rPr>
            <w:rStyle w:val="Hyperlink"/>
          </w:rPr>
          <w:t xml:space="preserve">[27]</w:t>
        </w:r>
      </w:hyperlink>
    </w:p>
    <w:bookmarkEnd w:id="42"/>
    <w:bookmarkStart w:id="43" w:name="X2b6e82dd7b5fc6a3677bfd20d65208275cff07f"/>
    <w:p>
      <w:pPr>
        <w:pStyle w:val="Heading2"/>
      </w:pPr>
      <w:r>
        <w:t xml:space="preserve">The methodological gap between experimental HCI and cognitive ethnography</w:t>
      </w:r>
    </w:p>
    <w:p>
      <w:pPr>
        <w:pStyle w:val="FirstParagraph"/>
      </w:pPr>
      <w:r>
        <w:t xml:space="preserve">The experimental HCI and software-engineering tradition asks mostly causal and evaluative questions: does AI improve speed, output, satisfaction, or task completion; under what conditions; for whom? That produces valuable evidence, but it strongly favors bounded tasks, short sessions, telemetry-friendly proxies, survey measures, and repository traces. In the AI-for-coding literature, this shows up as synthetic benchmark tasks, short observational sessions, survey-plus-usability case studies, repository/PR mining, commit-based productivity metrics, and randomized field experiments using task counts or time-to-completion as key outcomes.</w:t>
      </w:r>
      <w:r>
        <w:t xml:space="preserve"> </w:t>
      </w:r>
      <w:hyperlink r:id="rId34">
        <w:r>
          <w:rPr>
            <w:rStyle w:val="Hyperlink"/>
          </w:rPr>
          <w:t xml:space="preserve">[28]</w:t>
        </w:r>
      </w:hyperlink>
    </w:p>
    <w:p>
      <w:pPr>
        <w:pStyle w:val="BodyText"/>
      </w:pPr>
      <w:r>
        <w:t xml:space="preserve">Cognitive ethnography asks a different question: how is the cognitive accomplishment actually produced in situ? That involves following how information is transformed and propagated through artifacts, social roles, spatial arrangements, procedures, and rhythms of work. The point is not simply to prove that AI helps or hurts, but to show</w:t>
      </w:r>
      <w:r>
        <w:t xml:space="preserve"> </w:t>
      </w:r>
      <w:r>
        <w:rPr>
          <w:i/>
          <w:iCs/>
        </w:rPr>
        <w:t xml:space="preserve">where</w:t>
      </w:r>
      <w:r>
        <w:t xml:space="preserve"> </w:t>
      </w:r>
      <w:r>
        <w:t xml:space="preserve">memory now lives,</w:t>
      </w:r>
      <w:r>
        <w:t xml:space="preserve"> </w:t>
      </w:r>
      <w:r>
        <w:rPr>
          <w:i/>
          <w:iCs/>
        </w:rPr>
        <w:t xml:space="preserve">how</w:t>
      </w:r>
      <w:r>
        <w:t xml:space="preserve"> </w:t>
      </w:r>
      <w:r>
        <w:t xml:space="preserve">attention is redistributed,</w:t>
      </w:r>
      <w:r>
        <w:t xml:space="preserve"> </w:t>
      </w:r>
      <w:r>
        <w:rPr>
          <w:i/>
          <w:iCs/>
        </w:rPr>
        <w:t xml:space="preserve">which</w:t>
      </w:r>
      <w:r>
        <w:t xml:space="preserve"> </w:t>
      </w:r>
      <w:r>
        <w:t xml:space="preserve">artifacts become authoritative,</w:t>
      </w:r>
      <w:r>
        <w:t xml:space="preserve"> </w:t>
      </w:r>
      <w:r>
        <w:rPr>
          <w:i/>
          <w:iCs/>
        </w:rPr>
        <w:t xml:space="preserve">when</w:t>
      </w:r>
      <w:r>
        <w:t xml:space="preserve"> </w:t>
      </w:r>
      <w:r>
        <w:t xml:space="preserve">work is offloaded or re-imported, and</w:t>
      </w:r>
      <w:r>
        <w:t xml:space="preserve"> </w:t>
      </w:r>
      <w:r>
        <w:rPr>
          <w:i/>
          <w:iCs/>
        </w:rPr>
        <w:t xml:space="preserve">why</w:t>
      </w:r>
      <w:r>
        <w:t xml:space="preserve"> </w:t>
      </w:r>
      <w:r>
        <w:t xml:space="preserve">certain repairs, delays, and confusions recur. Hutchins’s program, the later flight-deck multimodal studies, and DiCoT’s development in HCI all make that orientation explicit.</w:t>
      </w:r>
      <w:r>
        <w:t xml:space="preserve"> </w:t>
      </w:r>
      <w:hyperlink r:id="rId25">
        <w:r>
          <w:rPr>
            <w:rStyle w:val="Hyperlink"/>
          </w:rPr>
          <w:t xml:space="preserve">[29]</w:t>
        </w:r>
      </w:hyperlink>
    </w:p>
    <w:p>
      <w:pPr>
        <w:pStyle w:val="BodyText"/>
      </w:pPr>
      <w:r>
        <w:t xml:space="preserve">The best current evidence that this gap matters comes from the software-AI studies themselves. The METR trial explicitly argues that lab tasks sacrifice realism, that common output metrics can be misleading, and that real development depends on repository familiarity, quality standards, and undocumented context. Its own fine-grained recordings show time being reallocated from coding and searching toward prompting, waiting, reviewing, and cleaning up AI output. The NAV IT case likewise shows a discrepancy between felt productivity and commit-based measures. Those are classic distributed-cognition findings in embryonic form: performance changes are being mediated by a reconfigured representational ecology, not only by faster code generation.</w:t>
      </w:r>
      <w:r>
        <w:t xml:space="preserve"> </w:t>
      </w:r>
      <w:hyperlink r:id="rId35">
        <w:r>
          <w:rPr>
            <w:rStyle w:val="Hyperlink"/>
          </w:rPr>
          <w:t xml:space="preserve">[30]</w:t>
        </w:r>
      </w:hyperlink>
    </w:p>
    <w:p>
      <w:pPr>
        <w:pStyle w:val="BodyText"/>
      </w:pPr>
      <w:r>
        <w:t xml:space="preserve">DiCoT can be read as an early attempt to bridge precisely this gap. It tries to make distributed cognition usable inside design-oriented HCI by giving analysts a semi-structured way to move from ethnographic observation to information-flow, artifact, physical, social, and temporal models. But in current AI-work research, that bridge is rarely crossed. The literature has many experiments and many AI-ethics discussions, but very few field studies that actually model the AI-augmented work system as the cognitive unit.</w:t>
      </w:r>
      <w:r>
        <w:t xml:space="preserve"> </w:t>
      </w:r>
      <w:hyperlink r:id="rId24">
        <w:r>
          <w:rPr>
            <w:rStyle w:val="Hyperlink"/>
          </w:rPr>
          <w:t xml:space="preserve">[31]</w:t>
        </w:r>
      </w:hyperlink>
    </w:p>
    <w:bookmarkEnd w:id="43"/>
    <w:bookmarkStart w:id="45" w:name="X95d502c60da1ddfeadc5ba65bdcf73ac1d1df80"/>
    <w:p>
      <w:pPr>
        <w:pStyle w:val="Heading2"/>
      </w:pPr>
      <w:r>
        <w:t xml:space="preserve">What a cognitive-ethnographic study of AI-augmented software work would look like</w:t>
      </w:r>
    </w:p>
    <w:p>
      <w:pPr>
        <w:pStyle w:val="FirstParagraph"/>
      </w:pPr>
      <w:r>
        <w:t xml:space="preserve">A good Hutchins-style study of AI-augmented software work would define the unit of analysis as the developer–team–artifact–AI ensemble rather than the individual programmer alone. Concretely, that means following developers, reviewers, issue authors, CI systems, IDEs, prompts, generated code, tests, documentation, and code-review conversations as one coupled system. The point would be to trace how representational states move from issue to prompt, prompt to suggestion, suggestion to edited code, code to failing test, test to reviewer comment, reviewer comment to revised prompt, and finally to merge or abandonment. That is the direct software analogue of Hutchins’s ship bridge and cockpit analyses.</w:t>
      </w:r>
      <w:r>
        <w:t xml:space="preserve"> </w:t>
      </w:r>
      <w:hyperlink r:id="rId28">
        <w:r>
          <w:rPr>
            <w:rStyle w:val="Hyperlink"/>
          </w:rPr>
          <w:t xml:space="preserve">[32]</w:t>
        </w:r>
      </w:hyperlink>
    </w:p>
    <w:p>
      <w:pPr>
        <w:pStyle w:val="BodyText"/>
      </w:pPr>
      <w:r>
        <w:t xml:space="preserve">Methodologically, the study should be longitudinal and multimodal. The flight-deck tradition shows the value of synchronized video, audio, gaze, transcripts, and machine traces; the METR work shows that screen recordings already reveal important timing reallocations in programming; and the repository-mining literature shows that prompts and model outputs increasingly leak into persistent collaborative artifacts such as issues and PRs. A strong study would therefore combine shadowing, screen/audio capture, prompt-response logs, IDE and repository traces, artifact collection, stimulated-recall interviews, and observation of meetings and review episodes over multiple weeks.</w:t>
      </w:r>
      <w:r>
        <w:t xml:space="preserve"> </w:t>
      </w:r>
      <w:hyperlink r:id="rId44">
        <w:r>
          <w:rPr>
            <w:rStyle w:val="Hyperlink"/>
          </w:rPr>
          <w:t xml:space="preserve">[33]</w:t>
        </w:r>
      </w:hyperlink>
    </w:p>
    <w:p>
      <w:pPr>
        <w:pStyle w:val="BodyText"/>
      </w:pPr>
      <w:r>
        <w:t xml:space="preserve">Analytically, the most important questions would not be “Did AI help?” but rather: When does AI operate in acceleration mode versus exploration mode? When does it externalize memory and when does it create new review burdens? Which tacit repository conventions remain invisible to the model? How does AI alter authorship, ownership, and responsibility for code? Which representations become “anchors” for the team’s coordination: the issue text, the prompt, the generated diff, the failing test, or the reviewer’s narrative? Those questions are already visible in the current AI-for-coding literature, but the studies stop short of treating them as properties of a distributed cognitive system.</w:t>
      </w:r>
      <w:r>
        <w:t xml:space="preserve"> </w:t>
      </w:r>
      <w:hyperlink r:id="rId36">
        <w:r>
          <w:rPr>
            <w:rStyle w:val="Hyperlink"/>
          </w:rPr>
          <w:t xml:space="preserve">[34]</w:t>
        </w:r>
      </w:hyperlink>
    </w:p>
    <w:p>
      <w:pPr>
        <w:pStyle w:val="BodyText"/>
      </w:pPr>
      <w:r>
        <w:t xml:space="preserve">The likely substantive payoff is that a cognitive ethnography would explain why different studies report both speedups and slowdowns without assuming contradiction. The same tool can accelerate locally bounded generation while slowing globally situated maintenance, review, and coordination. Distributed cognition predicts exactly this kind of heterogeneity because what changes is not just one individual’s speed but the organization of the whole system: where context lives, who checks what, what is trusted, and how much repair work is pushed downstream.</w:t>
      </w:r>
      <w:r>
        <w:t xml:space="preserve"> </w:t>
      </w:r>
      <w:hyperlink r:id="rId34">
        <w:r>
          <w:rPr>
            <w:rStyle w:val="Hyperlink"/>
          </w:rPr>
          <w:t xml:space="preserve">[35]</w:t>
        </w:r>
      </w:hyperlink>
    </w:p>
    <w:p>
      <w:pPr>
        <w:pStyle w:val="BodyText"/>
      </w:pPr>
      <w:r>
        <w:t xml:space="preserve">The conditions for a high-quality study or report in this area are therefore straightforward:</w:t>
      </w:r>
    </w:p>
    <w:p>
      <w:pPr>
        <w:pStyle w:val="Compact"/>
        <w:numPr>
          <w:ilvl w:val="0"/>
          <w:numId w:val="1003"/>
        </w:numPr>
      </w:pPr>
      <w:r>
        <w:rPr>
          <w:b/>
          <w:bCs/>
        </w:rPr>
        <w:t xml:space="preserve">Use real work, not stand-alone benchmark tasks.</w:t>
      </w:r>
      <w:r>
        <w:t xml:space="preserve"> </w:t>
      </w:r>
      <w:r>
        <w:t xml:space="preserve">Live repositories, real issues, real review cycles, and ordinary organizational constraints are essential if the unit of analysis is truly sociotechnical.</w:t>
      </w:r>
      <w:r>
        <w:t xml:space="preserve"> </w:t>
      </w:r>
      <w:hyperlink r:id="rId21">
        <w:r>
          <w:rPr>
            <w:rStyle w:val="Hyperlink"/>
          </w:rPr>
          <w:t xml:space="preserve">[36]</w:t>
        </w:r>
      </w:hyperlink>
    </w:p>
    <w:p>
      <w:pPr>
        <w:pStyle w:val="Compact"/>
        <w:numPr>
          <w:ilvl w:val="0"/>
          <w:numId w:val="1003"/>
        </w:numPr>
      </w:pPr>
      <w:r>
        <w:rPr>
          <w:b/>
          <w:bCs/>
        </w:rPr>
        <w:t xml:space="preserve">Make the cognitive system explicit.</w:t>
      </w:r>
      <w:r>
        <w:t xml:space="preserve"> </w:t>
      </w:r>
      <w:r>
        <w:t xml:space="preserve">Name the people, artifacts, automations, procedures, and temporal dependencies that jointly perform the work, and model their functional relations.</w:t>
      </w:r>
      <w:r>
        <w:t xml:space="preserve"> </w:t>
      </w:r>
      <w:hyperlink r:id="rId25">
        <w:r>
          <w:rPr>
            <w:rStyle w:val="Hyperlink"/>
          </w:rPr>
          <w:t xml:space="preserve">[37]</w:t>
        </w:r>
      </w:hyperlink>
    </w:p>
    <w:p>
      <w:pPr>
        <w:pStyle w:val="Compact"/>
        <w:numPr>
          <w:ilvl w:val="0"/>
          <w:numId w:val="1003"/>
        </w:numPr>
      </w:pPr>
      <w:r>
        <w:rPr>
          <w:b/>
          <w:bCs/>
        </w:rPr>
        <w:t xml:space="preserve">Collect multimodal, synchronized evidence.</w:t>
      </w:r>
      <w:r>
        <w:t xml:space="preserve"> </w:t>
      </w:r>
      <w:r>
        <w:t xml:space="preserve">Screen capture alone is helpful; synchronized logs, artifacts, transcripts, and interviews are much better.</w:t>
      </w:r>
      <w:r>
        <w:t xml:space="preserve"> </w:t>
      </w:r>
      <w:hyperlink r:id="rId44">
        <w:r>
          <w:rPr>
            <w:rStyle w:val="Hyperlink"/>
          </w:rPr>
          <w:t xml:space="preserve">[38]</w:t>
        </w:r>
      </w:hyperlink>
    </w:p>
    <w:p>
      <w:pPr>
        <w:pStyle w:val="Compact"/>
        <w:numPr>
          <w:ilvl w:val="0"/>
          <w:numId w:val="1003"/>
        </w:numPr>
      </w:pPr>
      <w:r>
        <w:rPr>
          <w:b/>
          <w:bCs/>
        </w:rPr>
        <w:t xml:space="preserve">Trace representational propagation end to end.</w:t>
      </w:r>
      <w:r>
        <w:t xml:space="preserve"> </w:t>
      </w:r>
      <w:r>
        <w:t xml:space="preserve">Do not stop at prompt-output pairs; follow transformations across issues, code, tests, comments, merges, and rework.</w:t>
      </w:r>
      <w:r>
        <w:t xml:space="preserve"> </w:t>
      </w:r>
      <w:hyperlink r:id="rId23">
        <w:r>
          <w:rPr>
            <w:rStyle w:val="Hyperlink"/>
          </w:rPr>
          <w:t xml:space="preserve">[39]</w:t>
        </w:r>
      </w:hyperlink>
    </w:p>
    <w:p>
      <w:pPr>
        <w:pStyle w:val="Compact"/>
        <w:numPr>
          <w:ilvl w:val="0"/>
          <w:numId w:val="1003"/>
        </w:numPr>
      </w:pPr>
      <w:r>
        <w:rPr>
          <w:b/>
          <w:bCs/>
        </w:rPr>
        <w:t xml:space="preserve">Treat breakdowns and repairs as central evidence.</w:t>
      </w:r>
      <w:r>
        <w:t xml:space="preserve"> </w:t>
      </w:r>
      <w:r>
        <w:t xml:space="preserve">Review friction, hallucinated code, ownership disputes, waiting, reverted edits, and silent workarounds are where the system’s organization becomes most visible.</w:t>
      </w:r>
      <w:r>
        <w:t xml:space="preserve"> </w:t>
      </w:r>
      <w:hyperlink r:id="rId38">
        <w:r>
          <w:rPr>
            <w:rStyle w:val="Hyperlink"/>
          </w:rPr>
          <w:t xml:space="preserve">[40]</w:t>
        </w:r>
      </w:hyperlink>
    </w:p>
    <w:p>
      <w:pPr>
        <w:pStyle w:val="Compact"/>
        <w:numPr>
          <w:ilvl w:val="0"/>
          <w:numId w:val="1003"/>
        </w:numPr>
      </w:pPr>
      <w:r>
        <w:rPr>
          <w:b/>
          <w:bCs/>
        </w:rPr>
        <w:t xml:space="preserve">Bridge ethnography to design.</w:t>
      </w:r>
      <w:r>
        <w:t xml:space="preserve"> </w:t>
      </w:r>
      <w:r>
        <w:t xml:space="preserve">DiCoT remains useful here: information-flow, artifact, physical/social, and temporal models can connect qualitative observation to HAI design and evaluation.</w:t>
      </w:r>
      <w:r>
        <w:t xml:space="preserve"> </w:t>
      </w:r>
      <w:hyperlink r:id="rId24">
        <w:r>
          <w:rPr>
            <w:rStyle w:val="Hyperlink"/>
          </w:rPr>
          <w:t xml:space="preserve">[41]</w:t>
        </w:r>
      </w:hyperlink>
    </w:p>
    <w:p>
      <w:pPr>
        <w:pStyle w:val="FirstParagraph"/>
      </w:pPr>
      <w:r>
        <w:rPr>
          <w:b/>
          <w:bCs/>
        </w:rPr>
        <w:t xml:space="preserve">Gap statement.</w:t>
      </w:r>
      <w:r>
        <w:t xml:space="preserve"> </w:t>
      </w:r>
      <w:r>
        <w:t xml:space="preserve">The central gap is not simply that there are too few AI studies. It is that most post-2018 HAI research on software work still treats the relevant phenomenon as an individual or dyadic performance problem, whereas Hutchins’s framework implies that AI augmentation should be studied as a reorganization of a distributed cognitive system. Until software-AI research routinely follows how representations, responsibilities, and coordination move across people and artifacts over time, it will continue to explain only part of what AI is doing to professional work.</w:t>
      </w:r>
      <w:r>
        <w:t xml:space="preserve"> </w:t>
      </w:r>
      <w:hyperlink r:id="rId25">
        <w:r>
          <w:rPr>
            <w:rStyle w:val="Hyperlink"/>
          </w:rPr>
          <w:t xml:space="preserve">[42]</w:t>
        </w:r>
      </w:hyperlink>
    </w:p>
    <w:bookmarkEnd w:id="45"/>
    <w:bookmarkStart w:id="46" w:name="open-questions-and-limitations"/>
    <w:p>
      <w:pPr>
        <w:pStyle w:val="Heading2"/>
      </w:pPr>
      <w:r>
        <w:t xml:space="preserve">Open questions and limitations</w:t>
      </w:r>
    </w:p>
    <w:p>
      <w:pPr>
        <w:pStyle w:val="FirstParagraph"/>
      </w:pPr>
      <w:r>
        <w:t xml:space="preserve">The main limitation of the current literature is sparsity at exactly the point your prompt targets. I found solid post-2018 distributed-cognition work in aviation and healthcare, and a fast-growing body of AI-augmented-work research in software engineering, but very little empirical research that combines both: Hutchins-style cognitive ethnography applied directly to AI-augmented professional teams or workflows. Several important software-AI studies cited above are also preprints rather than settled journal articles. That does not weaken the gap statement; if anything, it strengthens it. The literature is mature enough to show the problem and still immature where the most suitable methodology should be.</w:t>
      </w:r>
      <w:r>
        <w:t xml:space="preserve"> </w:t>
      </w:r>
      <w:hyperlink r:id="rId39">
        <w:r>
          <w:rPr>
            <w:rStyle w:val="Hyperlink"/>
          </w:rPr>
          <w:t xml:space="preserve">[43]</w:t>
        </w:r>
      </w:hyperlink>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[7]</w:t>
        </w:r>
      </w:hyperlink>
      <w:r>
        <w:t xml:space="preserve"> </w:t>
      </w:r>
      <w:hyperlink r:id="rId21">
        <w:r>
          <w:rPr>
            <w:rStyle w:val="Hyperlink"/>
          </w:rPr>
          <w:t xml:space="preserve">[22]</w:t>
        </w:r>
      </w:hyperlink>
      <w:r>
        <w:t xml:space="preserve"> </w:t>
      </w:r>
      <w:hyperlink r:id="rId21">
        <w:r>
          <w:rPr>
            <w:rStyle w:val="Hyperlink"/>
          </w:rPr>
          <w:t xml:space="preserve">[36]</w:t>
        </w:r>
      </w:hyperlink>
      <w:r>
        <w:t xml:space="preserve"> </w:t>
      </w:r>
      <w:r>
        <w:t xml:space="preserve">https://mitpress.mit.edu/9780262082310/cognition-in-the-wild/</w:t>
      </w:r>
    </w:p>
    <w:p>
      <w:pPr>
        <w:pStyle w:val="BodyText"/>
      </w:pPr>
      <w:hyperlink r:id="rId21">
        <w:r>
          <w:rPr>
            <w:rStyle w:val="Hyperlink"/>
          </w:rPr>
          <w:t xml:space="preserve">https://mitpress.mit.edu/9780262082310/cognition-in-the-wild/</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r>
        <w:t xml:space="preserve">https://link.springer.com/article/10.1007/s13347-026-01034-3</w:t>
      </w:r>
    </w:p>
    <w:p>
      <w:pPr>
        <w:pStyle w:val="BodyText"/>
      </w:pPr>
      <w:hyperlink r:id="rId22">
        <w:r>
          <w:rPr>
            <w:rStyle w:val="Hyperlink"/>
          </w:rPr>
          <w:t xml:space="preserve">https://link.springer.com/article/10.1007/s13347-026-01034-3</w:t>
        </w:r>
      </w:hyperlink>
    </w:p>
    <w:p>
      <w:pPr>
        <w:pStyle w:val="BodyText"/>
      </w:pPr>
      <w:hyperlink r:id="rId23">
        <w:r>
          <w:rPr>
            <w:rStyle w:val="Hyperlink"/>
          </w:rPr>
          <w:t xml:space="preserve">[4]</w:t>
        </w:r>
      </w:hyperlink>
      <w:r>
        <w:t xml:space="preserve"> </w:t>
      </w:r>
      <w:hyperlink r:id="rId23">
        <w:r>
          <w:rPr>
            <w:rStyle w:val="Hyperlink"/>
          </w:rPr>
          <w:t xml:space="preserve">[39]</w:t>
        </w:r>
      </w:hyperlink>
      <w:r>
        <w:t xml:space="preserve"> </w:t>
      </w:r>
      <w:r>
        <w:t xml:space="preserve">https://www.researchgate.net/publication/6786940_Understanding_emergency_medical_dispatch_in_terms_of_distributed_cognition_A_case_study</w:t>
      </w:r>
    </w:p>
    <w:p>
      <w:pPr>
        <w:pStyle w:val="BodyText"/>
      </w:pPr>
      <w:hyperlink r:id="rId23">
        <w:r>
          <w:rPr>
            <w:rStyle w:val="Hyperlink"/>
          </w:rPr>
          <w:t xml:space="preserve">https://www.researchgate.net/publication/6786940_Understanding_emergency_medical_dispatch_in_terms_of_distributed_cognition_A_case_study</w:t>
        </w:r>
      </w:hyperlink>
    </w:p>
    <w:p>
      <w:pPr>
        <w:pStyle w:val="BodyText"/>
      </w:pPr>
      <w:hyperlink r:id="rId24">
        <w:r>
          <w:rPr>
            <w:rStyle w:val="Hyperlink"/>
          </w:rPr>
          <w:t xml:space="preserve">[5]</w:t>
        </w:r>
      </w:hyperlink>
      <w:r>
        <w:t xml:space="preserve"> </w:t>
      </w:r>
      <w:hyperlink r:id="rId24">
        <w:r>
          <w:rPr>
            <w:rStyle w:val="Hyperlink"/>
          </w:rPr>
          <w:t xml:space="preserve">[31]</w:t>
        </w:r>
      </w:hyperlink>
      <w:r>
        <w:t xml:space="preserve"> </w:t>
      </w:r>
      <w:hyperlink r:id="rId24">
        <w:r>
          <w:rPr>
            <w:rStyle w:val="Hyperlink"/>
          </w:rPr>
          <w:t xml:space="preserve">[41]</w:t>
        </w:r>
      </w:hyperlink>
      <w:r>
        <w:t xml:space="preserve"> </w:t>
      </w:r>
      <w:r>
        <w:t xml:space="preserve">https://discovery.ucl.ac.uk/5117/</w:t>
      </w:r>
    </w:p>
    <w:p>
      <w:pPr>
        <w:pStyle w:val="BodyText"/>
      </w:pPr>
      <w:hyperlink r:id="rId24">
        <w:r>
          <w:rPr>
            <w:rStyle w:val="Hyperlink"/>
          </w:rPr>
          <w:t xml:space="preserve">https://discovery.ucl.ac.uk/5117/</w:t>
        </w:r>
      </w:hyperlink>
    </w:p>
    <w:p>
      <w:pPr>
        <w:pStyle w:val="BodyText"/>
      </w:pPr>
      <w:hyperlink r:id="rId25">
        <w:r>
          <w:rPr>
            <w:rStyle w:val="Hyperlink"/>
          </w:rPr>
          <w:t xml:space="preserve">[6]</w:t>
        </w:r>
      </w:hyperlink>
      <w:r>
        <w:t xml:space="preserve"> </w:t>
      </w:r>
      <w:hyperlink r:id="rId25">
        <w:r>
          <w:rPr>
            <w:rStyle w:val="Hyperlink"/>
          </w:rPr>
          <w:t xml:space="preserve">[17]</w:t>
        </w:r>
      </w:hyperlink>
      <w:r>
        <w:t xml:space="preserve"> </w:t>
      </w:r>
      <w:hyperlink r:id="rId25">
        <w:r>
          <w:rPr>
            <w:rStyle w:val="Hyperlink"/>
          </w:rPr>
          <w:t xml:space="preserve">[29]</w:t>
        </w:r>
      </w:hyperlink>
      <w:r>
        <w:t xml:space="preserve"> </w:t>
      </w:r>
      <w:hyperlink r:id="rId25">
        <w:r>
          <w:rPr>
            <w:rStyle w:val="Hyperlink"/>
          </w:rPr>
          <w:t xml:space="preserve">[37]</w:t>
        </w:r>
      </w:hyperlink>
      <w:r>
        <w:t xml:space="preserve"> </w:t>
      </w:r>
      <w:hyperlink r:id="rId25">
        <w:r>
          <w:rPr>
            <w:rStyle w:val="Hyperlink"/>
          </w:rPr>
          <w:t xml:space="preserve">[42]</w:t>
        </w:r>
      </w:hyperlink>
      <w:r>
        <w:t xml:space="preserve"> </w:t>
      </w:r>
      <w:r>
        <w:t xml:space="preserve">https://www.researchgate.net/publication/234797243_Distributed_Cognition_Toward_a_New_Foundation_for_Human-Computer_Interaction_Research</w:t>
      </w:r>
    </w:p>
    <w:p>
      <w:pPr>
        <w:pStyle w:val="BodyText"/>
      </w:pPr>
      <w:hyperlink r:id="rId25">
        <w:r>
          <w:rPr>
            <w:rStyle w:val="Hyperlink"/>
          </w:rPr>
          <w:t xml:space="preserve">https://www.researchgate.net/publication/234797243_Distributed_Cognition_Toward_a_New_Foundation_for_Human-Computer_Interaction_Research</w:t>
        </w:r>
      </w:hyperlink>
    </w:p>
    <w:p>
      <w:pPr>
        <w:pStyle w:val="BodyText"/>
      </w:pPr>
      <w:hyperlink r:id="rId27">
        <w:r>
          <w:rPr>
            <w:rStyle w:val="Hyperlink"/>
          </w:rPr>
          <w:t xml:space="preserve">[8]</w:t>
        </w:r>
      </w:hyperlink>
      <w:r>
        <w:t xml:space="preserve"> </w:t>
      </w:r>
      <w:r>
        <w:t xml:space="preserve">https://pubmed.ncbi.nlm.nih.gov/17368112/</w:t>
      </w:r>
    </w:p>
    <w:p>
      <w:pPr>
        <w:pStyle w:val="BodyText"/>
      </w:pPr>
      <w:hyperlink r:id="rId27">
        <w:r>
          <w:rPr>
            <w:rStyle w:val="Hyperlink"/>
          </w:rPr>
          <w:t xml:space="preserve">https://pubmed.ncbi.nlm.nih.gov/17368112/</w:t>
        </w:r>
      </w:hyperlink>
    </w:p>
    <w:p>
      <w:pPr>
        <w:pStyle w:val="BodyText"/>
      </w:pPr>
      <w:hyperlink r:id="rId28">
        <w:r>
          <w:rPr>
            <w:rStyle w:val="Hyperlink"/>
          </w:rPr>
          <w:t xml:space="preserve">[9]</w:t>
        </w:r>
      </w:hyperlink>
      <w:r>
        <w:t xml:space="preserve"> </w:t>
      </w:r>
      <w:hyperlink r:id="rId28">
        <w:r>
          <w:rPr>
            <w:rStyle w:val="Hyperlink"/>
          </w:rPr>
          <w:t xml:space="preserve">[32]</w:t>
        </w:r>
      </w:hyperlink>
      <w:r>
        <w:t xml:space="preserve"> </w:t>
      </w:r>
      <w:r>
        <w:t xml:space="preserve">https://www.researchgate.net/publication/242326530_Analyzing_distributed_cognition_in_software_teams_A_case_study_of_team_programming_during_perfective_software_maintenance</w:t>
      </w:r>
    </w:p>
    <w:p>
      <w:pPr>
        <w:pStyle w:val="BodyText"/>
      </w:pPr>
      <w:hyperlink r:id="rId28">
        <w:r>
          <w:rPr>
            <w:rStyle w:val="Hyperlink"/>
          </w:rPr>
          <w:t xml:space="preserve">https://www.researchgate.net/publication/242326530_Analyzing_distributed_cognition_in_software_teams_A_case_study_of_team_programming_during_perfective_software_maintenance</w:t>
        </w:r>
      </w:hyperlink>
    </w:p>
    <w:p>
      <w:pPr>
        <w:pStyle w:val="BodyText"/>
      </w:pPr>
      <w:hyperlink r:id="rId30">
        <w:r>
          <w:rPr>
            <w:rStyle w:val="Hyperlink"/>
          </w:rPr>
          <w:t xml:space="preserve">[10]</w:t>
        </w:r>
      </w:hyperlink>
      <w:r>
        <w:t xml:space="preserve"> </w:t>
      </w:r>
      <w:hyperlink r:id="rId30">
        <w:r>
          <w:rPr>
            <w:rStyle w:val="Hyperlink"/>
          </w:rPr>
          <w:t xml:space="preserve">[11]</w:t>
        </w:r>
      </w:hyperlink>
      <w:r>
        <w:t xml:space="preserve"> </w:t>
      </w:r>
      <w:hyperlink r:id="rId30">
        <w:r>
          <w:rPr>
            <w:rStyle w:val="Hyperlink"/>
          </w:rPr>
          <w:t xml:space="preserve">[15]</w:t>
        </w:r>
      </w:hyperlink>
      <w:r>
        <w:t xml:space="preserve"> </w:t>
      </w:r>
      <w:r>
        <w:t xml:space="preserve">https://pubmed.ncbi.nlm.nih.gov/36092977/</w:t>
      </w:r>
    </w:p>
    <w:p>
      <w:pPr>
        <w:pStyle w:val="BodyText"/>
      </w:pPr>
      <w:hyperlink r:id="rId30">
        <w:r>
          <w:rPr>
            <w:rStyle w:val="Hyperlink"/>
          </w:rPr>
          <w:t xml:space="preserve">https://pubmed.ncbi.nlm.nih.gov/36092977/</w:t>
        </w:r>
      </w:hyperlink>
    </w:p>
    <w:p>
      <w:pPr>
        <w:pStyle w:val="BodyText"/>
      </w:pPr>
      <w:hyperlink r:id="rId31">
        <w:r>
          <w:rPr>
            <w:rStyle w:val="Hyperlink"/>
          </w:rPr>
          <w:t xml:space="preserve">[12]</w:t>
        </w:r>
      </w:hyperlink>
      <w:r>
        <w:t xml:space="preserve"> </w:t>
      </w:r>
      <w:r>
        <w:t xml:space="preserve">https://www.teachinganthropology.org/ojs/index.php/teach_anth/article/view/778</w:t>
      </w:r>
    </w:p>
    <w:p>
      <w:pPr>
        <w:pStyle w:val="BodyText"/>
      </w:pPr>
      <w:hyperlink r:id="rId31">
        <w:r>
          <w:rPr>
            <w:rStyle w:val="Hyperlink"/>
          </w:rPr>
          <w:t xml:space="preserve">https://www.teachinganthropology.org/ojs/index.php/teach_anth/article/view/778</w:t>
        </w:r>
      </w:hyperlink>
    </w:p>
    <w:p>
      <w:pPr>
        <w:pStyle w:val="BodyText"/>
      </w:pPr>
      <w:hyperlink r:id="rId32">
        <w:r>
          <w:rPr>
            <w:rStyle w:val="Hyperlink"/>
          </w:rPr>
          <w:t xml:space="preserve">[14]</w:t>
        </w:r>
      </w:hyperlink>
      <w:r>
        <w:t xml:space="preserve"> </w:t>
      </w:r>
      <w:r>
        <w:t xml:space="preserve">https://www.nature.com/articles/s41562-024-01959-9</w:t>
      </w:r>
    </w:p>
    <w:p>
      <w:pPr>
        <w:pStyle w:val="BodyText"/>
      </w:pPr>
      <w:hyperlink r:id="rId32">
        <w:r>
          <w:rPr>
            <w:rStyle w:val="Hyperlink"/>
          </w:rPr>
          <w:t xml:space="preserve">https://www.nature.com/articles/s41562-024-01959-9</w:t>
        </w:r>
      </w:hyperlink>
    </w:p>
    <w:p>
      <w:pPr>
        <w:pStyle w:val="BodyText"/>
      </w:pPr>
      <w:hyperlink r:id="rId34">
        <w:r>
          <w:rPr>
            <w:rStyle w:val="Hyperlink"/>
          </w:rPr>
          <w:t xml:space="preserve">[16]</w:t>
        </w:r>
      </w:hyperlink>
      <w:r>
        <w:t xml:space="preserve"> </w:t>
      </w:r>
      <w:hyperlink r:id="rId34">
        <w:r>
          <w:rPr>
            <w:rStyle w:val="Hyperlink"/>
          </w:rPr>
          <w:t xml:space="preserve">[19]</w:t>
        </w:r>
      </w:hyperlink>
      <w:r>
        <w:t xml:space="preserve"> </w:t>
      </w:r>
      <w:hyperlink r:id="rId34">
        <w:r>
          <w:rPr>
            <w:rStyle w:val="Hyperlink"/>
          </w:rPr>
          <w:t xml:space="preserve">[28]</w:t>
        </w:r>
      </w:hyperlink>
      <w:r>
        <w:t xml:space="preserve"> </w:t>
      </w:r>
      <w:hyperlink r:id="rId34">
        <w:r>
          <w:rPr>
            <w:rStyle w:val="Hyperlink"/>
          </w:rPr>
          <w:t xml:space="preserve">[35]</w:t>
        </w:r>
      </w:hyperlink>
      <w:r>
        <w:t xml:space="preserve"> </w:t>
      </w:r>
      <w:r>
        <w:t xml:space="preserve">https://www.microsoft.com/en-us/research/publication/the-impact-of-ai-on-developer-productivity-evidence-from-github-copilot/</w:t>
      </w:r>
    </w:p>
    <w:p>
      <w:pPr>
        <w:pStyle w:val="BodyText"/>
      </w:pPr>
      <w:hyperlink r:id="rId34">
        <w:r>
          <w:rPr>
            <w:rStyle w:val="Hyperlink"/>
          </w:rPr>
          <w:t xml:space="preserve">https://www.microsoft.com/en-us/research/publication/the-impact-of-ai-on-developer-productivity-evidence-from-github-copilot/</w:t>
        </w:r>
      </w:hyperlink>
    </w:p>
    <w:p>
      <w:pPr>
        <w:pStyle w:val="BodyText"/>
      </w:pPr>
      <w:hyperlink r:id="rId35">
        <w:r>
          <w:rPr>
            <w:rStyle w:val="Hyperlink"/>
          </w:rPr>
          <w:t xml:space="preserve">[18]</w:t>
        </w:r>
      </w:hyperlink>
      <w:r>
        <w:t xml:space="preserve"> </w:t>
      </w:r>
      <w:hyperlink r:id="rId35">
        <w:r>
          <w:rPr>
            <w:rStyle w:val="Hyperlink"/>
          </w:rPr>
          <w:t xml:space="preserve">[27]</w:t>
        </w:r>
      </w:hyperlink>
      <w:r>
        <w:t xml:space="preserve"> </w:t>
      </w:r>
      <w:hyperlink r:id="rId35">
        <w:r>
          <w:rPr>
            <w:rStyle w:val="Hyperlink"/>
          </w:rPr>
          <w:t xml:space="preserve">[30]</w:t>
        </w:r>
      </w:hyperlink>
      <w:r>
        <w:t xml:space="preserve"> </w:t>
      </w:r>
      <w:r>
        <w:t xml:space="preserve">https://www.researchgate.net/publication/393686050_Measuring_the_Impact_of_Early-2025_AI_on_Experienced_Open-Source_Developer_Productivity</w:t>
      </w:r>
    </w:p>
    <w:p>
      <w:pPr>
        <w:pStyle w:val="BodyText"/>
      </w:pPr>
      <w:hyperlink r:id="rId35">
        <w:r>
          <w:rPr>
            <w:rStyle w:val="Hyperlink"/>
          </w:rPr>
          <w:t xml:space="preserve">https://www.researchgate.net/publication/393686050_Measuring_the_Impact_of_Early-2025_AI_on_Experienced_Open-Source_Developer_Productivity</w:t>
        </w:r>
      </w:hyperlink>
    </w:p>
    <w:p>
      <w:pPr>
        <w:pStyle w:val="BodyText"/>
      </w:pPr>
      <w:hyperlink r:id="rId36">
        <w:r>
          <w:rPr>
            <w:rStyle w:val="Hyperlink"/>
          </w:rPr>
          <w:t xml:space="preserve">[20]</w:t>
        </w:r>
      </w:hyperlink>
      <w:r>
        <w:t xml:space="preserve"> </w:t>
      </w:r>
      <w:hyperlink r:id="rId36">
        <w:r>
          <w:rPr>
            <w:rStyle w:val="Hyperlink"/>
          </w:rPr>
          <w:t xml:space="preserve">[34]</w:t>
        </w:r>
      </w:hyperlink>
      <w:r>
        <w:t xml:space="preserve"> </w:t>
      </w:r>
      <w:r>
        <w:t xml:space="preserve">https://www.microsoft.com/en-us/research/?p=1092930</w:t>
      </w:r>
    </w:p>
    <w:p>
      <w:pPr>
        <w:pStyle w:val="BodyText"/>
      </w:pPr>
      <w:hyperlink r:id="rId36">
        <w:r>
          <w:rPr>
            <w:rStyle w:val="Hyperlink"/>
          </w:rPr>
          <w:t xml:space="preserve">https://www.microsoft.com/en-us/research/?p=1092930</w:t>
        </w:r>
      </w:hyperlink>
    </w:p>
    <w:p>
      <w:pPr>
        <w:pStyle w:val="BodyText"/>
      </w:pPr>
      <w:hyperlink r:id="rId37">
        <w:r>
          <w:rPr>
            <w:rStyle w:val="Hyperlink"/>
          </w:rPr>
          <w:t xml:space="preserve">[21]</w:t>
        </w:r>
      </w:hyperlink>
      <w:r>
        <w:t xml:space="preserve"> </w:t>
      </w:r>
      <w:r>
        <w:t xml:space="preserve">https://link.springer.com/article/10.1007/s10664-024-10540-x</w:t>
      </w:r>
    </w:p>
    <w:p>
      <w:pPr>
        <w:pStyle w:val="BodyText"/>
      </w:pPr>
      <w:hyperlink r:id="rId37">
        <w:r>
          <w:rPr>
            <w:rStyle w:val="Hyperlink"/>
          </w:rPr>
          <w:t xml:space="preserve">https://link.springer.com/article/10.1007/s10664-024-10540-x</w:t>
        </w:r>
      </w:hyperlink>
    </w:p>
    <w:p>
      <w:pPr>
        <w:pStyle w:val="BodyText"/>
      </w:pPr>
      <w:hyperlink r:id="rId38">
        <w:r>
          <w:rPr>
            <w:rStyle w:val="Hyperlink"/>
          </w:rPr>
          <w:t xml:space="preserve">[23]</w:t>
        </w:r>
      </w:hyperlink>
      <w:r>
        <w:t xml:space="preserve"> </w:t>
      </w:r>
      <w:hyperlink r:id="rId38">
        <w:r>
          <w:rPr>
            <w:rStyle w:val="Hyperlink"/>
          </w:rPr>
          <w:t xml:space="preserve">[40]</w:t>
        </w:r>
      </w:hyperlink>
      <w:r>
        <w:t xml:space="preserve"> </w:t>
      </w:r>
      <w:r>
        <w:t xml:space="preserve">https://research.ibm.com/publications/examining-the-use-and-impact-of-an-ai-code-assistant-on-developer-productivity-and-experience-in-the-enterprise</w:t>
      </w:r>
    </w:p>
    <w:p>
      <w:pPr>
        <w:pStyle w:val="BodyText"/>
      </w:pPr>
      <w:hyperlink r:id="rId38">
        <w:r>
          <w:rPr>
            <w:rStyle w:val="Hyperlink"/>
          </w:rPr>
          <w:t xml:space="preserve">https://research.ibm.com/publications/examining-the-use-and-impact-of-an-ai-code-assistant-on-developer-productivity-and-experience-in-the-enterprise</w:t>
        </w:r>
      </w:hyperlink>
    </w:p>
    <w:p>
      <w:pPr>
        <w:pStyle w:val="BodyText"/>
      </w:pPr>
      <w:hyperlink r:id="rId39">
        <w:r>
          <w:rPr>
            <w:rStyle w:val="Hyperlink"/>
          </w:rPr>
          <w:t xml:space="preserve">[24]</w:t>
        </w:r>
      </w:hyperlink>
      <w:r>
        <w:t xml:space="preserve"> </w:t>
      </w:r>
      <w:hyperlink r:id="rId39">
        <w:r>
          <w:rPr>
            <w:rStyle w:val="Hyperlink"/>
          </w:rPr>
          <w:t xml:space="preserve">[43]</w:t>
        </w:r>
      </w:hyperlink>
      <w:r>
        <w:t xml:space="preserve"> </w:t>
      </w:r>
      <w:r>
        <w:t xml:space="preserve">https://pubmed.ncbi.nlm.nih.gov/30192716/</w:t>
      </w:r>
    </w:p>
    <w:p>
      <w:pPr>
        <w:pStyle w:val="BodyText"/>
      </w:pPr>
      <w:hyperlink r:id="rId39">
        <w:r>
          <w:rPr>
            <w:rStyle w:val="Hyperlink"/>
          </w:rPr>
          <w:t xml:space="preserve">https://pubmed.ncbi.nlm.nih.gov/30192716/</w:t>
        </w:r>
      </w:hyperlink>
    </w:p>
    <w:p>
      <w:pPr>
        <w:pStyle w:val="BodyText"/>
      </w:pPr>
      <w:hyperlink r:id="rId40">
        <w:r>
          <w:rPr>
            <w:rStyle w:val="Hyperlink"/>
          </w:rPr>
          <w:t xml:space="preserve">[25]</w:t>
        </w:r>
      </w:hyperlink>
      <w:r>
        <w:t xml:space="preserve"> </w:t>
      </w:r>
      <w:r>
        <w:t xml:space="preserve">https://pubsonline.informs.org/doi/abs/10.1287/mnsc.2025.00535</w:t>
      </w:r>
    </w:p>
    <w:p>
      <w:pPr>
        <w:pStyle w:val="BodyText"/>
      </w:pPr>
      <w:hyperlink r:id="rId40">
        <w:r>
          <w:rPr>
            <w:rStyle w:val="Hyperlink"/>
          </w:rPr>
          <w:t xml:space="preserve">https://pubsonline.informs.org/doi/abs/10.1287/mnsc.2025.00535</w:t>
        </w:r>
      </w:hyperlink>
    </w:p>
    <w:p>
      <w:pPr>
        <w:pStyle w:val="BodyText"/>
      </w:pPr>
      <w:hyperlink r:id="rId41">
        <w:r>
          <w:rPr>
            <w:rStyle w:val="Hyperlink"/>
          </w:rPr>
          <w:t xml:space="preserve">[26]</w:t>
        </w:r>
      </w:hyperlink>
      <w:r>
        <w:t xml:space="preserve"> </w:t>
      </w:r>
      <w:r>
        <w:t xml:space="preserve">https://www.researchgate.net/publication/395806676_Developer_Productivity_With_and_Without_GitHub_Copilot_A_Longitudinal_Mixed-Methods_Case_Study</w:t>
      </w:r>
    </w:p>
    <w:p>
      <w:pPr>
        <w:pStyle w:val="BodyText"/>
      </w:pPr>
      <w:hyperlink r:id="rId41">
        <w:r>
          <w:rPr>
            <w:rStyle w:val="Hyperlink"/>
          </w:rPr>
          <w:t xml:space="preserve">https://www.researchgate.net/publication/395806676_Developer_Productivity_With_and_Without_GitHub_Copilot_A_Longitudinal_Mixed-Methods_Case_Study</w:t>
        </w:r>
      </w:hyperlink>
    </w:p>
    <w:p>
      <w:pPr>
        <w:pStyle w:val="BodyText"/>
      </w:pPr>
      <w:hyperlink r:id="rId44">
        <w:r>
          <w:rPr>
            <w:rStyle w:val="Hyperlink"/>
          </w:rPr>
          <w:t xml:space="preserve">[33]</w:t>
        </w:r>
      </w:hyperlink>
      <w:r>
        <w:t xml:space="preserve"> </w:t>
      </w:r>
      <w:hyperlink r:id="rId44">
        <w:r>
          <w:rPr>
            <w:rStyle w:val="Hyperlink"/>
          </w:rPr>
          <w:t xml:space="preserve">[38]</w:t>
        </w:r>
      </w:hyperlink>
      <w:r>
        <w:t xml:space="preserve"> </w:t>
      </w:r>
      <w:r>
        <w:t xml:space="preserve">https://journals.sagepub.com/doi/10.1177/1555343413495547</w:t>
      </w:r>
    </w:p>
    <w:p>
      <w:pPr>
        <w:pStyle w:val="BodyText"/>
      </w:pPr>
      <w:hyperlink r:id="rId44">
        <w:r>
          <w:rPr>
            <w:rStyle w:val="Hyperlink"/>
          </w:rPr>
          <w:t xml:space="preserve">https://journals.sagepub.com/doi/10.1177/1555343413495547</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iscovery.ucl.ac.uk/5117/" TargetMode="External" /><Relationship Type="http://schemas.openxmlformats.org/officeDocument/2006/relationships/hyperlink" Id="rId44" Target="https://journals.sagepub.com/doi/10.1177/1555343413495547" TargetMode="External" /><Relationship Type="http://schemas.openxmlformats.org/officeDocument/2006/relationships/hyperlink" Id="rId37" Target="https://link.springer.com/article/10.1007/s10664-024-10540-x" TargetMode="External" /><Relationship Type="http://schemas.openxmlformats.org/officeDocument/2006/relationships/hyperlink" Id="rId22" Target="https://link.springer.com/article/10.1007/s13347-026-01034-3" TargetMode="External" /><Relationship Type="http://schemas.openxmlformats.org/officeDocument/2006/relationships/hyperlink" Id="rId21" Target="https://mitpress.mit.edu/9780262082310/cognition-in-the-wild/" TargetMode="External" /><Relationship Type="http://schemas.openxmlformats.org/officeDocument/2006/relationships/hyperlink" Id="rId27" Target="https://pubmed.ncbi.nlm.nih.gov/17368112/" TargetMode="External" /><Relationship Type="http://schemas.openxmlformats.org/officeDocument/2006/relationships/hyperlink" Id="rId39" Target="https://pubmed.ncbi.nlm.nih.gov/30192716/" TargetMode="External" /><Relationship Type="http://schemas.openxmlformats.org/officeDocument/2006/relationships/hyperlink" Id="rId30" Target="https://pubmed.ncbi.nlm.nih.gov/36092977/" TargetMode="External" /><Relationship Type="http://schemas.openxmlformats.org/officeDocument/2006/relationships/hyperlink" Id="rId40" Target="https://pubsonline.informs.org/doi/abs/10.1287/mnsc.2025.00535" TargetMode="External" /><Relationship Type="http://schemas.openxmlformats.org/officeDocument/2006/relationships/hyperlink" Id="rId38" Target="https://research.ibm.com/publications/examining-the-use-and-impact-of-an-ai-code-assistant-on-developer-productivity-and-experience-in-the-enterprise" TargetMode="External" /><Relationship Type="http://schemas.openxmlformats.org/officeDocument/2006/relationships/hyperlink" Id="rId36" Target="https://www.microsoft.com/en-us/research/?p=1092930" TargetMode="External" /><Relationship Type="http://schemas.openxmlformats.org/officeDocument/2006/relationships/hyperlink" Id="rId34" Target="https://www.microsoft.com/en-us/research/publication/the-impact-of-ai-on-developer-productivity-evidence-from-github-copilot/" TargetMode="External" /><Relationship Type="http://schemas.openxmlformats.org/officeDocument/2006/relationships/hyperlink" Id="rId32" Target="https://www.nature.com/articles/s41562-024-01959-9" TargetMode="External" /><Relationship Type="http://schemas.openxmlformats.org/officeDocument/2006/relationships/hyperlink" Id="rId25" Target="https://www.researchgate.net/publication/234797243_Distributed_Cognition_Toward_a_New_Foundation_for_Human-Computer_Interaction_Research" TargetMode="External" /><Relationship Type="http://schemas.openxmlformats.org/officeDocument/2006/relationships/hyperlink" Id="rId28" Target="https://www.researchgate.net/publication/242326530_Analyzing_distributed_cognition_in_software_teams_A_case_study_of_team_programming_during_perfective_software_maintenance" TargetMode="External" /><Relationship Type="http://schemas.openxmlformats.org/officeDocument/2006/relationships/hyperlink" Id="rId35" Target="https://www.researchgate.net/publication/393686050_Measuring_the_Impact_of_Early-2025_AI_on_Experienced_Open-Source_Developer_Productivity" TargetMode="External" /><Relationship Type="http://schemas.openxmlformats.org/officeDocument/2006/relationships/hyperlink" Id="rId41" Target="https://www.researchgate.net/publication/395806676_Developer_Productivity_With_and_Without_GitHub_Copilot_A_Longitudinal_Mixed-Methods_Case_Study" TargetMode="External" /><Relationship Type="http://schemas.openxmlformats.org/officeDocument/2006/relationships/hyperlink" Id="rId23" Target="https://www.researchgate.net/publication/6786940_Understanding_emergency_medical_dispatch_in_terms_of_distributed_cognition_A_case_study" TargetMode="External" /><Relationship Type="http://schemas.openxmlformats.org/officeDocument/2006/relationships/hyperlink" Id="rId31" Target="https://www.teachinganthropology.org/ojs/index.php/teach_anth/article/view/778" TargetMode="External" /></Relationships>
</file>

<file path=word/_rels/footnotes.xml.rels><?xml version="1.0" encoding="UTF-8"?><Relationships xmlns="http://schemas.openxmlformats.org/package/2006/relationships"><Relationship Type="http://schemas.openxmlformats.org/officeDocument/2006/relationships/hyperlink" Id="rId24" Target="https://discovery.ucl.ac.uk/5117/" TargetMode="External" /><Relationship Type="http://schemas.openxmlformats.org/officeDocument/2006/relationships/hyperlink" Id="rId44" Target="https://journals.sagepub.com/doi/10.1177/1555343413495547" TargetMode="External" /><Relationship Type="http://schemas.openxmlformats.org/officeDocument/2006/relationships/hyperlink" Id="rId37" Target="https://link.springer.com/article/10.1007/s10664-024-10540-x" TargetMode="External" /><Relationship Type="http://schemas.openxmlformats.org/officeDocument/2006/relationships/hyperlink" Id="rId22" Target="https://link.springer.com/article/10.1007/s13347-026-01034-3" TargetMode="External" /><Relationship Type="http://schemas.openxmlformats.org/officeDocument/2006/relationships/hyperlink" Id="rId21" Target="https://mitpress.mit.edu/9780262082310/cognition-in-the-wild/" TargetMode="External" /><Relationship Type="http://schemas.openxmlformats.org/officeDocument/2006/relationships/hyperlink" Id="rId27" Target="https://pubmed.ncbi.nlm.nih.gov/17368112/" TargetMode="External" /><Relationship Type="http://schemas.openxmlformats.org/officeDocument/2006/relationships/hyperlink" Id="rId39" Target="https://pubmed.ncbi.nlm.nih.gov/30192716/" TargetMode="External" /><Relationship Type="http://schemas.openxmlformats.org/officeDocument/2006/relationships/hyperlink" Id="rId30" Target="https://pubmed.ncbi.nlm.nih.gov/36092977/" TargetMode="External" /><Relationship Type="http://schemas.openxmlformats.org/officeDocument/2006/relationships/hyperlink" Id="rId40" Target="https://pubsonline.informs.org/doi/abs/10.1287/mnsc.2025.00535" TargetMode="External" /><Relationship Type="http://schemas.openxmlformats.org/officeDocument/2006/relationships/hyperlink" Id="rId38" Target="https://research.ibm.com/publications/examining-the-use-and-impact-of-an-ai-code-assistant-on-developer-productivity-and-experience-in-the-enterprise" TargetMode="External" /><Relationship Type="http://schemas.openxmlformats.org/officeDocument/2006/relationships/hyperlink" Id="rId36" Target="https://www.microsoft.com/en-us/research/?p=1092930" TargetMode="External" /><Relationship Type="http://schemas.openxmlformats.org/officeDocument/2006/relationships/hyperlink" Id="rId34" Target="https://www.microsoft.com/en-us/research/publication/the-impact-of-ai-on-developer-productivity-evidence-from-github-copilot/" TargetMode="External" /><Relationship Type="http://schemas.openxmlformats.org/officeDocument/2006/relationships/hyperlink" Id="rId32" Target="https://www.nature.com/articles/s41562-024-01959-9" TargetMode="External" /><Relationship Type="http://schemas.openxmlformats.org/officeDocument/2006/relationships/hyperlink" Id="rId25" Target="https://www.researchgate.net/publication/234797243_Distributed_Cognition_Toward_a_New_Foundation_for_Human-Computer_Interaction_Research" TargetMode="External" /><Relationship Type="http://schemas.openxmlformats.org/officeDocument/2006/relationships/hyperlink" Id="rId28" Target="https://www.researchgate.net/publication/242326530_Analyzing_distributed_cognition_in_software_teams_A_case_study_of_team_programming_during_perfective_software_maintenance" TargetMode="External" /><Relationship Type="http://schemas.openxmlformats.org/officeDocument/2006/relationships/hyperlink" Id="rId35" Target="https://www.researchgate.net/publication/393686050_Measuring_the_Impact_of_Early-2025_AI_on_Experienced_Open-Source_Developer_Productivity" TargetMode="External" /><Relationship Type="http://schemas.openxmlformats.org/officeDocument/2006/relationships/hyperlink" Id="rId41" Target="https://www.researchgate.net/publication/395806676_Developer_Productivity_With_and_Without_GitHub_Copilot_A_Longitudinal_Mixed-Methods_Case_Study" TargetMode="External" /><Relationship Type="http://schemas.openxmlformats.org/officeDocument/2006/relationships/hyperlink" Id="rId23" Target="https://www.researchgate.net/publication/6786940_Understanding_emergency_medical_dispatch_in_terms_of_distributed_cognition_A_case_study" TargetMode="External" /><Relationship Type="http://schemas.openxmlformats.org/officeDocument/2006/relationships/hyperlink" Id="rId31" Target="https://www.teachinganthropology.org/ojs/index.php/teach_anth/article/view/7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2026-05-01T18:58:34Z</dcterms:created>
  <dcterms:modified xsi:type="dcterms:W3CDTF">2026-05-01T18:58:34Z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