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memory-mourning-and-digital-remains"/>
    <w:p>
      <w:pPr>
        <w:pStyle w:val="Heading1"/>
      </w:pPr>
      <w:r>
        <w:t xml:space="preserve">Memory, Mourning, and Digital Remains</w:t>
      </w:r>
    </w:p>
    <w:bookmarkStart w:id="21" w:name="scope-and-quality-conditions"/>
    <w:p>
      <w:pPr>
        <w:pStyle w:val="Heading2"/>
      </w:pPr>
      <w:r>
        <w:t xml:space="preserve">Scope and quality conditions</w:t>
      </w:r>
    </w:p>
    <w:p>
      <w:pPr>
        <w:pStyle w:val="FirstParagraph"/>
      </w:pPr>
      <w:r>
        <w:t xml:space="preserve">This scan applies the review conditions implicit in your brief: primary-source priority wherever possible; a post-2015 emphasis except where older works are foundational; separation of conceptual, qualitative, survey, review, and clinical-treatment evidence; explicit inclusion of skeptical bereavement-care voices alongside design-ethics arguments; attention to legal and commercial infrastructure, not just user experience; and a standing test for every claim about AI-mediated grief against the established grief traditions of continuing bonds, biographical reconstruction, and meaning reconstruction.</w:t>
      </w:r>
    </w:p>
    <w:bookmarkEnd w:id="21"/>
    <w:bookmarkStart w:id="33" w:name="tradition-map"/>
    <w:p>
      <w:pPr>
        <w:pStyle w:val="Heading2"/>
      </w:pPr>
      <w:r>
        <w:t xml:space="preserve">Tradition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w:t>
            </w:r>
          </w:p>
        </w:tc>
        <w:tc>
          <w:tcPr/>
          <w:p>
            <w:pPr>
              <w:pStyle w:val="Compact"/>
            </w:pPr>
            <w:r>
              <w:t xml:space="preserve">What it contributes to this topic</w:t>
            </w:r>
          </w:p>
        </w:tc>
      </w:tr>
      <w:tr>
        <w:tc>
          <w:tcPr/>
          <w:p>
            <w:pPr>
              <w:pStyle w:val="Compact"/>
            </w:pPr>
            <w:r>
              <w:rPr>
                <w:b/>
                <w:bCs/>
              </w:rPr>
              <w:t xml:space="preserve">Continuing bonds</w:t>
            </w:r>
            <w:r>
              <w:t xml:space="preserve"> </w:t>
            </w:r>
            <w:r>
              <w:t xml:space="preserve">— Dennis Klass</w:t>
            </w:r>
            <w:hyperlink r:id="rId22">
              <w:r>
                <w:rPr>
                  <w:rStyle w:val="Hyperlink"/>
                </w:rPr>
                <w:t xml:space="preserve">[1]</w:t>
              </w:r>
            </w:hyperlink>
            <w:r>
              <w:t xml:space="preserve">, Phyllis R. Silverman</w:t>
            </w:r>
            <w:hyperlink r:id="rId23">
              <w:r>
                <w:rPr>
                  <w:rStyle w:val="Hyperlink"/>
                </w:rPr>
                <w:t xml:space="preserve">[2]</w:t>
              </w:r>
            </w:hyperlink>
            <w:r>
              <w:t xml:space="preserve">, and Steven L. Nickman</w:t>
            </w:r>
            <w:hyperlink r:id="rId22">
              <w:r>
                <w:rPr>
                  <w:rStyle w:val="Hyperlink"/>
                </w:rPr>
                <w:t xml:space="preserve">[3]</w:t>
              </w:r>
            </w:hyperlink>
          </w:p>
        </w:tc>
        <w:tc>
          <w:tcPr/>
          <w:p>
            <w:pPr>
              <w:pStyle w:val="Compact"/>
            </w:pPr>
            <w:r>
              <w:t xml:space="preserve">The foundational claim is that grief is not well understood as simple detachment from the dead. Their 1996 volume argued that ongoing bonds are common and not inherently pathological; later review work shows these bonds take many forms and are not straightforwardly “good” or “bad” in the abstract. Digital-bonds research extends this lineage into memorial pages, posting practices, and online collective reminiscence.</w:t>
            </w:r>
            <w:r>
              <w:t xml:space="preserve"> </w:t>
            </w:r>
            <w:hyperlink r:id="rId24">
              <w:r>
                <w:rPr>
                  <w:rStyle w:val="Hyperlink"/>
                </w:rPr>
                <w:t xml:space="preserve">[4]</w:t>
              </w:r>
            </w:hyperlink>
          </w:p>
        </w:tc>
      </w:tr>
      <w:tr>
        <w:tc>
          <w:tcPr/>
          <w:p>
            <w:pPr>
              <w:pStyle w:val="Compact"/>
            </w:pPr>
            <w:r>
              <w:rPr>
                <w:b/>
                <w:bCs/>
              </w:rPr>
              <w:t xml:space="preserve">Biographical reconstruction and public mourning</w:t>
            </w:r>
            <w:r>
              <w:t xml:space="preserve"> </w:t>
            </w:r>
            <w:r>
              <w:t xml:space="preserve">— Tony Walter</w:t>
            </w:r>
            <w:hyperlink r:id="rId25">
              <w:r>
                <w:rPr>
                  <w:rStyle w:val="Hyperlink"/>
                </w:rPr>
                <w:t xml:space="preserve">[5]</w:t>
              </w:r>
            </w:hyperlink>
          </w:p>
        </w:tc>
        <w:tc>
          <w:tcPr/>
          <w:p>
            <w:pPr>
              <w:pStyle w:val="Compact"/>
            </w:pPr>
            <w:r>
              <w:t xml:space="preserve">Walter’s classic “bereavement and biography” model reframed mourning as the social construction of a durable biography of the deceased, rather than emotional “letting go.” His later digital work argued that communication media shape the social presence of the dead and that internet practices reshape grief, memorialization, and continuing bonds. This is the clearest bridge from classical grief sociology into digital mourning.</w:t>
            </w:r>
            <w:r>
              <w:t xml:space="preserve"> </w:t>
            </w:r>
            <w:hyperlink r:id="rId26">
              <w:r>
                <w:rPr>
                  <w:rStyle w:val="Hyperlink"/>
                </w:rPr>
                <w:t xml:space="preserve">[6]</w:t>
              </w:r>
            </w:hyperlink>
          </w:p>
        </w:tc>
      </w:tr>
      <w:tr>
        <w:tc>
          <w:tcPr/>
          <w:p>
            <w:pPr>
              <w:pStyle w:val="Compact"/>
            </w:pPr>
            <w:r>
              <w:rPr>
                <w:b/>
                <w:bCs/>
              </w:rPr>
              <w:t xml:space="preserve">Meaning reconstruction and clinical adaptation</w:t>
            </w:r>
            <w:r>
              <w:t xml:space="preserve"> </w:t>
            </w:r>
            <w:r>
              <w:t xml:space="preserve">— Robert A. Neimeyer</w:t>
            </w:r>
            <w:hyperlink r:id="rId26">
              <w:r>
                <w:rPr>
                  <w:rStyle w:val="Hyperlink"/>
                </w:rPr>
                <w:t xml:space="preserve">[7]</w:t>
              </w:r>
            </w:hyperlink>
          </w:p>
        </w:tc>
        <w:tc>
          <w:tcPr/>
          <w:p>
            <w:pPr>
              <w:pStyle w:val="Compact"/>
            </w:pPr>
            <w:r>
              <w:t xml:space="preserve">Neimeyer’s program treats grieving as an effort to reaffirm or reconstruct a world of meaning challenged by loss. This tradition matters because it shifts evaluation away from “contact versus no contact” and toward whether an intervention helps people rebuild meaning, identity, and functioning. It also sits close to the evidence-based therapy literature on prolonged grief.</w:t>
            </w:r>
            <w:r>
              <w:t xml:space="preserve"> </w:t>
            </w:r>
            <w:hyperlink r:id="rId27">
              <w:r>
                <w:rPr>
                  <w:rStyle w:val="Hyperlink"/>
                </w:rPr>
                <w:t xml:space="preserve">[8]</w:t>
              </w:r>
            </w:hyperlink>
          </w:p>
        </w:tc>
      </w:tr>
      <w:tr>
        <w:tc>
          <w:tcPr/>
          <w:p>
            <w:pPr>
              <w:pStyle w:val="Compact"/>
            </w:pPr>
            <w:r>
              <w:rPr>
                <w:b/>
                <w:bCs/>
              </w:rPr>
              <w:t xml:space="preserve">Digital death, post-mortem data, and thanatechnology</w:t>
            </w:r>
            <w:r>
              <w:t xml:space="preserve"> </w:t>
            </w:r>
            <w:r>
              <w:t xml:space="preserve">— Carla Sofka</w:t>
            </w:r>
            <w:hyperlink r:id="rId25">
              <w:r>
                <w:rPr>
                  <w:rStyle w:val="Hyperlink"/>
                </w:rPr>
                <w:t xml:space="preserve">[9]</w:t>
              </w:r>
            </w:hyperlink>
            <w:r>
              <w:t xml:space="preserve">, Jed R. Brubaker</w:t>
            </w:r>
            <w:hyperlink r:id="rId27">
              <w:r>
                <w:rPr>
                  <w:rStyle w:val="Hyperlink"/>
                </w:rPr>
                <w:t xml:space="preserve">[10]</w:t>
              </w:r>
            </w:hyperlink>
            <w:r>
              <w:t xml:space="preserve">, Selina Ellis Gray</w:t>
            </w:r>
            <w:hyperlink r:id="rId24">
              <w:r>
                <w:rPr>
                  <w:rStyle w:val="Hyperlink"/>
                </w:rPr>
                <w:t xml:space="preserve">[11]</w:t>
              </w:r>
            </w:hyperlink>
            <w:r>
              <w:t xml:space="preserve">, James Meese</w:t>
            </w:r>
            <w:hyperlink r:id="rId24">
              <w:r>
                <w:rPr>
                  <w:rStyle w:val="Hyperlink"/>
                </w:rPr>
                <w:t xml:space="preserve">[12]</w:t>
              </w:r>
            </w:hyperlink>
            <w:r>
              <w:t xml:space="preserve">, and Edina Harbinja</w:t>
            </w:r>
            <w:hyperlink r:id="rId28">
              <w:r>
                <w:rPr>
                  <w:rStyle w:val="Hyperlink"/>
                </w:rPr>
                <w:t xml:space="preserve">[13]</w:t>
              </w:r>
            </w:hyperlink>
          </w:p>
        </w:tc>
        <w:tc>
          <w:tcPr/>
          <w:p>
            <w:pPr>
              <w:pStyle w:val="Compact"/>
            </w:pPr>
            <w:r>
              <w:t xml:space="preserve">This line of work studies how the dead persist as data, profiles, archives, and socially meaningful traces. Sofka’s thanatechnology concept named the broad technological field; Ellis Gray’s work foregrounded visible digital presences and design for loss; Brubaker showed that post-mortem profiles act as both archive and gathering place; Meese framed digital media as extending posthumous personhood; Harbinja developed the legal and privacy side of post-mortem data.</w:t>
            </w:r>
            <w:r>
              <w:t xml:space="preserve"> </w:t>
            </w:r>
            <w:hyperlink r:id="rId29">
              <w:r>
                <w:rPr>
                  <w:rStyle w:val="Hyperlink"/>
                </w:rPr>
                <w:t xml:space="preserve">[14]</w:t>
              </w:r>
            </w:hyperlink>
          </w:p>
        </w:tc>
      </w:tr>
      <w:tr>
        <w:tc>
          <w:tcPr/>
          <w:p>
            <w:pPr>
              <w:pStyle w:val="Compact"/>
            </w:pPr>
            <w:r>
              <w:rPr>
                <w:b/>
                <w:bCs/>
              </w:rPr>
              <w:t xml:space="preserve">AI-mediated mourning and design ethics</w:t>
            </w:r>
            <w:r>
              <w:t xml:space="preserve"> </w:t>
            </w:r>
            <w:r>
              <w:t xml:space="preserve">— Tomasz Hollanek</w:t>
            </w:r>
            <w:hyperlink r:id="rId30">
              <w:r>
                <w:rPr>
                  <w:rStyle w:val="Hyperlink"/>
                </w:rPr>
                <w:t xml:space="preserve">[15]</w:t>
              </w:r>
            </w:hyperlink>
            <w:r>
              <w:t xml:space="preserve"> </w:t>
            </w:r>
            <w:r>
              <w:t xml:space="preserve">and Katarzyna Nowaczyk-Basińska</w:t>
            </w:r>
            <w:hyperlink r:id="rId31">
              <w:r>
                <w:rPr>
                  <w:rStyle w:val="Hyperlink"/>
                </w:rPr>
                <w:t xml:space="preserve">[16]</w:t>
              </w:r>
            </w:hyperlink>
          </w:p>
        </w:tc>
        <w:tc>
          <w:tcPr/>
          <w:p>
            <w:pPr>
              <w:pStyle w:val="Compact"/>
            </w:pPr>
            <w:r>
              <w:t xml:space="preserve">The recent literature moves from static remains to interactive simulation. It includes work on deathbots, griefbots, thanabots, voice memorials, and VR/immersive mourning; recent design-ethics work converges on consent, transparency, adult-only access, and retirement or sunset procedures. The field is analytically rich but empirically thin.</w:t>
            </w:r>
            <w:r>
              <w:t xml:space="preserve"> </w:t>
            </w:r>
            <w:hyperlink r:id="rId32">
              <w:r>
                <w:rPr>
                  <w:rStyle w:val="Hyperlink"/>
                </w:rPr>
                <w:t xml:space="preserve">[17]</w:t>
              </w:r>
            </w:hyperlink>
          </w:p>
        </w:tc>
      </w:tr>
      <w:tr>
        <w:tc>
          <w:tcPr/>
          <w:p>
            <w:pPr>
              <w:pStyle w:val="Compact"/>
            </w:pPr>
            <w:r>
              <w:rPr>
                <w:b/>
                <w:bCs/>
              </w:rPr>
              <w:t xml:space="preserve">Narrative identity and personhood ethics</w:t>
            </w:r>
            <w:r>
              <w:t xml:space="preserve"> </w:t>
            </w:r>
            <w:r>
              <w:t xml:space="preserve">— Hilde Lindemann</w:t>
            </w:r>
            <w:hyperlink r:id="rId24">
              <w:r>
                <w:rPr>
                  <w:rStyle w:val="Hyperlink"/>
                </w:rPr>
                <w:t xml:space="preserve">[18]</w:t>
              </w:r>
            </w:hyperlink>
            <w:r>
              <w:t xml:space="preserve"> </w:t>
            </w:r>
            <w:r>
              <w:t xml:space="preserve">and Patrick Stokes</w:t>
            </w:r>
            <w:hyperlink r:id="rId24">
              <w:r>
                <w:rPr>
                  <w:rStyle w:val="Hyperlink"/>
                </w:rPr>
                <w:t xml:space="preserve">[19]</w:t>
              </w:r>
            </w:hyperlink>
          </w:p>
        </w:tc>
        <w:tc>
          <w:tcPr/>
          <w:p>
            <w:pPr>
              <w:pStyle w:val="Compact"/>
            </w:pPr>
            <w:r>
              <w:t xml:space="preserve">Lindemann’s account of identity as socially sustained “narrative tissue” gives a strong ethical lens for mourning technologies: the question becomes whether a system helps people hold the dead truthfully in story or instead overwrites them. Stokes supplies the complementary digital-remains argument: deletion can be a “second death,” while more immersive avatarization risks replacing remembrance with simulation.</w:t>
            </w:r>
            <w:r>
              <w:t xml:space="preserve"> </w:t>
            </w:r>
            <w:hyperlink r:id="rId23">
              <w:r>
                <w:rPr>
                  <w:rStyle w:val="Hyperlink"/>
                </w:rPr>
                <w:t xml:space="preserve">[20]</w:t>
              </w:r>
            </w:hyperlink>
          </w:p>
        </w:tc>
      </w:tr>
    </w:tbl>
    <w:bookmarkEnd w:id="33"/>
    <w:bookmarkStart w:id="36" w:name="X40901d7045b7e6eef8ab49a7709e5117f03d692"/>
    <w:p>
      <w:pPr>
        <w:pStyle w:val="Heading2"/>
      </w:pPr>
      <w:r>
        <w:t xml:space="preserve">What the scan shows about digital remains and AI-mediated mourning</w:t>
      </w:r>
    </w:p>
    <w:p>
      <w:pPr>
        <w:pStyle w:val="FirstParagraph"/>
      </w:pPr>
      <w:r>
        <w:t xml:space="preserve">The deepest point of continuity across grief theory is that healthy mourning is usually not best understood as severing ties with the dead. Continuing-bonds theory rejected detachment-only models; Walter recast mourning as collaborative biographical work; and Neimeyer treated grief as rebuilding meaning after a world-shattering loss. Taken together, those traditions imply that the benchmark for any mourning technology is not whether it prolongs contact, but whether it supports reality-based relational reorganization, narrative coherence, and renewed functioning. That is a stricter standard than “people like using it.”</w:t>
      </w:r>
      <w:r>
        <w:t xml:space="preserve"> </w:t>
      </w:r>
      <w:hyperlink r:id="rId24">
        <w:r>
          <w:rPr>
            <w:rStyle w:val="Hyperlink"/>
          </w:rPr>
          <w:t xml:space="preserve">[21]</w:t>
        </w:r>
      </w:hyperlink>
    </w:p>
    <w:p>
      <w:pPr>
        <w:pStyle w:val="BodyText"/>
      </w:pPr>
      <w:r>
        <w:t xml:space="preserve">The digital-remains literature shows what happens when the dead remain infrastructurally present. Internet-era death studies argue that communication technologies condition the social presence of the dead; post-mortem profiles and archives become both records of a life and gathering places for survivors; and digital traces can carry continuing ethical significance because they help preserve the dead in the moral world of the living. User-centered privacy work now adds a strong governance result: people generally expect their in-life privacy and impression-management choices to remain respected after death, a view captured by the “continuity principle” of digital remains. At the same time, a parallel literature on necro-technologies warns that the industry promise of digital permanence sits on fragile commercial and material infrastructures.</w:t>
      </w:r>
      <w:r>
        <w:t xml:space="preserve"> </w:t>
      </w:r>
      <w:hyperlink r:id="rId34">
        <w:r>
          <w:rPr>
            <w:rStyle w:val="Hyperlink"/>
          </w:rPr>
          <w:t xml:space="preserve">[22]</w:t>
        </w:r>
      </w:hyperlink>
    </w:p>
    <w:p>
      <w:pPr>
        <w:pStyle w:val="BodyText"/>
      </w:pPr>
      <w:r>
        <w:t xml:space="preserve">AI-mediated mourning intensifies this whole field by changing the status of the trace. Earlier digital memorialization preserved data; newer systems transform data into apparent dialogue or agency. A widely cited ethical framework for the digital afterlife industry already described a progression from digital remains as estate or memory toward digital remains as communication and artificial agent. Recent platform analyses show the practical significance of that progression: some services are largely archival and retrieval-based, while others are generative and improvisational, reanimating the past through language models. This is where the literature becomes clearest: the more a system moves from archive to open-ended simulation, the more acute the ethical and clinical questions become.</w:t>
      </w:r>
      <w:r>
        <w:t xml:space="preserve"> </w:t>
      </w:r>
      <w:hyperlink r:id="rId35">
        <w:r>
          <w:rPr>
            <w:rStyle w:val="Hyperlink"/>
          </w:rPr>
          <w:t xml:space="preserve">[23]</w:t>
        </w:r>
      </w:hyperlink>
    </w:p>
    <w:p>
      <w:pPr>
        <w:pStyle w:val="BodyText"/>
      </w:pPr>
      <w:r>
        <w:t xml:space="preserve">The strongest recent conceptual papers converge on a narrow but important claim. A thanabot may support continuing bonds; it is not, however, a genuine continuation of the prior human relationship. One philosophical analysis argues that thanabot relationships cannot plausibly count as true continuations of relationships with deceased loved ones, even if they can generate some instrumental benefits in particular cases. A recent cultural-psychology paper similarly centers the illusion of reality, autonomy, individualization of bereavement, and therapeutic ambiguity. Another platform study argues that deathbot services can commodify remembrance by turning memory into affective, consumer-facing interaction.</w:t>
      </w:r>
      <w:r>
        <w:t xml:space="preserve"> </w:t>
      </w:r>
      <w:hyperlink r:id="rId22">
        <w:r>
          <w:rPr>
            <w:rStyle w:val="Hyperlink"/>
          </w:rPr>
          <w:t xml:space="preserve">[24]</w:t>
        </w:r>
      </w:hyperlink>
    </w:p>
    <w:bookmarkEnd w:id="36"/>
    <w:bookmarkStart w:id="41" w:name="evidence-inventory"/>
    <w:p>
      <w:pPr>
        <w:pStyle w:val="Heading2"/>
      </w:pPr>
      <w:r>
        <w:t xml:space="preserve">Evidence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Best current answer</w:t>
            </w:r>
          </w:p>
        </w:tc>
        <w:tc>
          <w:tcPr/>
          <w:p>
            <w:pPr>
              <w:pStyle w:val="Compact"/>
            </w:pPr>
            <w:r>
              <w:t xml:space="preserve">Evidence status</w:t>
            </w:r>
          </w:p>
        </w:tc>
      </w:tr>
      <w:tr>
        <w:tc>
          <w:tcPr/>
          <w:p>
            <w:pPr>
              <w:pStyle w:val="Compact"/>
            </w:pPr>
            <w:r>
              <w:t xml:space="preserve">Are continuing bonds abnormal or inherently pathological?</w:t>
            </w:r>
          </w:p>
        </w:tc>
        <w:tc>
          <w:tcPr/>
          <w:p>
            <w:pPr>
              <w:pStyle w:val="Compact"/>
            </w:pPr>
            <w:r>
              <w:t xml:space="preserve">No. Contemporary grief theory treats them as ordinary and often important, but the review literature does</w:t>
            </w:r>
            <w:r>
              <w:t xml:space="preserve"> </w:t>
            </w:r>
            <w:r>
              <w:rPr>
                <w:b/>
                <w:bCs/>
              </w:rPr>
              <w:t xml:space="preserve">not</w:t>
            </w:r>
            <w:r>
              <w:t xml:space="preserve"> </w:t>
            </w:r>
            <w:r>
              <w:t xml:space="preserve">support a simple rule that more continuing-bond activity is always better.</w:t>
            </w:r>
            <w:r>
              <w:t xml:space="preserve"> </w:t>
            </w:r>
            <w:hyperlink r:id="rId24">
              <w:r>
                <w:rPr>
                  <w:rStyle w:val="Hyperlink"/>
                </w:rPr>
                <w:t xml:space="preserve">[25]</w:t>
              </w:r>
            </w:hyperlink>
          </w:p>
        </w:tc>
        <w:tc>
          <w:tcPr/>
          <w:p>
            <w:pPr>
              <w:pStyle w:val="Compact"/>
            </w:pPr>
            <w:r>
              <w:t xml:space="preserve">Strong theoretical tradition; mixed empirical evidence; weak causal clarity.</w:t>
            </w:r>
          </w:p>
        </w:tc>
      </w:tr>
      <w:tr>
        <w:tc>
          <w:tcPr/>
          <w:p>
            <w:pPr>
              <w:pStyle w:val="Compact"/>
            </w:pPr>
            <w:r>
              <w:t xml:space="preserve">What does digital mourning on social media actually do?</w:t>
            </w:r>
          </w:p>
        </w:tc>
        <w:tc>
          <w:tcPr/>
          <w:p>
            <w:pPr>
              <w:pStyle w:val="Compact"/>
            </w:pPr>
            <w:r>
              <w:t xml:space="preserve">It often enables witnessing, collective reminiscence, and maintenance or transformation of connection; people may also learn new things about the deceased through shared memories.</w:t>
            </w:r>
            <w:r>
              <w:t xml:space="preserve"> </w:t>
            </w:r>
            <w:hyperlink r:id="rId37">
              <w:r>
                <w:rPr>
                  <w:rStyle w:val="Hyperlink"/>
                </w:rPr>
                <w:t xml:space="preserve">[26]</w:t>
              </w:r>
            </w:hyperlink>
          </w:p>
        </w:tc>
        <w:tc>
          <w:tcPr/>
          <w:p>
            <w:pPr>
              <w:pStyle w:val="Compact"/>
            </w:pPr>
            <w:r>
              <w:t xml:space="preserve">Moderate qualitative evidence; mostly platform-specific and nonexperimental.</w:t>
            </w:r>
          </w:p>
        </w:tc>
      </w:tr>
      <w:tr>
        <w:tc>
          <w:tcPr/>
          <w:p>
            <w:pPr>
              <w:pStyle w:val="Compact"/>
            </w:pPr>
            <w:r>
              <w:t xml:space="preserve">Do non-AI digital bereavement supports help?</w:t>
            </w:r>
          </w:p>
        </w:tc>
        <w:tc>
          <w:tcPr/>
          <w:p>
            <w:pPr>
              <w:pStyle w:val="Compact"/>
            </w:pPr>
            <w:r>
              <w:t xml:space="preserve">Probably sometimes, especially when they provide accessible support, peer connection, or structured intervention. But harms appear in unmoderated spaces, including insensitive comments and variable quality of support.</w:t>
            </w:r>
            <w:r>
              <w:t xml:space="preserve"> </w:t>
            </w:r>
            <w:hyperlink r:id="rId38">
              <w:r>
                <w:rPr>
                  <w:rStyle w:val="Hyperlink"/>
                </w:rPr>
                <w:t xml:space="preserve">[27]</w:t>
              </w:r>
            </w:hyperlink>
          </w:p>
        </w:tc>
        <w:tc>
          <w:tcPr/>
          <w:p>
            <w:pPr>
              <w:pStyle w:val="Compact"/>
            </w:pPr>
            <w:r>
              <w:t xml:space="preserve">Moderate review evidence for online support broadly; almost none for “AI of the deceased” specifically.</w:t>
            </w:r>
          </w:p>
        </w:tc>
      </w:tr>
      <w:tr>
        <w:tc>
          <w:tcPr/>
          <w:p>
            <w:pPr>
              <w:pStyle w:val="Compact"/>
            </w:pPr>
            <w:r>
              <w:t xml:space="preserve">Do digital remains need privacy and governance protection?</w:t>
            </w:r>
          </w:p>
        </w:tc>
        <w:tc>
          <w:tcPr/>
          <w:p>
            <w:pPr>
              <w:pStyle w:val="Compact"/>
            </w:pPr>
            <w:r>
              <w:t xml:space="preserve">Yes. Conceptual and legal work treats digital traces as ethically weighty, and user studies suggest strong expectations that ante-mortem privacy choices should persist after death.</w:t>
            </w:r>
            <w:r>
              <w:t xml:space="preserve"> </w:t>
            </w:r>
            <w:hyperlink r:id="rId39">
              <w:r>
                <w:rPr>
                  <w:rStyle w:val="Hyperlink"/>
                </w:rPr>
                <w:t xml:space="preserve">[28]</w:t>
              </w:r>
            </w:hyperlink>
          </w:p>
        </w:tc>
        <w:tc>
          <w:tcPr/>
          <w:p>
            <w:pPr>
              <w:pStyle w:val="Compact"/>
            </w:pPr>
            <w:r>
              <w:t xml:space="preserve">Strong conceptual/legal case; some user-survey and focus-group support; jurisdictionally uneven.</w:t>
            </w:r>
          </w:p>
        </w:tc>
      </w:tr>
      <w:tr>
        <w:tc>
          <w:tcPr/>
          <w:p>
            <w:pPr>
              <w:pStyle w:val="Compact"/>
            </w:pPr>
            <w:r>
              <w:t xml:space="preserve">Do deathbots preserve the prior relationship?</w:t>
            </w:r>
          </w:p>
        </w:tc>
        <w:tc>
          <w:tcPr/>
          <w:p>
            <w:pPr>
              <w:pStyle w:val="Compact"/>
            </w:pPr>
            <w:r>
              <w:t xml:space="preserve">The best current philosophical answer is no in the literal sense. They may support continuing bonds and provide instrumental benefits for some users, but they do not continue the original interpersonal relationship.</w:t>
            </w:r>
            <w:r>
              <w:t xml:space="preserve"> </w:t>
            </w:r>
            <w:hyperlink r:id="rId22">
              <w:r>
                <w:rPr>
                  <w:rStyle w:val="Hyperlink"/>
                </w:rPr>
                <w:t xml:space="preserve">[29]</w:t>
              </w:r>
            </w:hyperlink>
          </w:p>
        </w:tc>
        <w:tc>
          <w:tcPr/>
          <w:p>
            <w:pPr>
              <w:pStyle w:val="Compact"/>
            </w:pPr>
            <w:r>
              <w:t xml:space="preserve">Strong conceptual analysis; almost no long-term outcomes evidence.</w:t>
            </w:r>
          </w:p>
        </w:tc>
      </w:tr>
      <w:tr>
        <w:tc>
          <w:tcPr/>
          <w:p>
            <w:pPr>
              <w:pStyle w:val="Compact"/>
            </w:pPr>
            <w:r>
              <w:t xml:space="preserve">Is there direct empirical evidence on AI-mediated mourning?</w:t>
            </w:r>
          </w:p>
        </w:tc>
        <w:tc>
          <w:tcPr/>
          <w:p>
            <w:pPr>
              <w:pStyle w:val="Compact"/>
            </w:pPr>
            <w:r>
              <w:t xml:space="preserve">Only a small early base. A 2025 survey of 129 bereaved family members found adoption shaped by performance expectancy, effort expectancy, social influence, ethical concern, and grief perception; clinician surveys show much more ambivalence in concrete cases than in the abstract.</w:t>
            </w:r>
            <w:r>
              <w:t xml:space="preserve"> </w:t>
            </w:r>
            <w:hyperlink r:id="rId40">
              <w:r>
                <w:rPr>
                  <w:rStyle w:val="Hyperlink"/>
                </w:rPr>
                <w:t xml:space="preserve">[30]</w:t>
              </w:r>
            </w:hyperlink>
          </w:p>
        </w:tc>
        <w:tc>
          <w:tcPr/>
          <w:p>
            <w:pPr>
              <w:pStyle w:val="Compact"/>
            </w:pPr>
            <w:r>
              <w:t xml:space="preserve">Weak-to-moderate; mostly attitudinal and cross-sectional; no RCT-level evidence of benefit or harm.</w:t>
            </w:r>
          </w:p>
        </w:tc>
      </w:tr>
      <w:tr>
        <w:tc>
          <w:tcPr/>
          <w:p>
            <w:pPr>
              <w:pStyle w:val="Compact"/>
            </w:pPr>
            <w:r>
              <w:t xml:space="preserve">What does the clinical literature back most strongly?</w:t>
            </w:r>
          </w:p>
        </w:tc>
        <w:tc>
          <w:tcPr/>
          <w:p>
            <w:pPr>
              <w:pStyle w:val="Compact"/>
            </w:pPr>
            <w:r>
              <w:t xml:space="preserve">The strongest support still goes to human-centered care: grief-focused psychotherapy for prolonged grief, support groups, peer support, ritual, and social connection.</w:t>
            </w:r>
            <w:r>
              <w:t xml:space="preserve"> </w:t>
            </w:r>
            <w:hyperlink r:id="rId25">
              <w:r>
                <w:rPr>
                  <w:rStyle w:val="Hyperlink"/>
                </w:rPr>
                <w:t xml:space="preserve">[31]</w:t>
              </w:r>
            </w:hyperlink>
          </w:p>
        </w:tc>
        <w:tc>
          <w:tcPr/>
          <w:p>
            <w:pPr>
              <w:pStyle w:val="Compact"/>
            </w:pPr>
            <w:r>
              <w:t xml:space="preserve">Stronger than the AI evidence by a wide margin.</w:t>
            </w:r>
          </w:p>
        </w:tc>
      </w:tr>
      <w:tr>
        <w:tc>
          <w:tcPr/>
          <w:p>
            <w:pPr>
              <w:pStyle w:val="Compact"/>
            </w:pPr>
            <w:r>
              <w:t xml:space="preserve">What is the main risk pattern in current AI-afterlife critique?</w:t>
            </w:r>
          </w:p>
        </w:tc>
        <w:tc>
          <w:tcPr/>
          <w:p>
            <w:pPr>
              <w:pStyle w:val="Compact"/>
            </w:pPr>
            <w:r>
              <w:t xml:space="preserve">Commodification of remembrance, replacement of biography with simulation, pressure toward individual and privatized grief management, and false framing of grief as a technical problem to be solved.</w:t>
            </w:r>
            <w:r>
              <w:t xml:space="preserve"> </w:t>
            </w:r>
            <w:hyperlink r:id="rId30">
              <w:r>
                <w:rPr>
                  <w:rStyle w:val="Hyperlink"/>
                </w:rPr>
                <w:t xml:space="preserve">[32]</w:t>
              </w:r>
            </w:hyperlink>
          </w:p>
        </w:tc>
        <w:tc>
          <w:tcPr/>
          <w:p>
            <w:pPr>
              <w:pStyle w:val="Compact"/>
            </w:pPr>
            <w:r>
              <w:t xml:space="preserve">Strong critical-theory and design-ethics argument; limited longitudinal behavioral data.</w:t>
            </w:r>
          </w:p>
        </w:tc>
      </w:tr>
    </w:tbl>
    <w:bookmarkEnd w:id="41"/>
    <w:bookmarkStart w:id="42" w:name="clinical-and-ethical-fault-lines"/>
    <w:p>
      <w:pPr>
        <w:pStyle w:val="Heading2"/>
      </w:pPr>
      <w:r>
        <w:t xml:space="preserve">Clinical and ethical fault lines</w:t>
      </w:r>
    </w:p>
    <w:p>
      <w:pPr>
        <w:pStyle w:val="FirstParagraph"/>
      </w:pPr>
      <w:r>
        <w:t xml:space="preserve">The clinical picture is conservative for good reason. Mainstream mental-health guidance sharply distinguishes ordinary grief from prolonged grief disorder, emphasizes that most bereaved people do not need formal treatment, and points those who do toward evidence-based psychotherapy, peer support, and social connection rather than untested AI systems. The state-of-the-science review for prolonged grief treatment highlights cognitive-behavioral and grief-focused approaches, and the Columbia prolonged-grief center presents a time-limited treatment model with a defined evidence base. Broader public-health guidance from American Psychiatric Association</w:t>
      </w:r>
      <w:hyperlink r:id="rId23">
        <w:r>
          <w:rPr>
            <w:rStyle w:val="Hyperlink"/>
          </w:rPr>
          <w:t xml:space="preserve">[33]</w:t>
        </w:r>
      </w:hyperlink>
      <w:r>
        <w:t xml:space="preserve"> </w:t>
      </w:r>
      <w:r>
        <w:t xml:space="preserve">and Substance Abuse and Mental Health Services Administration</w:t>
      </w:r>
      <w:hyperlink r:id="rId24">
        <w:r>
          <w:rPr>
            <w:rStyle w:val="Hyperlink"/>
          </w:rPr>
          <w:t xml:space="preserve">[34]</w:t>
        </w:r>
      </w:hyperlink>
      <w:r>
        <w:t xml:space="preserve"> </w:t>
      </w:r>
      <w:r>
        <w:t xml:space="preserve">still centers diagnosis, functioning, human support, ritual, and referral.</w:t>
      </w:r>
      <w:r>
        <w:t xml:space="preserve"> </w:t>
      </w:r>
      <w:hyperlink r:id="rId25">
        <w:r>
          <w:rPr>
            <w:rStyle w:val="Hyperlink"/>
          </w:rPr>
          <w:t xml:space="preserve">[31]</w:t>
        </w:r>
      </w:hyperlink>
    </w:p>
    <w:p>
      <w:pPr>
        <w:pStyle w:val="BodyText"/>
      </w:pPr>
      <w:r>
        <w:t xml:space="preserve">Professional skepticism about AI is therefore not mere cultural lag. It tracks a real evidence imbalance. A 2026 survey of psychiatrists reported widespread concern about insufficient AI training, strong support for evidence-based standards, privacy protections, age restrictions, and FDA-style oversight, while stressing that human connection remains central to care. In the UK, the British Association for Counselling and Psychotherapy</w:t>
      </w:r>
      <w:hyperlink r:id="rId25">
        <w:r>
          <w:rPr>
            <w:rStyle w:val="Hyperlink"/>
          </w:rPr>
          <w:t xml:space="preserve">[35]</w:t>
        </w:r>
      </w:hyperlink>
      <w:r>
        <w:t xml:space="preserve"> </w:t>
      </w:r>
      <w:r>
        <w:t xml:space="preserve">reported that only 18% of the public would feel comfortable talking to an AI chatbot about their mental health, versus 60% who would feel comfortable talking to a therapist. Those are not bereavement-specific numbers, but they are a useful proxy for the current professional and public baseline against which griefbots would have to justify themselves.</w:t>
      </w:r>
      <w:r>
        <w:t xml:space="preserve"> </w:t>
      </w:r>
      <w:hyperlink r:id="rId31">
        <w:r>
          <w:rPr>
            <w:rStyle w:val="Hyperlink"/>
          </w:rPr>
          <w:t xml:space="preserve">[36]</w:t>
        </w:r>
      </w:hyperlink>
    </w:p>
    <w:p>
      <w:pPr>
        <w:pStyle w:val="BodyText"/>
      </w:pPr>
      <w:r>
        <w:t xml:space="preserve">The ethical literature, meanwhile, is increasingly precise. By extension from Hilde Lindemann</w:t>
      </w:r>
      <w:hyperlink r:id="rId24">
        <w:r>
          <w:rPr>
            <w:rStyle w:val="Hyperlink"/>
          </w:rPr>
          <w:t xml:space="preserve">[18]</w:t>
        </w:r>
      </w:hyperlink>
      <w:r>
        <w:t xml:space="preserve">, if personal identity is held in a socially sustained web of stories, then a grief technology is ethically better when it helps mourners work with that narrative tissue and worse when it substitutes a compelling but synthetic stand-in that reshapes the story without accountability. This pairs naturally with the work of Patrick Stokes</w:t>
      </w:r>
      <w:hyperlink r:id="rId24">
        <w:r>
          <w:rPr>
            <w:rStyle w:val="Hyperlink"/>
          </w:rPr>
          <w:t xml:space="preserve">[19]</w:t>
        </w:r>
      </w:hyperlink>
      <w:r>
        <w:t xml:space="preserve"> </w:t>
      </w:r>
      <w:r>
        <w:t xml:space="preserve">and Meese: digital remains may deserve preservation because they matter for remembrance and posthumous personhood, but preservation is not the same thing as simulation. A memorialized trace can function as a “memory prosthetic”; an interactive avatar risks becoming a replacement object.</w:t>
      </w:r>
      <w:r>
        <w:t xml:space="preserve"> </w:t>
      </w:r>
      <w:hyperlink r:id="rId23">
        <w:r>
          <w:rPr>
            <w:rStyle w:val="Hyperlink"/>
          </w:rPr>
          <w:t xml:space="preserve">[37]</w:t>
        </w:r>
      </w:hyperlink>
    </w:p>
    <w:p>
      <w:pPr>
        <w:pStyle w:val="BodyText"/>
      </w:pPr>
      <w:r>
        <w:t xml:space="preserve">Recent design ethics sharpens those distinctions into concrete guardrails. The Hollanek–Nowaczyk-Basińska paper recommends mutual consent from both data donor and user, meaningful transparency, adult-only access, and sensitive retirement procedures for deadbots; it also warns against disrespectful uses such as advertising through the simulated dead. A parallel strand of work argues that griefbots can generate illusions of reality, threaten user autonomy, and individualize grief. Recent platform and discourse analyses add a structural concern: AI grief services often frame grief as a solvable technical problem and memory as a commercially optimized interaction loop. That is the core ethical fault line in the field.</w:t>
      </w:r>
      <w:r>
        <w:t xml:space="preserve"> </w:t>
      </w:r>
      <w:hyperlink r:id="rId32">
        <w:r>
          <w:rPr>
            <w:rStyle w:val="Hyperlink"/>
          </w:rPr>
          <w:t xml:space="preserve">[38]</w:t>
        </w:r>
      </w:hyperlink>
    </w:p>
    <w:bookmarkEnd w:id="42"/>
    <w:bookmarkStart w:id="43" w:name="research-program"/>
    <w:p>
      <w:pPr>
        <w:pStyle w:val="Heading2"/>
      </w:pPr>
      <w:r>
        <w:t xml:space="preserve">Research program</w:t>
      </w:r>
    </w:p>
    <w:p>
      <w:pPr>
        <w:pStyle w:val="FirstParagraph"/>
      </w:pPr>
      <w:r>
        <w:rPr>
          <w:b/>
          <w:bCs/>
        </w:rPr>
        <w:t xml:space="preserve">Good versions of AI-mediated grief</w:t>
      </w:r>
      <w:r>
        <w:t xml:space="preserve"> </w:t>
      </w:r>
      <w:r>
        <w:t xml:space="preserve">would be archival-first, bounded, transparent, consensual, and subordinate to the mourner’s larger human ecology. They would help users revisit memories, organize stories, ask limited biographical questions, prepare goodbye or anniversary rituals, or support family reminiscence without pretending that the deceased has literally returned. They would be explicit about synthetic generation, easy to pause or retire, privacy-preserving, culturally adaptable, and connected to human care pathways when grief becomes disabling. That model fits best with continuing bonds, Walter’s biographical reconstruction, Neimeyer’s meaning reconstruction, and the recent design-ethics recommendations on transparency, consent, adult-only use, and retirement.</w:t>
      </w:r>
      <w:r>
        <w:t xml:space="preserve"> </w:t>
      </w:r>
      <w:hyperlink r:id="rId24">
        <w:r>
          <w:rPr>
            <w:rStyle w:val="Hyperlink"/>
          </w:rPr>
          <w:t xml:space="preserve">[39]</w:t>
        </w:r>
      </w:hyperlink>
    </w:p>
    <w:p>
      <w:pPr>
        <w:pStyle w:val="BodyText"/>
      </w:pPr>
      <w:r>
        <w:rPr>
          <w:b/>
          <w:bCs/>
        </w:rPr>
        <w:t xml:space="preserve">Bad versions</w:t>
      </w:r>
      <w:r>
        <w:t xml:space="preserve"> </w:t>
      </w:r>
      <w:r>
        <w:t xml:space="preserve">would market themselves as cures, substitutes, or “better” ongoing relationships with the dead. They would encourage open-ended dependency, target children or highly vulnerable users without strong safeguards, monetize interaction through advertising or data extraction, ignore the deceased person’s prior wishes, make the simulation hard to shut down, and exploit the asymmetry between human grief and machine responsiveness. They would also rest on a false psychology: that grief is fundamentally a contact deficit rather than a process of memory, meaning, and life reorganization. The recent critique of AI grief services as technical band-aids or cures names this danger directly.</w:t>
      </w:r>
      <w:r>
        <w:t xml:space="preserve"> </w:t>
      </w:r>
      <w:hyperlink r:id="rId30">
        <w:r>
          <w:rPr>
            <w:rStyle w:val="Hyperlink"/>
          </w:rPr>
          <w:t xml:space="preserve">[40]</w:t>
        </w:r>
      </w:hyperlink>
    </w:p>
    <w:p>
      <w:pPr>
        <w:pStyle w:val="BodyText"/>
      </w:pPr>
      <w:r>
        <w:rPr>
          <w:b/>
          <w:bCs/>
        </w:rPr>
        <w:t xml:space="preserve">The empirical work needed to distinguish the two</w:t>
      </w:r>
      <w:r>
        <w:t xml:space="preserve"> </w:t>
      </w:r>
      <w:r>
        <w:t xml:space="preserve">is now quite clear. The field needs longitudinal, mixed-method comparison of at least three modalities: static archives; human-moderated digital reminiscence systems; and fully generative simulators of the deceased. Outcomes should include not only grief symptoms but also meaning reconstruction, identity disruption, daily functioning, loneliness, social withdrawal, family conflict, compulsive use, false-belief endorsement, privacy regret, and perceived dignity of the deceased. Adverse-event monitoring has to be built in. Children and recently bereaved users should be treated as high-risk populations rather than default markets. Right now, the literature itself admits that robust empirical evidence on the net benefits and harms of thanabot relationships does not yet exist.</w:t>
      </w:r>
      <w:r>
        <w:t xml:space="preserve"> </w:t>
      </w:r>
      <w:hyperlink r:id="rId22">
        <w:r>
          <w:rPr>
            <w:rStyle w:val="Hyperlink"/>
          </w:rPr>
          <w:t xml:space="preserve">[41]</w:t>
        </w:r>
      </w:hyperlink>
    </w:p>
    <w:p>
      <w:pPr>
        <w:pStyle w:val="BodyText"/>
      </w:pPr>
      <w:r>
        <w:rPr>
          <w:b/>
          <w:bCs/>
        </w:rPr>
        <w:t xml:space="preserve">The ethical and governance work needed to distinguish the two</w:t>
      </w:r>
      <w:r>
        <w:t xml:space="preserve"> </w:t>
      </w:r>
      <w:r>
        <w:t xml:space="preserve">is equally important. The open questions are not only clinical but constitutional for the whole field: who may authorize a model of the dead; whose interests prevail when family wishes conflict with the deceased person’s prior privacy practices; whether there should be fiduciary duties or licensing for digital-afterlife providers; what age-gating and marketing restrictions are appropriate; when a deadbot should sunset; and what trustworthy professional oversight would look like. Nowaczyk-Basińska’s proposal for “digital afterlife leaders” is useful here because it treats the problem not as a gadget problem but as a professionalization problem involving legal, ethical, psychological, technical, and educational competence.</w:t>
      </w:r>
      <w:r>
        <w:t xml:space="preserve"> </w:t>
      </w:r>
      <w:hyperlink r:id="rId28">
        <w:r>
          <w:rPr>
            <w:rStyle w:val="Hyperlink"/>
          </w:rPr>
          <w:t xml:space="preserve">[42]</w:t>
        </w:r>
      </w:hyperlink>
    </w:p>
    <w:p>
      <w:pPr>
        <w:pStyle w:val="BodyText"/>
      </w:pPr>
      <w:r>
        <w:t xml:space="preserve">The shortest synthesis is this: grief research already allows that bonds continue, stories continue, and meaning-making continues. The crucial question is therefore not whether AI can continue a bond. It is whether a given system helps survivors remember, narrate, and re-enter life — or whether it monetizes longing by simulating impossible reciprocity. On the present evidence, the first possibility remains plausible in carefully bounded cases; the second is the more visible risk in the current market and discourse.</w:t>
      </w:r>
      <w:r>
        <w:t xml:space="preserve"> </w:t>
      </w:r>
      <w:hyperlink r:id="rId24">
        <w:r>
          <w:rPr>
            <w:rStyle w:val="Hyperlink"/>
          </w:rPr>
          <w:t xml:space="preserve">[43]</w:t>
        </w:r>
      </w:hyperlink>
    </w:p>
    <w:bookmarkEnd w:id="43"/>
    <w:bookmarkStart w:id="44" w:name="open-questions-and-limitations"/>
    <w:p>
      <w:pPr>
        <w:pStyle w:val="Heading2"/>
      </w:pPr>
      <w:r>
        <w:t xml:space="preserve">Open questions and limitations</w:t>
      </w:r>
    </w:p>
    <w:p>
      <w:pPr>
        <w:pStyle w:val="FirstParagraph"/>
      </w:pPr>
      <w:r>
        <w:t xml:space="preserve">The biggest limitation in the current literature is that AI-mediated mourning has outrun outcome research. The field has excellent conceptual work, useful platform analyses, a small number of user-acceptance and clinician-attitude studies, and virtually no high-quality longitudinal or interventional evidence showing when interaction with simulations of the dead improves grief adaptation, when it worsens it, and for whom. The strongest available clinical evidence still concerns non-AI grief treatment and support.</w:t>
      </w:r>
      <w:r>
        <w:t xml:space="preserve"> </w:t>
      </w:r>
      <w:hyperlink r:id="rId22">
        <w:r>
          <w:rPr>
            <w:rStyle w:val="Hyperlink"/>
          </w:rPr>
          <w:t xml:space="preserve">[44]</w:t>
        </w:r>
      </w:hyperlink>
    </w:p>
    <w:bookmarkEnd w:id="44"/>
    <w:bookmarkEnd w:id="45"/>
    <w:bookmarkEnd w:id="46"/>
    <w:p>
      <w:r>
        <w:pict>
          <v:rect style="width:0;height:1.5pt" o:hralign="center" o:hrstd="t" o:hr="t"/>
        </w:pict>
      </w:r>
    </w:p>
    <w:bookmarkStart w:id="47" w:name="citations"/>
    <w:p>
      <w:pPr>
        <w:pStyle w:val="FirstParagraph"/>
      </w:pPr>
      <w:hyperlink r:id="rId22">
        <w:r>
          <w:rPr>
            <w:rStyle w:val="Hyperlink"/>
          </w:rPr>
          <w:t xml:space="preserve">[1]</w:t>
        </w:r>
      </w:hyperlink>
      <w:r>
        <w:t xml:space="preserve"> </w:t>
      </w:r>
      <w:hyperlink r:id="rId22">
        <w:r>
          <w:rPr>
            <w:rStyle w:val="Hyperlink"/>
          </w:rPr>
          <w:t xml:space="preserve">[3]</w:t>
        </w:r>
      </w:hyperlink>
      <w:r>
        <w:t xml:space="preserve"> </w:t>
      </w:r>
      <w:hyperlink r:id="rId22">
        <w:r>
          <w:rPr>
            <w:rStyle w:val="Hyperlink"/>
          </w:rPr>
          <w:t xml:space="preserve">[24]</w:t>
        </w:r>
      </w:hyperlink>
      <w:r>
        <w:t xml:space="preserve"> </w:t>
      </w:r>
      <w:hyperlink r:id="rId22">
        <w:r>
          <w:rPr>
            <w:rStyle w:val="Hyperlink"/>
          </w:rPr>
          <w:t xml:space="preserve">[29]</w:t>
        </w:r>
      </w:hyperlink>
      <w:r>
        <w:t xml:space="preserve"> </w:t>
      </w:r>
      <w:hyperlink r:id="rId22">
        <w:r>
          <w:rPr>
            <w:rStyle w:val="Hyperlink"/>
          </w:rPr>
          <w:t xml:space="preserve">[41]</w:t>
        </w:r>
      </w:hyperlink>
      <w:r>
        <w:t xml:space="preserve"> </w:t>
      </w:r>
      <w:hyperlink r:id="rId22">
        <w:r>
          <w:rPr>
            <w:rStyle w:val="Hyperlink"/>
          </w:rPr>
          <w:t xml:space="preserve">[44]</w:t>
        </w:r>
      </w:hyperlink>
      <w:r>
        <w:t xml:space="preserve"> </w:t>
      </w:r>
      <w:r>
        <w:t xml:space="preserve">https://www.cambridge.org/core/journals/journal-of-the-american-philosophical-association/article/can-chatbots-preserve-our-relationships-with-the-dead/39D6678681758F555A5F8C6F6F34C8D9</w:t>
      </w:r>
    </w:p>
    <w:p>
      <w:pPr>
        <w:pStyle w:val="BodyText"/>
      </w:pPr>
      <w:hyperlink r:id="rId22">
        <w:r>
          <w:rPr>
            <w:rStyle w:val="Hyperlink"/>
          </w:rPr>
          <w:t xml:space="preserve">https://www.cambridge.org/core/journals/journal-of-the-american-philosophical-association/article/can-chatbots-preserve-our-relationships-with-the-dead/39D6678681758F555A5F8C6F6F34C8D9</w:t>
        </w:r>
      </w:hyperlink>
    </w:p>
    <w:p>
      <w:pPr>
        <w:pStyle w:val="BodyText"/>
      </w:pPr>
      <w:hyperlink r:id="rId23">
        <w:r>
          <w:rPr>
            <w:rStyle w:val="Hyperlink"/>
          </w:rPr>
          <w:t xml:space="preserve">[2]</w:t>
        </w:r>
      </w:hyperlink>
      <w:r>
        <w:t xml:space="preserve"> </w:t>
      </w:r>
      <w:hyperlink r:id="rId23">
        <w:r>
          <w:rPr>
            <w:rStyle w:val="Hyperlink"/>
          </w:rPr>
          <w:t xml:space="preserve">[20]</w:t>
        </w:r>
      </w:hyperlink>
      <w:r>
        <w:t xml:space="preserve"> </w:t>
      </w:r>
      <w:hyperlink r:id="rId23">
        <w:r>
          <w:rPr>
            <w:rStyle w:val="Hyperlink"/>
          </w:rPr>
          <w:t xml:space="preserve">[33]</w:t>
        </w:r>
      </w:hyperlink>
      <w:r>
        <w:t xml:space="preserve"> </w:t>
      </w:r>
      <w:hyperlink r:id="rId23">
        <w:r>
          <w:rPr>
            <w:rStyle w:val="Hyperlink"/>
          </w:rPr>
          <w:t xml:space="preserve">[37]</w:t>
        </w:r>
      </w:hyperlink>
      <w:r>
        <w:t xml:space="preserve"> </w:t>
      </w:r>
      <w:r>
        <w:t xml:space="preserve">Hilde Lindemann, Holding and Letting Go: The Social Practice of Personal Identities - PhilPapers</w:t>
      </w:r>
    </w:p>
    <w:p>
      <w:pPr>
        <w:pStyle w:val="BodyText"/>
      </w:pPr>
      <w:hyperlink r:id="rId23">
        <w:r>
          <w:rPr>
            <w:rStyle w:val="Hyperlink"/>
          </w:rPr>
          <w:t xml:space="preserve">https://philpapers.org/rec/LINHAL</w:t>
        </w:r>
      </w:hyperlink>
    </w:p>
    <w:p>
      <w:pPr>
        <w:pStyle w:val="BodyText"/>
      </w:pPr>
      <w:hyperlink r:id="rId24">
        <w:r>
          <w:rPr>
            <w:rStyle w:val="Hyperlink"/>
          </w:rPr>
          <w:t xml:space="preserve">[4]</w:t>
        </w:r>
      </w:hyperlink>
      <w:r>
        <w:t xml:space="preserve"> </w:t>
      </w:r>
      <w:hyperlink r:id="rId24">
        <w:r>
          <w:rPr>
            <w:rStyle w:val="Hyperlink"/>
          </w:rPr>
          <w:t xml:space="preserve">[11]</w:t>
        </w:r>
      </w:hyperlink>
      <w:r>
        <w:t xml:space="preserve"> </w:t>
      </w:r>
      <w:hyperlink r:id="rId24">
        <w:r>
          <w:rPr>
            <w:rStyle w:val="Hyperlink"/>
          </w:rPr>
          <w:t xml:space="preserve">[12]</w:t>
        </w:r>
      </w:hyperlink>
      <w:r>
        <w:t xml:space="preserve"> </w:t>
      </w:r>
      <w:hyperlink r:id="rId24">
        <w:r>
          <w:rPr>
            <w:rStyle w:val="Hyperlink"/>
          </w:rPr>
          <w:t xml:space="preserve">[18]</w:t>
        </w:r>
      </w:hyperlink>
      <w:r>
        <w:t xml:space="preserve"> </w:t>
      </w:r>
      <w:hyperlink r:id="rId24">
        <w:r>
          <w:rPr>
            <w:rStyle w:val="Hyperlink"/>
          </w:rPr>
          <w:t xml:space="preserve">[19]</w:t>
        </w:r>
      </w:hyperlink>
      <w:r>
        <w:t xml:space="preserve"> </w:t>
      </w:r>
      <w:hyperlink r:id="rId24">
        <w:r>
          <w:rPr>
            <w:rStyle w:val="Hyperlink"/>
          </w:rPr>
          <w:t xml:space="preserve">[21]</w:t>
        </w:r>
      </w:hyperlink>
      <w:r>
        <w:t xml:space="preserve"> </w:t>
      </w:r>
      <w:hyperlink r:id="rId24">
        <w:r>
          <w:rPr>
            <w:rStyle w:val="Hyperlink"/>
          </w:rPr>
          <w:t xml:space="preserve">[25]</w:t>
        </w:r>
      </w:hyperlink>
      <w:r>
        <w:t xml:space="preserve"> </w:t>
      </w:r>
      <w:hyperlink r:id="rId24">
        <w:r>
          <w:rPr>
            <w:rStyle w:val="Hyperlink"/>
          </w:rPr>
          <w:t xml:space="preserve">[34]</w:t>
        </w:r>
      </w:hyperlink>
      <w:r>
        <w:t xml:space="preserve"> </w:t>
      </w:r>
      <w:hyperlink r:id="rId24">
        <w:r>
          <w:rPr>
            <w:rStyle w:val="Hyperlink"/>
          </w:rPr>
          <w:t xml:space="preserve">[39]</w:t>
        </w:r>
      </w:hyperlink>
      <w:r>
        <w:t xml:space="preserve"> </w:t>
      </w:r>
      <w:hyperlink r:id="rId24">
        <w:r>
          <w:rPr>
            <w:rStyle w:val="Hyperlink"/>
          </w:rPr>
          <w:t xml:space="preserve">[43]</w:t>
        </w:r>
      </w:hyperlink>
      <w:r>
        <w:t xml:space="preserve"> </w:t>
      </w:r>
      <w:r>
        <w:t xml:space="preserve">https://books.google.com/books/about/Continuing_Bonds.html?id=e8a7NjkzsbsC</w:t>
      </w:r>
    </w:p>
    <w:p>
      <w:pPr>
        <w:pStyle w:val="BodyText"/>
      </w:pPr>
      <w:hyperlink r:id="rId24">
        <w:r>
          <w:rPr>
            <w:rStyle w:val="Hyperlink"/>
          </w:rPr>
          <w:t xml:space="preserve">https://books.google.com/books/about/Continuing_Bonds.html?id=e8a7NjkzsbsC</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hyperlink r:id="rId25">
        <w:r>
          <w:rPr>
            <w:rStyle w:val="Hyperlink"/>
          </w:rPr>
          <w:t xml:space="preserve">[31]</w:t>
        </w:r>
      </w:hyperlink>
      <w:r>
        <w:t xml:space="preserve"> </w:t>
      </w:r>
      <w:hyperlink r:id="rId25">
        <w:r>
          <w:rPr>
            <w:rStyle w:val="Hyperlink"/>
          </w:rPr>
          <w:t xml:space="preserve">[35]</w:t>
        </w:r>
      </w:hyperlink>
      <w:r>
        <w:t xml:space="preserve"> </w:t>
      </w:r>
      <w:r>
        <w:t xml:space="preserve">https://www.sciencedirect.com/science/article/abs/pii/S0005789424001047</w:t>
      </w:r>
    </w:p>
    <w:p>
      <w:pPr>
        <w:pStyle w:val="BodyText"/>
      </w:pPr>
      <w:hyperlink r:id="rId25">
        <w:r>
          <w:rPr>
            <w:rStyle w:val="Hyperlink"/>
          </w:rPr>
          <w:t xml:space="preserve">https://www.sciencedirect.com/science/article/abs/pii/S0005789424001047</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r>
        <w:t xml:space="preserve">https://www.tandfonline.com/doi/pdf/10.1080/713685822</w:t>
      </w:r>
    </w:p>
    <w:p>
      <w:pPr>
        <w:pStyle w:val="BodyText"/>
      </w:pPr>
      <w:hyperlink r:id="rId26">
        <w:r>
          <w:rPr>
            <w:rStyle w:val="Hyperlink"/>
          </w:rPr>
          <w:t xml:space="preserve">https://www.tandfonline.com/doi/pdf/10.1080/713685822</w:t>
        </w:r>
      </w:hyperlink>
    </w:p>
    <w:p>
      <w:pPr>
        <w:pStyle w:val="BodyText"/>
      </w:pPr>
      <w:hyperlink r:id="rId27">
        <w:r>
          <w:rPr>
            <w:rStyle w:val="Hyperlink"/>
          </w:rPr>
          <w:t xml:space="preserve">[8]</w:t>
        </w:r>
      </w:hyperlink>
      <w:r>
        <w:t xml:space="preserve"> </w:t>
      </w:r>
      <w:hyperlink r:id="rId27">
        <w:r>
          <w:rPr>
            <w:rStyle w:val="Hyperlink"/>
          </w:rPr>
          <w:t xml:space="preserve">[10]</w:t>
        </w:r>
      </w:hyperlink>
      <w:r>
        <w:t xml:space="preserve"> </w:t>
      </w:r>
      <w:r>
        <w:t xml:space="preserve">https://www.cambridge.org/core/journals/behaviour-change/article/meaning-reconstruction-in-the-wake-of-loss-evolution-of-a-research-program/D381E225517EC12EC95A724DA3638591</w:t>
      </w:r>
    </w:p>
    <w:p>
      <w:pPr>
        <w:pStyle w:val="BodyText"/>
      </w:pPr>
      <w:hyperlink r:id="rId27">
        <w:r>
          <w:rPr>
            <w:rStyle w:val="Hyperlink"/>
          </w:rPr>
          <w:t xml:space="preserve">https://www.cambridge.org/core/journals/behaviour-change/article/meaning-reconstruction-in-the-wake-of-loss-evolution-of-a-research-program/D381E225517EC12EC95A724DA3638591</w:t>
        </w:r>
      </w:hyperlink>
    </w:p>
    <w:p>
      <w:pPr>
        <w:pStyle w:val="BodyText"/>
      </w:pPr>
      <w:hyperlink r:id="rId28">
        <w:r>
          <w:rPr>
            <w:rStyle w:val="Hyperlink"/>
          </w:rPr>
          <w:t xml:space="preserve">[13]</w:t>
        </w:r>
      </w:hyperlink>
      <w:r>
        <w:t xml:space="preserve"> </w:t>
      </w:r>
      <w:hyperlink r:id="rId28">
        <w:r>
          <w:rPr>
            <w:rStyle w:val="Hyperlink"/>
          </w:rPr>
          <w:t xml:space="preserve">[42]</w:t>
        </w:r>
      </w:hyperlink>
      <w:r>
        <w:t xml:space="preserve"> </w:t>
      </w:r>
      <w:r>
        <w:t xml:space="preserve">https://journals.sagepub.com/doi/10.1177/14614448221133535</w:t>
      </w:r>
    </w:p>
    <w:p>
      <w:pPr>
        <w:pStyle w:val="BodyText"/>
      </w:pPr>
      <w:hyperlink r:id="rId28">
        <w:r>
          <w:rPr>
            <w:rStyle w:val="Hyperlink"/>
          </w:rPr>
          <w:t xml:space="preserve">https://journals.sagepub.com/doi/10.1177/14614448221133535</w:t>
        </w:r>
      </w:hyperlink>
    </w:p>
    <w:p>
      <w:pPr>
        <w:pStyle w:val="BodyText"/>
      </w:pPr>
      <w:hyperlink r:id="rId29">
        <w:r>
          <w:rPr>
            <w:rStyle w:val="Hyperlink"/>
          </w:rPr>
          <w:t xml:space="preserve">[14]</w:t>
        </w:r>
      </w:hyperlink>
      <w:r>
        <w:t xml:space="preserve"> </w:t>
      </w:r>
      <w:r>
        <w:t xml:space="preserve">Digital Death and Thanatechnology: New Ways of Thinking About Data (Im)Mortality and Digital Transformation - Şehmus Biçer, Arif Yıldırım, 2022</w:t>
      </w:r>
      <w:r>
        <w:t xml:space="preserve"> </w:t>
      </w:r>
    </w:p>
    <w:p>
      <w:pPr>
        <w:pStyle w:val="BodyText"/>
      </w:pPr>
      <w:hyperlink r:id="rId29">
        <w:r>
          <w:rPr>
            <w:rStyle w:val="Hyperlink"/>
          </w:rPr>
          <w:t xml:space="preserve">https://journals.sagepub.com/doi/10.1089/omi.2021.0096</w:t>
        </w:r>
      </w:hyperlink>
    </w:p>
    <w:p>
      <w:pPr>
        <w:pStyle w:val="BodyText"/>
      </w:pPr>
      <w:hyperlink r:id="rId30">
        <w:r>
          <w:rPr>
            <w:rStyle w:val="Hyperlink"/>
          </w:rPr>
          <w:t xml:space="preserve">[15]</w:t>
        </w:r>
      </w:hyperlink>
      <w:r>
        <w:t xml:space="preserve"> </w:t>
      </w:r>
      <w:hyperlink r:id="rId30">
        <w:r>
          <w:rPr>
            <w:rStyle w:val="Hyperlink"/>
          </w:rPr>
          <w:t xml:space="preserve">[32]</w:t>
        </w:r>
      </w:hyperlink>
      <w:r>
        <w:t xml:space="preserve"> </w:t>
      </w:r>
      <w:hyperlink r:id="rId30">
        <w:r>
          <w:rPr>
            <w:rStyle w:val="Hyperlink"/>
          </w:rPr>
          <w:t xml:space="preserve">[40]</w:t>
        </w:r>
      </w:hyperlink>
      <w:r>
        <w:t xml:space="preserve"> </w:t>
      </w:r>
      <w:r>
        <w:t xml:space="preserve">https://www.cambridge.org/core/journals/memory-mind-and-media/article/synthetic-afterlives-deathbots-as-affective-infrastructures-of-memory/1D3C7E664D715A471B7BAE8AE79CC2CF</w:t>
      </w:r>
    </w:p>
    <w:p>
      <w:pPr>
        <w:pStyle w:val="BodyText"/>
      </w:pPr>
      <w:hyperlink r:id="rId30">
        <w:r>
          <w:rPr>
            <w:rStyle w:val="Hyperlink"/>
          </w:rPr>
          <w:t xml:space="preserve">https://www.cambridge.org/core/journals/memory-mind-and-media/article/synthetic-afterlives-deathbots-as-affective-infrastructures-of-memory/1D3C7E664D715A471B7BAE8AE79CC2CF</w:t>
        </w:r>
      </w:hyperlink>
    </w:p>
    <w:p>
      <w:pPr>
        <w:pStyle w:val="BodyText"/>
      </w:pPr>
      <w:hyperlink r:id="rId31">
        <w:r>
          <w:rPr>
            <w:rStyle w:val="Hyperlink"/>
          </w:rPr>
          <w:t xml:space="preserve">[16]</w:t>
        </w:r>
      </w:hyperlink>
      <w:r>
        <w:t xml:space="preserve"> </w:t>
      </w:r>
      <w:hyperlink r:id="rId31">
        <w:r>
          <w:rPr>
            <w:rStyle w:val="Hyperlink"/>
          </w:rPr>
          <w:t xml:space="preserve">[36]</w:t>
        </w:r>
      </w:hyperlink>
      <w:r>
        <w:t xml:space="preserve"> </w:t>
      </w:r>
      <w:r>
        <w:t xml:space="preserve">https://www.psychiatry.org/news-room/news-releases/survey-of-apa-members-about-ai-use-in-practice</w:t>
      </w:r>
    </w:p>
    <w:p>
      <w:pPr>
        <w:pStyle w:val="BodyText"/>
      </w:pPr>
      <w:hyperlink r:id="rId31">
        <w:r>
          <w:rPr>
            <w:rStyle w:val="Hyperlink"/>
          </w:rPr>
          <w:t xml:space="preserve">https://www.psychiatry.org/news-room/news-releases/survey-of-apa-members-about-ai-use-in-practice</w:t>
        </w:r>
      </w:hyperlink>
    </w:p>
    <w:p>
      <w:pPr>
        <w:pStyle w:val="BodyText"/>
      </w:pPr>
      <w:hyperlink r:id="rId32">
        <w:r>
          <w:rPr>
            <w:rStyle w:val="Hyperlink"/>
          </w:rPr>
          <w:t xml:space="preserve">[17]</w:t>
        </w:r>
      </w:hyperlink>
      <w:r>
        <w:t xml:space="preserve"> </w:t>
      </w:r>
      <w:hyperlink r:id="rId32">
        <w:r>
          <w:rPr>
            <w:rStyle w:val="Hyperlink"/>
          </w:rPr>
          <w:t xml:space="preserve">[38]</w:t>
        </w:r>
      </w:hyperlink>
      <w:r>
        <w:t xml:space="preserve"> </w:t>
      </w:r>
      <w:r>
        <w:t xml:space="preserve">https://link.springer.com/article/10.1007/s13347-024-00744-w</w:t>
      </w:r>
    </w:p>
    <w:p>
      <w:pPr>
        <w:pStyle w:val="BodyText"/>
      </w:pPr>
      <w:hyperlink r:id="rId32">
        <w:r>
          <w:rPr>
            <w:rStyle w:val="Hyperlink"/>
          </w:rPr>
          <w:t xml:space="preserve">https://link.springer.com/article/10.1007/s13347-024-00744-w</w:t>
        </w:r>
      </w:hyperlink>
    </w:p>
    <w:p>
      <w:pPr>
        <w:pStyle w:val="BodyText"/>
      </w:pPr>
      <w:hyperlink r:id="rId34">
        <w:r>
          <w:rPr>
            <w:rStyle w:val="Hyperlink"/>
          </w:rPr>
          <w:t xml:space="preserve">[22]</w:t>
        </w:r>
      </w:hyperlink>
      <w:r>
        <w:t xml:space="preserve"> </w:t>
      </w:r>
      <w:r>
        <w:t xml:space="preserve">https://journals.sagepub.com/doi/10.2190/OM.64.4.a</w:t>
      </w:r>
    </w:p>
    <w:p>
      <w:pPr>
        <w:pStyle w:val="BodyText"/>
      </w:pPr>
      <w:hyperlink r:id="rId34">
        <w:r>
          <w:rPr>
            <w:rStyle w:val="Hyperlink"/>
          </w:rPr>
          <w:t xml:space="preserve">https://journals.sagepub.com/doi/10.2190/OM.64.4.a</w:t>
        </w:r>
      </w:hyperlink>
    </w:p>
    <w:p>
      <w:pPr>
        <w:pStyle w:val="BodyText"/>
      </w:pPr>
      <w:hyperlink r:id="rId35">
        <w:r>
          <w:rPr>
            <w:rStyle w:val="Hyperlink"/>
          </w:rPr>
          <w:t xml:space="preserve">[23]</w:t>
        </w:r>
      </w:hyperlink>
      <w:r>
        <w:t xml:space="preserve"> </w:t>
      </w:r>
      <w:r>
        <w:t xml:space="preserve">https://ora.ox.ac.uk/objects/uuid%3Ac059841d-a702-4218-8c1b-39ff49dc6c65/files/mea9feef37e1943dd8446a4013f81d169</w:t>
      </w:r>
    </w:p>
    <w:p>
      <w:pPr>
        <w:pStyle w:val="BodyText"/>
      </w:pPr>
      <w:hyperlink r:id="rId35">
        <w:r>
          <w:rPr>
            <w:rStyle w:val="Hyperlink"/>
          </w:rPr>
          <w:t xml:space="preserve">https://ora.ox.ac.uk/objects/uuid%3Ac059841d-a702-4218-8c1b-39ff49dc6c65/files/mea9feef37e1943dd8446a4013f81d169</w:t>
        </w:r>
      </w:hyperlink>
    </w:p>
    <w:p>
      <w:pPr>
        <w:pStyle w:val="BodyText"/>
      </w:pPr>
      <w:hyperlink r:id="rId37">
        <w:r>
          <w:rPr>
            <w:rStyle w:val="Hyperlink"/>
          </w:rPr>
          <w:t xml:space="preserve">[26]</w:t>
        </w:r>
      </w:hyperlink>
      <w:r>
        <w:t xml:space="preserve"> </w:t>
      </w:r>
      <w:r>
        <w:t xml:space="preserve">https://journals.sagepub.com/doi/abs/10.1177/00302228211048672</w:t>
      </w:r>
    </w:p>
    <w:p>
      <w:pPr>
        <w:pStyle w:val="BodyText"/>
      </w:pPr>
      <w:hyperlink r:id="rId37">
        <w:r>
          <w:rPr>
            <w:rStyle w:val="Hyperlink"/>
          </w:rPr>
          <w:t xml:space="preserve">https://journals.sagepub.com/doi/abs/10.1177/00302228211048672</w:t>
        </w:r>
      </w:hyperlink>
    </w:p>
    <w:p>
      <w:pPr>
        <w:pStyle w:val="BodyText"/>
      </w:pPr>
      <w:hyperlink r:id="rId38">
        <w:r>
          <w:rPr>
            <w:rStyle w:val="Hyperlink"/>
          </w:rPr>
          <w:t xml:space="preserve">[27]</w:t>
        </w:r>
      </w:hyperlink>
      <w:r>
        <w:t xml:space="preserve"> </w:t>
      </w:r>
      <w:r>
        <w:t xml:space="preserve">https://eprints.ncl.ac.uk/307304</w:t>
      </w:r>
    </w:p>
    <w:p>
      <w:pPr>
        <w:pStyle w:val="BodyText"/>
      </w:pPr>
      <w:hyperlink r:id="rId38">
        <w:r>
          <w:rPr>
            <w:rStyle w:val="Hyperlink"/>
          </w:rPr>
          <w:t xml:space="preserve">https://eprints.ncl.ac.uk/307304</w:t>
        </w:r>
      </w:hyperlink>
    </w:p>
    <w:p>
      <w:pPr>
        <w:pStyle w:val="BodyText"/>
      </w:pPr>
      <w:hyperlink r:id="rId39">
        <w:r>
          <w:rPr>
            <w:rStyle w:val="Hyperlink"/>
          </w:rPr>
          <w:t xml:space="preserve">[28]</w:t>
        </w:r>
      </w:hyperlink>
      <w:r>
        <w:t xml:space="preserve"> </w:t>
      </w:r>
      <w:r>
        <w:t xml:space="preserve">https://philpapers.org/rec/STODAS</w:t>
      </w:r>
    </w:p>
    <w:p>
      <w:pPr>
        <w:pStyle w:val="BodyText"/>
      </w:pPr>
      <w:hyperlink r:id="rId39">
        <w:r>
          <w:rPr>
            <w:rStyle w:val="Hyperlink"/>
          </w:rPr>
          <w:t xml:space="preserve">https://philpapers.org/rec/STODAS</w:t>
        </w:r>
      </w:hyperlink>
    </w:p>
    <w:p>
      <w:pPr>
        <w:pStyle w:val="BodyText"/>
      </w:pPr>
      <w:hyperlink r:id="rId40">
        <w:r>
          <w:rPr>
            <w:rStyle w:val="Hyperlink"/>
          </w:rPr>
          <w:t xml:space="preserve">[30]</w:t>
        </w:r>
      </w:hyperlink>
      <w:r>
        <w:t xml:space="preserve"> </w:t>
      </w:r>
      <w:r>
        <w:t xml:space="preserve">Frontiers | Ethical dilemmas and the reconstruction of subjectivity in digital mourning in the age of AI: an empirical study on the acceptance intentions of bereaved family members of cancer patients</w:t>
      </w:r>
    </w:p>
    <w:p>
      <w:pPr>
        <w:pStyle w:val="BodyText"/>
      </w:pPr>
      <w:hyperlink r:id="rId40">
        <w:r>
          <w:rPr>
            <w:rStyle w:val="Hyperlink"/>
          </w:rPr>
          <w:t xml:space="preserve">https://www.frontiersin.org/journals/digital-health/articles/10.3389/fdgth.2025.1618169/full</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books.google.com/books/about/Continuing_Bonds.html?id=e8a7NjkzsbsC" TargetMode="External" /><Relationship Type="http://schemas.openxmlformats.org/officeDocument/2006/relationships/hyperlink" Id="rId38" Target="https://eprints.ncl.ac.uk/307304" TargetMode="External" /><Relationship Type="http://schemas.openxmlformats.org/officeDocument/2006/relationships/hyperlink" Id="rId29" Target="https://journals.sagepub.com/doi/10.1089/omi.2021.0096" TargetMode="External" /><Relationship Type="http://schemas.openxmlformats.org/officeDocument/2006/relationships/hyperlink" Id="rId28" Target="https://journals.sagepub.com/doi/10.1177/14614448221133535" TargetMode="External" /><Relationship Type="http://schemas.openxmlformats.org/officeDocument/2006/relationships/hyperlink" Id="rId34" Target="https://journals.sagepub.com/doi/10.2190/OM.64.4.a" TargetMode="External" /><Relationship Type="http://schemas.openxmlformats.org/officeDocument/2006/relationships/hyperlink" Id="rId37" Target="https://journals.sagepub.com/doi/abs/10.1177/00302228211048672" TargetMode="External" /><Relationship Type="http://schemas.openxmlformats.org/officeDocument/2006/relationships/hyperlink" Id="rId32" Target="https://link.springer.com/article/10.1007/s13347-024-00744-w" TargetMode="External" /><Relationship Type="http://schemas.openxmlformats.org/officeDocument/2006/relationships/hyperlink" Id="rId35" Target="https://ora.ox.ac.uk/objects/uuid%3Ac059841d-a702-4218-8c1b-39ff49dc6c65/files/mea9feef37e1943dd8446a4013f81d169" TargetMode="External" /><Relationship Type="http://schemas.openxmlformats.org/officeDocument/2006/relationships/hyperlink" Id="rId23" Target="https://philpapers.org/rec/LINHAL" TargetMode="External" /><Relationship Type="http://schemas.openxmlformats.org/officeDocument/2006/relationships/hyperlink" Id="rId39" Target="https://philpapers.org/rec/STODAS" TargetMode="External" /><Relationship Type="http://schemas.openxmlformats.org/officeDocument/2006/relationships/hyperlink" Id="rId27" Target="https://www.cambridge.org/core/journals/behaviour-change/article/meaning-reconstruction-in-the-wake-of-loss-evolution-of-a-research-program/D381E225517EC12EC95A724DA3638591" TargetMode="External" /><Relationship Type="http://schemas.openxmlformats.org/officeDocument/2006/relationships/hyperlink" Id="rId22" Target="https://www.cambridge.org/core/journals/journal-of-the-american-philosophical-association/article/can-chatbots-preserve-our-relationships-with-the-dead/39D6678681758F555A5F8C6F6F34C8D9" TargetMode="External" /><Relationship Type="http://schemas.openxmlformats.org/officeDocument/2006/relationships/hyperlink" Id="rId30" Target="https://www.cambridge.org/core/journals/memory-mind-and-media/article/synthetic-afterlives-deathbots-as-affective-infrastructures-of-memory/1D3C7E664D715A471B7BAE8AE79CC2CF" TargetMode="External" /><Relationship Type="http://schemas.openxmlformats.org/officeDocument/2006/relationships/hyperlink" Id="rId40" Target="https://www.frontiersin.org/journals/digital-health/articles/10.3389/fdgth.2025.1618169/full" TargetMode="External" /><Relationship Type="http://schemas.openxmlformats.org/officeDocument/2006/relationships/hyperlink" Id="rId31" Target="https://www.psychiatry.org/news-room/news-releases/survey-of-apa-members-about-ai-use-in-practice" TargetMode="External" /><Relationship Type="http://schemas.openxmlformats.org/officeDocument/2006/relationships/hyperlink" Id="rId25" Target="https://www.sciencedirect.com/science/article/abs/pii/S0005789424001047" TargetMode="External" /><Relationship Type="http://schemas.openxmlformats.org/officeDocument/2006/relationships/hyperlink" Id="rId26" Target="https://www.tandfonline.com/doi/pdf/10.1080/713685822" TargetMode="External" /></Relationships>
</file>

<file path=word/_rels/footnotes.xml.rels><?xml version="1.0" encoding="UTF-8"?><Relationships xmlns="http://schemas.openxmlformats.org/package/2006/relationships"><Relationship Type="http://schemas.openxmlformats.org/officeDocument/2006/relationships/hyperlink" Id="rId24" Target="https://books.google.com/books/about/Continuing_Bonds.html?id=e8a7NjkzsbsC" TargetMode="External" /><Relationship Type="http://schemas.openxmlformats.org/officeDocument/2006/relationships/hyperlink" Id="rId38" Target="https://eprints.ncl.ac.uk/307304" TargetMode="External" /><Relationship Type="http://schemas.openxmlformats.org/officeDocument/2006/relationships/hyperlink" Id="rId29" Target="https://journals.sagepub.com/doi/10.1089/omi.2021.0096" TargetMode="External" /><Relationship Type="http://schemas.openxmlformats.org/officeDocument/2006/relationships/hyperlink" Id="rId28" Target="https://journals.sagepub.com/doi/10.1177/14614448221133535" TargetMode="External" /><Relationship Type="http://schemas.openxmlformats.org/officeDocument/2006/relationships/hyperlink" Id="rId34" Target="https://journals.sagepub.com/doi/10.2190/OM.64.4.a" TargetMode="External" /><Relationship Type="http://schemas.openxmlformats.org/officeDocument/2006/relationships/hyperlink" Id="rId37" Target="https://journals.sagepub.com/doi/abs/10.1177/00302228211048672" TargetMode="External" /><Relationship Type="http://schemas.openxmlformats.org/officeDocument/2006/relationships/hyperlink" Id="rId32" Target="https://link.springer.com/article/10.1007/s13347-024-00744-w" TargetMode="External" /><Relationship Type="http://schemas.openxmlformats.org/officeDocument/2006/relationships/hyperlink" Id="rId35" Target="https://ora.ox.ac.uk/objects/uuid%3Ac059841d-a702-4218-8c1b-39ff49dc6c65/files/mea9feef37e1943dd8446a4013f81d169" TargetMode="External" /><Relationship Type="http://schemas.openxmlformats.org/officeDocument/2006/relationships/hyperlink" Id="rId23" Target="https://philpapers.org/rec/LINHAL" TargetMode="External" /><Relationship Type="http://schemas.openxmlformats.org/officeDocument/2006/relationships/hyperlink" Id="rId39" Target="https://philpapers.org/rec/STODAS" TargetMode="External" /><Relationship Type="http://schemas.openxmlformats.org/officeDocument/2006/relationships/hyperlink" Id="rId27" Target="https://www.cambridge.org/core/journals/behaviour-change/article/meaning-reconstruction-in-the-wake-of-loss-evolution-of-a-research-program/D381E225517EC12EC95A724DA3638591" TargetMode="External" /><Relationship Type="http://schemas.openxmlformats.org/officeDocument/2006/relationships/hyperlink" Id="rId22" Target="https://www.cambridge.org/core/journals/journal-of-the-american-philosophical-association/article/can-chatbots-preserve-our-relationships-with-the-dead/39D6678681758F555A5F8C6F6F34C8D9" TargetMode="External" /><Relationship Type="http://schemas.openxmlformats.org/officeDocument/2006/relationships/hyperlink" Id="rId30" Target="https://www.cambridge.org/core/journals/memory-mind-and-media/article/synthetic-afterlives-deathbots-as-affective-infrastructures-of-memory/1D3C7E664D715A471B7BAE8AE79CC2CF" TargetMode="External" /><Relationship Type="http://schemas.openxmlformats.org/officeDocument/2006/relationships/hyperlink" Id="rId40" Target="https://www.frontiersin.org/journals/digital-health/articles/10.3389/fdgth.2025.1618169/full" TargetMode="External" /><Relationship Type="http://schemas.openxmlformats.org/officeDocument/2006/relationships/hyperlink" Id="rId31" Target="https://www.psychiatry.org/news-room/news-releases/survey-of-apa-members-about-ai-use-in-practice" TargetMode="External" /><Relationship Type="http://schemas.openxmlformats.org/officeDocument/2006/relationships/hyperlink" Id="rId25" Target="https://www.sciencedirect.com/science/article/abs/pii/S0005789424001047" TargetMode="External" /><Relationship Type="http://schemas.openxmlformats.org/officeDocument/2006/relationships/hyperlink" Id="rId26" Target="https://www.tandfonline.com/doi/pdf/10.1080/7136858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2026-05-01T19:54:40Z</dcterms:created>
  <dcterms:modified xsi:type="dcterms:W3CDTF">2026-05-01T19:54:40Z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