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8EEAF" w14:textId="77777777" w:rsidR="00386FD5" w:rsidRDefault="00000000">
      <w:pPr>
        <w:pStyle w:val="Heading1"/>
      </w:pPr>
      <w:bookmarkStart w:id="0" w:name="header"/>
      <w:bookmarkStart w:id="1" w:name="Xd11470323c34f25aefd255c8d4521404678b7c9"/>
      <w:bookmarkStart w:id="2" w:name="content"/>
      <w:bookmarkEnd w:id="0"/>
      <w:r>
        <w:t>Phenomenology of Attention in Post-2010 Theory and AI-Augmented Work</w:t>
      </w:r>
    </w:p>
    <w:p w14:paraId="60999E64" w14:textId="77777777" w:rsidR="00386FD5" w:rsidRDefault="00000000">
      <w:pPr>
        <w:pStyle w:val="Heading2"/>
      </w:pPr>
      <w:bookmarkStart w:id="3" w:name="scope-and-method"/>
      <w:r>
        <w:t>Scope and method</w:t>
      </w:r>
    </w:p>
    <w:p w14:paraId="005E550C" w14:textId="77777777" w:rsidR="00386FD5" w:rsidRDefault="00000000">
      <w:pPr>
        <w:pStyle w:val="FirstParagraph"/>
      </w:pPr>
      <w:r>
        <w:t>This scan is primary-source-forward and post-2010 by design. Its main philosophical anchors are Bernard Stiegler</w:t>
      </w:r>
      <w:hyperlink r:id="rId5">
        <w:r>
          <w:rPr>
            <w:rStyle w:val="Hyperlink"/>
          </w:rPr>
          <w:t>[1]</w:t>
        </w:r>
      </w:hyperlink>
      <w:r>
        <w:t xml:space="preserve"> on psychopower, care, and tertiary retention; Yves Citton</w:t>
      </w:r>
      <w:hyperlink r:id="rId6">
        <w:r>
          <w:rPr>
            <w:rStyle w:val="Hyperlink"/>
          </w:rPr>
          <w:t>[2]</w:t>
        </w:r>
      </w:hyperlink>
      <w:r>
        <w:t xml:space="preserve"> and The Ecology of Attention</w:t>
      </w:r>
      <w:hyperlink r:id="rId7">
        <w:r>
          <w:rPr>
            <w:rStyle w:val="Hyperlink"/>
          </w:rPr>
          <w:t>[3]</w:t>
        </w:r>
      </w:hyperlink>
      <w:r>
        <w:t xml:space="preserve"> on attention ecology, collective/joint/individuating attention, and later essays on exo-attention; Mark B. N. Hansen</w:t>
      </w:r>
      <w:hyperlink r:id="rId8">
        <w:r>
          <w:rPr>
            <w:rStyle w:val="Hyperlink"/>
          </w:rPr>
          <w:t>[4]</w:t>
        </w:r>
      </w:hyperlink>
      <w:r>
        <w:t xml:space="preserve"> and Feed-Forward</w:t>
      </w:r>
      <w:hyperlink r:id="rId9">
        <w:r>
          <w:rPr>
            <w:rStyle w:val="Hyperlink"/>
          </w:rPr>
          <w:t>[5]</w:t>
        </w:r>
      </w:hyperlink>
      <w:r>
        <w:t xml:space="preserve"> on media operating outside perceptual consciousness; N. Katherine Hayles</w:t>
      </w:r>
      <w:hyperlink r:id="rId10">
        <w:r>
          <w:rPr>
            <w:rStyle w:val="Hyperlink"/>
          </w:rPr>
          <w:t>[6]</w:t>
        </w:r>
      </w:hyperlink>
      <w:r>
        <w:t xml:space="preserve"> through How We Think</w:t>
      </w:r>
      <w:hyperlink r:id="rId11">
        <w:r>
          <w:rPr>
            <w:rStyle w:val="Hyperlink"/>
          </w:rPr>
          <w:t>[7]</w:t>
        </w:r>
      </w:hyperlink>
      <w:r>
        <w:t>, Unthought</w:t>
      </w:r>
      <w:hyperlink r:id="rId12">
        <w:r>
          <w:rPr>
            <w:rStyle w:val="Hyperlink"/>
          </w:rPr>
          <w:t>[8]</w:t>
        </w:r>
      </w:hyperlink>
      <w:r>
        <w:t>, and Bacteria to AI</w:t>
      </w:r>
      <w:hyperlink r:id="rId13">
        <w:r>
          <w:rPr>
            <w:rStyle w:val="Hyperlink"/>
          </w:rPr>
          <w:t>[9]</w:t>
        </w:r>
      </w:hyperlink>
      <w:r>
        <w:t xml:space="preserve"> on deep and hyper attention, cognitive assemblages, and integrated cognition; James Williams</w:t>
      </w:r>
      <w:hyperlink r:id="rId14">
        <w:r>
          <w:rPr>
            <w:rStyle w:val="Hyperlink"/>
          </w:rPr>
          <w:t>[10]</w:t>
        </w:r>
      </w:hyperlink>
      <w:r>
        <w:t xml:space="preserve"> in Stand Out of Our Light</w:t>
      </w:r>
      <w:hyperlink r:id="rId15">
        <w:r>
          <w:rPr>
            <w:rStyle w:val="Hyperlink"/>
          </w:rPr>
          <w:t>[11]</w:t>
        </w:r>
      </w:hyperlink>
      <w:r>
        <w:t xml:space="preserve"> on freedom of attention; and Kate Crawford</w:t>
      </w:r>
      <w:hyperlink r:id="rId16">
        <w:r>
          <w:rPr>
            <w:rStyle w:val="Hyperlink"/>
          </w:rPr>
          <w:t>[12]</w:t>
        </w:r>
      </w:hyperlink>
      <w:r>
        <w:t xml:space="preserve"> in Atlas of AI</w:t>
      </w:r>
      <w:hyperlink r:id="rId17">
        <w:r>
          <w:rPr>
            <w:rStyle w:val="Hyperlink"/>
          </w:rPr>
          <w:t>[13]</w:t>
        </w:r>
      </w:hyperlink>
      <w:r>
        <w:t xml:space="preserve"> on AI as extractive infrastructure. For the empirical side, I prioritized workplace field experiments, diary studies, HCI/HAI studies, and software-engineering research on chatbots, enterprise copilots, and coding assistants. </w:t>
      </w:r>
      <w:hyperlink r:id="rId18">
        <w:r>
          <w:rPr>
            <w:rStyle w:val="Hyperlink"/>
          </w:rPr>
          <w:t>[14]</w:t>
        </w:r>
      </w:hyperlink>
    </w:p>
    <w:p w14:paraId="3DF1645B" w14:textId="77777777" w:rsidR="00386FD5" w:rsidRDefault="00000000">
      <w:pPr>
        <w:pStyle w:val="Heading2"/>
      </w:pPr>
      <w:bookmarkStart w:id="4" w:name="conceptual-framework"/>
      <w:bookmarkEnd w:id="3"/>
      <w:r>
        <w:t>Conceptual framework</w:t>
      </w:r>
    </w:p>
    <w:p w14:paraId="70A3DD56" w14:textId="77777777" w:rsidR="00386FD5" w:rsidRDefault="00000000">
      <w:pPr>
        <w:pStyle w:val="FirstParagraph"/>
      </w:pPr>
      <w:r>
        <w:t xml:space="preserve">Across this literature, attention is not treated primarily as a stock of scarce mental fuel. It is treated as an achievement of milieus, institutions, interfaces, and pedagogies: something formed, canalized, and damaged by technical systems. Stiegler explicitly links psychical and collective individuation to systems of care and education, with the formation of attention as a psychic and social faculty; Citton shifts from “attention economy” to “attention ecology,” emphasizing collective, joint, and individual levels; Hansen argues that contemporary media inflect sensation largely outside perceptual consciousness; Hayles broadens cognition beyond the conscious human subject; and Williams turns attention into a problem of freedom, agency, and ends rather than mere efficiency. </w:t>
      </w:r>
      <w:hyperlink r:id="rId19">
        <w:r>
          <w:rPr>
            <w:rStyle w:val="Hyperlink"/>
          </w:rPr>
          <w:t>[15]</w:t>
        </w:r>
      </w:hyperlink>
    </w:p>
    <w:p w14:paraId="596F1225" w14:textId="77777777" w:rsidR="00386FD5" w:rsidRDefault="00000000">
      <w:pPr>
        <w:pStyle w:val="BodyText"/>
      </w:pPr>
      <w:r>
        <w:t xml:space="preserve">A useful synthesis across these authors is the following. </w:t>
      </w:r>
      <w:r>
        <w:rPr>
          <w:b/>
          <w:bCs/>
        </w:rPr>
        <w:t>Focus</w:t>
      </w:r>
      <w:r>
        <w:t xml:space="preserve"> names narrow target selection: the aiming of awareness at a bounded object, task, or stream. </w:t>
      </w:r>
      <w:r>
        <w:rPr>
          <w:b/>
          <w:bCs/>
        </w:rPr>
        <w:t>Concentration</w:t>
      </w:r>
      <w:r>
        <w:t xml:space="preserve"> names the effortful stabilization of that focus over time, which overlaps with Hayles’s older contrast between deep and hyper attention. </w:t>
      </w:r>
      <w:r>
        <w:rPr>
          <w:b/>
          <w:bCs/>
        </w:rPr>
        <w:t>Attention</w:t>
      </w:r>
      <w:r>
        <w:t xml:space="preserve">, in the richer philosophical sense used here, names the wider field of selective orientation that makes focus and concentration possible at all: a field that is distributed across media supports, social expectations, shared situations, and embodied routines. This is not a single terminological consensus shared verbatim by all authors; it is the cleanest composite model that fits Citton’s ecological levels, Stiegler’s “formation of attention,” Hansen’s preconscious media environment, and Hayles’s distributed cognition. </w:t>
      </w:r>
      <w:hyperlink r:id="rId20">
        <w:r>
          <w:rPr>
            <w:rStyle w:val="Hyperlink"/>
          </w:rPr>
          <w:t>[16]</w:t>
        </w:r>
      </w:hyperlink>
    </w:p>
    <w:p w14:paraId="1517F07B" w14:textId="77777777" w:rsidR="00386FD5" w:rsidRDefault="00000000">
      <w:pPr>
        <w:pStyle w:val="BodyText"/>
      </w:pPr>
      <w:r>
        <w:t xml:space="preserve">Stiegler’s strongest contribution to this framework remains the pairing of </w:t>
      </w:r>
      <w:r>
        <w:rPr>
          <w:b/>
          <w:bCs/>
        </w:rPr>
        <w:t>tertiary retention</w:t>
      </w:r>
      <w:r>
        <w:t xml:space="preserve"> and </w:t>
      </w:r>
      <w:r>
        <w:rPr>
          <w:b/>
          <w:bCs/>
        </w:rPr>
        <w:t>psychopower</w:t>
      </w:r>
      <w:r>
        <w:t xml:space="preserve">. Tertiary retentions are exteriorized memory-supports and symbolic </w:t>
      </w:r>
      <w:r>
        <w:lastRenderedPageBreak/>
        <w:t xml:space="preserve">traces—“books and the web” are Stiegler’s own canonical examples—that condition psychic and collective individuation. They are not just storage devices added onto an already-complete mind; they help produce the temporal conditions of thought and transmission. Psychopower, by contrast, names the systematic industrial capture of attention through psychotechnologies, beginning with broadcast media and extending into digital networks. In Stiegler’s later restatements, psychopower destroys the very attention it industrially exploits, which is why tertiary retention is also a pharmakon: it can support attention or dissolve it, depending on the organization of the milieu. </w:t>
      </w:r>
      <w:hyperlink r:id="rId21">
        <w:r>
          <w:rPr>
            <w:rStyle w:val="Hyperlink"/>
          </w:rPr>
          <w:t>[17]</w:t>
        </w:r>
      </w:hyperlink>
    </w:p>
    <w:p w14:paraId="52716CC2" w14:textId="77777777" w:rsidR="00386FD5" w:rsidRDefault="00000000">
      <w:pPr>
        <w:pStyle w:val="BodyText"/>
      </w:pPr>
      <w:r>
        <w:t xml:space="preserve">Citton radicalizes the point by arguing that the present is marked by the </w:t>
      </w:r>
      <w:r>
        <w:rPr>
          <w:b/>
          <w:bCs/>
        </w:rPr>
        <w:t>externalization of attention</w:t>
      </w:r>
      <w:r>
        <w:t xml:space="preserve"> itself. His distinction between automatic endo-attention and creative exo-attention is especially useful for AI-era analysis: devices increasingly perform attentional tasks outside our bodies, while neoliberal work cultures demand the automation of internal attentional gestures. That is exactly the conceptual pivot needed to ask whether AI assistants offload not only recall or drafting, but the very labor of orienting, holding, and revisiting a problem. </w:t>
      </w:r>
      <w:hyperlink r:id="rId22">
        <w:r>
          <w:rPr>
            <w:rStyle w:val="Hyperlink"/>
          </w:rPr>
          <w:t>[18]</w:t>
        </w:r>
      </w:hyperlink>
    </w:p>
    <w:p w14:paraId="646632A7" w14:textId="77777777" w:rsidR="00386FD5" w:rsidRDefault="00000000">
      <w:pPr>
        <w:pStyle w:val="Heading2"/>
      </w:pPr>
      <w:bookmarkStart w:id="5" w:name="from-psychopower-to-ai-era-critique"/>
      <w:bookmarkEnd w:id="4"/>
      <w:r>
        <w:t>From psychopower to AI-era critique</w:t>
      </w:r>
    </w:p>
    <w:p w14:paraId="3FB22B40" w14:textId="77777777" w:rsidR="00386FD5" w:rsidRDefault="00000000">
      <w:pPr>
        <w:pStyle w:val="FirstParagraph"/>
      </w:pPr>
      <w:r>
        <w:t>Read genealogically, the post-2010 literature moves from older culture-industry arguments about commodified perception toward a more infrastructural account of how technical systems shape subject-formation, temporal rhythms, and the grounds of judgment. Jonathan Crary</w:t>
      </w:r>
      <w:hyperlink r:id="rId23">
        <w:r>
          <w:rPr>
            <w:rStyle w:val="Hyperlink"/>
          </w:rPr>
          <w:t>[19]</w:t>
        </w:r>
      </w:hyperlink>
      <w:r>
        <w:t>’s 24/7</w:t>
      </w:r>
      <w:hyperlink r:id="rId24">
        <w:r>
          <w:rPr>
            <w:rStyle w:val="Hyperlink"/>
          </w:rPr>
          <w:t>[20]</w:t>
        </w:r>
      </w:hyperlink>
      <w:r>
        <w:t xml:space="preserve"> is an important intermediary here: it links late capitalism’s assault on downtime and sleep to a generalized monetization of time and social relation. Stiegler then turns this into a theory of psychotechnical individuation and attention capture; Citton shifts the framing from economy to ecology; Williams reformulates the problem as a threat to freedom of attention; and current theoretical work extends the critique to AI-enhanced capture, where attentional shaping and data extraction reinforce one another. </w:t>
      </w:r>
      <w:hyperlink r:id="rId25">
        <w:r>
          <w:rPr>
            <w:rStyle w:val="Hyperlink"/>
          </w:rPr>
          <w:t>[21]</w:t>
        </w:r>
      </w:hyperlink>
    </w:p>
    <w:p w14:paraId="31321662" w14:textId="77777777" w:rsidR="00386FD5" w:rsidRDefault="00000000">
      <w:pPr>
        <w:pStyle w:val="BodyText"/>
      </w:pPr>
      <w:r>
        <w:t xml:space="preserve">Hansen’s role in this lineage is distinctive. He is less interested in distraction as such than in the microtemporal reorganization of sensibility by twenty-first-century media. His claim that contemporary media act “outside the realm of perceptual consciousness” while still inflecting sensation helps explain why attention can no longer be reduced to what a subject feels itself to be focusing on. In other words, the phenomenology of attention must now include preconscious modulation, ambient data collection, and sensor-mediated anticipation. That move is one of the strongest bridges from phenomenology to contemporary HCI and HAI research, even when the latter does not cite phenomenology explicitly. </w:t>
      </w:r>
      <w:hyperlink r:id="rId26">
        <w:r>
          <w:rPr>
            <w:rStyle w:val="Hyperlink"/>
          </w:rPr>
          <w:t>[22]</w:t>
        </w:r>
      </w:hyperlink>
    </w:p>
    <w:p w14:paraId="69918929" w14:textId="77777777" w:rsidR="00386FD5" w:rsidRDefault="00000000">
      <w:pPr>
        <w:pStyle w:val="BodyText"/>
      </w:pPr>
      <w:r>
        <w:t xml:space="preserve">Hayles, Williams, and Crawford push the critique in three complementary directions. Hayles’s later work on cognitive assemblages and integrated cognitive frameworks makes it conceptually natural to see human reasoning as distributed across humans, interfaces, and artificial systems. Williams insists that attention is the ground of practical freedom and that the attention economy exploits mere attentional susceptibility rather than the </w:t>
      </w:r>
      <w:r>
        <w:lastRenderedPageBreak/>
        <w:t xml:space="preserve">ends people actually endorse. Crawford broadens the scene from interface capture to extraction: AI is not only a system for modulating users but a planetary arrangement of data extraction, labor exploitation, surveillance, and environmental cost. Taken together, these authors move attention criticism from “how platforms distract us” to “how socio-technical systems reorganize the conditions under which thought, judgment, and freedom are even possible.” </w:t>
      </w:r>
      <w:hyperlink r:id="rId27">
        <w:r>
          <w:rPr>
            <w:rStyle w:val="Hyperlink"/>
          </w:rPr>
          <w:t>[23]</w:t>
        </w:r>
      </w:hyperlink>
    </w:p>
    <w:p w14:paraId="0F47E8C0" w14:textId="77777777" w:rsidR="00386FD5" w:rsidRDefault="00000000">
      <w:pPr>
        <w:pStyle w:val="Heading2"/>
      </w:pPr>
      <w:bookmarkStart w:id="6" w:name="X95ab0d163e7815a9ac068cb82b2895dcd8318b8"/>
      <w:bookmarkEnd w:id="5"/>
      <w:r>
        <w:t>Empirical inventory of AI-augmented knowledge work</w:t>
      </w:r>
    </w:p>
    <w:p w14:paraId="54B8D515" w14:textId="77777777" w:rsidR="00386FD5" w:rsidRDefault="00000000">
      <w:pPr>
        <w:pStyle w:val="FirstParagraph"/>
      </w:pPr>
      <w:r>
        <w:t xml:space="preserve">The empirical record is newer, narrower, and more operational than the philosophical one. Most studies do </w:t>
      </w:r>
      <w:r>
        <w:rPr>
          <w:b/>
          <w:bCs/>
        </w:rPr>
        <w:t>not</w:t>
      </w:r>
      <w:r>
        <w:t xml:space="preserve"> measure attention in the rich Stiegler-Citton sense. Instead, they measure productivity, cognitive load, trust, critical-thinking effort, common ground, verification burden, or learning. Even so, the overall pattern is striking: generative AI often speeds local task completion while reorganizing verification, stewardship, sensemaking, and the temporal organization of work. </w:t>
      </w:r>
      <w:hyperlink r:id="rId28">
        <w:r>
          <w:rPr>
            <w:rStyle w:val="Hyperlink"/>
          </w:rPr>
          <w:t>[24]</w:t>
        </w:r>
      </w:hyperlink>
    </w:p>
    <w:p w14:paraId="51D35D78" w14:textId="77777777" w:rsidR="00386FD5" w:rsidRDefault="00000000">
      <w:pPr>
        <w:numPr>
          <w:ilvl w:val="0"/>
          <w:numId w:val="2"/>
        </w:numPr>
      </w:pPr>
      <w:r>
        <w:t xml:space="preserve">A 2025 study by Lee and colleagues surveyed </w:t>
      </w:r>
      <w:r>
        <w:rPr>
          <w:b/>
          <w:bCs/>
        </w:rPr>
        <w:t>319 knowledge workers</w:t>
      </w:r>
      <w:r>
        <w:t xml:space="preserve"> who used GenAI at work at least weekly and analyzed </w:t>
      </w:r>
      <w:r>
        <w:rPr>
          <w:b/>
          <w:bCs/>
        </w:rPr>
        <w:t>936 real-world use examples</w:t>
      </w:r>
      <w:r>
        <w:t xml:space="preserve">. It found that higher confidence in AI doing the task correlated with </w:t>
      </w:r>
      <w:r>
        <w:rPr>
          <w:b/>
          <w:bCs/>
        </w:rPr>
        <w:t>less</w:t>
      </w:r>
      <w:r>
        <w:t xml:space="preserve"> self-reported critical thinking, while workers’ self-confidence and confidence in evaluating AI responses correlated with </w:t>
      </w:r>
      <w:r>
        <w:rPr>
          <w:b/>
          <w:bCs/>
        </w:rPr>
        <w:t>more</w:t>
      </w:r>
      <w:r>
        <w:t xml:space="preserve"> critical thinking. The authors’ most useful result for attention-ecology work is their three-way shift: from </w:t>
      </w:r>
      <w:r>
        <w:rPr>
          <w:b/>
          <w:bCs/>
        </w:rPr>
        <w:t>information gathering to information verification</w:t>
      </w:r>
      <w:r>
        <w:t xml:space="preserve">, from </w:t>
      </w:r>
      <w:r>
        <w:rPr>
          <w:b/>
          <w:bCs/>
        </w:rPr>
        <w:t>problem-solving to response integration</w:t>
      </w:r>
      <w:r>
        <w:t xml:space="preserve">, and from </w:t>
      </w:r>
      <w:r>
        <w:rPr>
          <w:b/>
          <w:bCs/>
        </w:rPr>
        <w:t>task execution to task stewardship</w:t>
      </w:r>
      <w:r>
        <w:t xml:space="preserve">. </w:t>
      </w:r>
      <w:hyperlink r:id="rId29">
        <w:r>
          <w:rPr>
            <w:rStyle w:val="Hyperlink"/>
          </w:rPr>
          <w:t>[25]</w:t>
        </w:r>
      </w:hyperlink>
    </w:p>
    <w:p w14:paraId="34B5B271" w14:textId="77777777" w:rsidR="00386FD5" w:rsidRDefault="00000000">
      <w:pPr>
        <w:numPr>
          <w:ilvl w:val="0"/>
          <w:numId w:val="2"/>
        </w:numPr>
      </w:pPr>
      <w:r>
        <w:t>Drosos and colleagues’ 2025 shortlisting study shows that “friction” can matter. In a between-subjects experiment (</w:t>
      </w:r>
      <w:r>
        <w:rPr>
          <w:b/>
          <w:bCs/>
        </w:rPr>
        <w:t>n = 24</w:t>
      </w:r>
      <w:r>
        <w:t xml:space="preserve">), brief provocations attached to AI suggestions increased critical and metacognitive engagement. This is one of the clearest empirical demonstrations that designs can be built to return attentional responsibility to the user rather than merely accelerate task flow. </w:t>
      </w:r>
      <w:hyperlink r:id="rId30">
        <w:r>
          <w:rPr>
            <w:rStyle w:val="Hyperlink"/>
          </w:rPr>
          <w:t>[26]</w:t>
        </w:r>
      </w:hyperlink>
    </w:p>
    <w:p w14:paraId="398B5777" w14:textId="77777777" w:rsidR="00386FD5" w:rsidRDefault="00000000">
      <w:pPr>
        <w:numPr>
          <w:ilvl w:val="0"/>
          <w:numId w:val="2"/>
        </w:numPr>
      </w:pPr>
      <w:r>
        <w:t xml:space="preserve">Baseline adoption studies already indicate how quickly LLMs became embedded in knowledge work. Brachman and colleagues’ survey of </w:t>
      </w:r>
      <w:r>
        <w:rPr>
          <w:b/>
          <w:bCs/>
        </w:rPr>
        <w:t>216 knowledge workers</w:t>
      </w:r>
      <w:r>
        <w:t xml:space="preserve"> mapped current and desired LLM use; Kobiella and colleagues’ two-week diary study with </w:t>
      </w:r>
      <w:r>
        <w:rPr>
          <w:b/>
          <w:bCs/>
        </w:rPr>
        <w:t>21 young professionals</w:t>
      </w:r>
      <w:r>
        <w:t xml:space="preserve"> found productivity gains alongside ambivalence about accomplishment and meaning; and Oh and colleagues’ 2026 withdrawal diary study with </w:t>
      </w:r>
      <w:r>
        <w:rPr>
          <w:b/>
          <w:bCs/>
        </w:rPr>
        <w:t>10 frequent users</w:t>
      </w:r>
      <w:r>
        <w:t xml:space="preserve"> found that temporary loss of LLM access disrupted workflows and revealed how infrastructural and normative LLM use had become. Taken together, these studies suggest that AI is not just a handy add-on; it is becoming part of the default attentional environment of office work. </w:t>
      </w:r>
      <w:hyperlink r:id="rId31">
        <w:r>
          <w:rPr>
            <w:rStyle w:val="Hyperlink"/>
          </w:rPr>
          <w:t>[27]</w:t>
        </w:r>
      </w:hyperlink>
    </w:p>
    <w:p w14:paraId="31A755D6" w14:textId="77777777" w:rsidR="00386FD5" w:rsidRDefault="00000000">
      <w:pPr>
        <w:numPr>
          <w:ilvl w:val="0"/>
          <w:numId w:val="2"/>
        </w:numPr>
      </w:pPr>
      <w:r>
        <w:t xml:space="preserve">Organization-level field evidence points in the same direction. Dillon, Jaffe, Immorlica, and Stanton report a six-month randomized field experiment across </w:t>
      </w:r>
      <w:r>
        <w:rPr>
          <w:b/>
          <w:bCs/>
        </w:rPr>
        <w:t>66 firms and 7,137 knowledge workers</w:t>
      </w:r>
      <w:r>
        <w:t xml:space="preserve"> in which access to integrated GenAI reduced weekly email time and moderately accelerated document work but did </w:t>
      </w:r>
      <w:r>
        <w:rPr>
          <w:b/>
          <w:bCs/>
        </w:rPr>
        <w:t>not</w:t>
      </w:r>
      <w:r>
        <w:t xml:space="preserve"> </w:t>
      </w:r>
      <w:r>
        <w:lastRenderedPageBreak/>
        <w:t xml:space="preserve">significantly reduce meeting time. Brynjolfsson and colleagues found that a conversational assistant raised productivity by about </w:t>
      </w:r>
      <w:r>
        <w:rPr>
          <w:b/>
          <w:bCs/>
        </w:rPr>
        <w:t>15%</w:t>
      </w:r>
      <w:r>
        <w:t xml:space="preserve"> for </w:t>
      </w:r>
      <w:r>
        <w:rPr>
          <w:b/>
          <w:bCs/>
        </w:rPr>
        <w:t>5,172 customer-support agents</w:t>
      </w:r>
      <w:r>
        <w:t xml:space="preserve">, with the largest gains for less experienced workers. Dell’Acqua and collaborators’ 2025 field experiment with </w:t>
      </w:r>
      <w:r>
        <w:rPr>
          <w:b/>
          <w:bCs/>
        </w:rPr>
        <w:t>776 professionals</w:t>
      </w:r>
      <w:r>
        <w:t xml:space="preserve"> found that AI could replicate some benefits of human collaboration and reduce functional silos, effectively behaving as a “cybernetic teammate.” The common lesson is that AI changes task distribution and coordination patterns before it necessarily improves deliberative quality. </w:t>
      </w:r>
      <w:hyperlink r:id="rId32">
        <w:r>
          <w:rPr>
            <w:rStyle w:val="Hyperlink"/>
          </w:rPr>
          <w:t>[28]</w:t>
        </w:r>
      </w:hyperlink>
    </w:p>
    <w:p w14:paraId="7B94B1E7" w14:textId="77777777" w:rsidR="00386FD5" w:rsidRDefault="00000000">
      <w:pPr>
        <w:numPr>
          <w:ilvl w:val="0"/>
          <w:numId w:val="2"/>
        </w:numPr>
      </w:pPr>
      <w:r>
        <w:t xml:space="preserve">Software-development studies show the same split between acceleration and attentional cost. Peng and colleagues’ GitHub Copilot experiment reported developers completing a coding task </w:t>
      </w:r>
      <w:r>
        <w:rPr>
          <w:b/>
          <w:bCs/>
        </w:rPr>
        <w:t>55.8% faster</w:t>
      </w:r>
      <w:r>
        <w:t xml:space="preserve"> with the assistant. Cui, Demirer, Jaffe, Musolff, Peng, and Salz later extended the claim with three field experiments across Microsoft, Accenture, and a Fortune 100 firm, showing productivity gains from coding assistants in ordinary work settings. These are real improvements, but they do not settle what happens to long-form understanding, codebase memory, or sustained reasoning. </w:t>
      </w:r>
      <w:hyperlink r:id="rId33">
        <w:r>
          <w:rPr>
            <w:rStyle w:val="Hyperlink"/>
          </w:rPr>
          <w:t>[29]</w:t>
        </w:r>
      </w:hyperlink>
    </w:p>
    <w:p w14:paraId="1279EFD8" w14:textId="77777777" w:rsidR="00386FD5" w:rsidRDefault="00000000">
      <w:pPr>
        <w:numPr>
          <w:ilvl w:val="0"/>
          <w:numId w:val="2"/>
        </w:numPr>
      </w:pPr>
      <w:r>
        <w:t xml:space="preserve">More recent developer research makes the trade-off visible. Sergeyuk and colleagues’ two-year telemetry study of </w:t>
      </w:r>
      <w:r>
        <w:rPr>
          <w:b/>
          <w:bCs/>
        </w:rPr>
        <w:t>800 developers</w:t>
      </w:r>
      <w:r>
        <w:t xml:space="preserve"> found that AI users produced more code </w:t>
      </w:r>
      <w:r>
        <w:rPr>
          <w:b/>
          <w:bCs/>
        </w:rPr>
        <w:t>and</w:t>
      </w:r>
      <w:r>
        <w:t xml:space="preserve"> deleted more code, alongside changes in code editing, reuse, and context switching. Fan and colleagues’ 2026 work on verification load and fatigue treats validation and repair of AI-generated code as a measurable burden. Shen and Tamkin’s 2026 randomized experiments on unfamiliar coding libraries found that heavy delegation could compromise skill formation even when it improved immediate efficiency. For attention-ecology purposes, this is crucial: AI assistance appears to offload not only recall or syntax, but some of the repeated acts of traversal, checking, and error-sensing through which expertise forms. </w:t>
      </w:r>
      <w:hyperlink r:id="rId34">
        <w:r>
          <w:rPr>
            <w:rStyle w:val="Hyperlink"/>
          </w:rPr>
          <w:t>[30]</w:t>
        </w:r>
      </w:hyperlink>
    </w:p>
    <w:p w14:paraId="6AF2EDC9" w14:textId="77777777" w:rsidR="00386FD5" w:rsidRDefault="00000000">
      <w:pPr>
        <w:numPr>
          <w:ilvl w:val="0"/>
          <w:numId w:val="2"/>
        </w:numPr>
      </w:pPr>
      <w:r>
        <w:t xml:space="preserve">Sensemaking studies show that long chatbot sessions create their own attentional overhead. Wagman and colleagues’ CHI 2025 study on science-organization workers catalogued both practical uses and perceived risks of GenAI in research settings. Yun and colleagues’ 2025 knowledge-synthesis study found that workers struggling to synthesize materials scattered across platforms wanted systems that better support informed decision-making. Emerging 2026 work on human-AI common ground argues that knowledge workers using conversational AI for sensemaking must repeatedly repair assumptions and terminology; related work on AI-assisted data analysis found the common ground shared with GenAI to be perceived as more alien and inferior than that shared with human collaborators. These are not just “UX” issues. They are the empirical face of a damaged or unstable joint attention. </w:t>
      </w:r>
      <w:hyperlink r:id="rId35">
        <w:r>
          <w:rPr>
            <w:rStyle w:val="Hyperlink"/>
          </w:rPr>
          <w:t>[31]</w:t>
        </w:r>
      </w:hyperlink>
    </w:p>
    <w:p w14:paraId="04991A54" w14:textId="77777777" w:rsidR="00386FD5" w:rsidRDefault="00000000">
      <w:pPr>
        <w:numPr>
          <w:ilvl w:val="0"/>
          <w:numId w:val="2"/>
        </w:numPr>
      </w:pPr>
      <w:r>
        <w:t xml:space="preserve">Intervention studies are already pointing toward a practical attention ecology. MetaCues, evaluated in 2026 with </w:t>
      </w:r>
      <w:r>
        <w:rPr>
          <w:b/>
          <w:bCs/>
        </w:rPr>
        <w:t>146 participants</w:t>
      </w:r>
      <w:r>
        <w:t xml:space="preserve">, added metacognitive cues and note-taking support to GenAI information seeking and improved reflective </w:t>
      </w:r>
      <w:r>
        <w:lastRenderedPageBreak/>
        <w:t xml:space="preserve">engagement. Earlier 2025 work on metacognitive prompts in generative search likewise aimed to make users pause, reflect, and compare perspectives. In coding, Flores-Saviaga and colleagues introduced </w:t>
      </w:r>
      <w:r>
        <w:rPr>
          <w:b/>
          <w:bCs/>
        </w:rPr>
        <w:t>AI timeouts</w:t>
      </w:r>
      <w:r>
        <w:t xml:space="preserve"> for visually impaired developers as a way to reduce overload. This line of research matters because it turns the philosophical demand for re-formed attention into concrete interface interventions. </w:t>
      </w:r>
      <w:hyperlink r:id="rId36">
        <w:r>
          <w:rPr>
            <w:rStyle w:val="Hyperlink"/>
          </w:rPr>
          <w:t>[32]</w:t>
        </w:r>
      </w:hyperlink>
    </w:p>
    <w:p w14:paraId="0093C7FC" w14:textId="77777777" w:rsidR="00386FD5" w:rsidRDefault="00000000">
      <w:pPr>
        <w:pStyle w:val="Heading2"/>
      </w:pPr>
      <w:bookmarkStart w:id="7" w:name="hci-bridges-and-attention-restoration"/>
      <w:bookmarkEnd w:id="6"/>
      <w:r>
        <w:t>HCI bridges and attention restoration</w:t>
      </w:r>
    </w:p>
    <w:p w14:paraId="406BBC41" w14:textId="77777777" w:rsidR="00386FD5" w:rsidRDefault="00000000">
      <w:pPr>
        <w:pStyle w:val="FirstParagraph"/>
      </w:pPr>
      <w:r>
        <w:t xml:space="preserve">The direct bridge from Stiegler-style critique to HCI remains small but real. Halpin and colleagues’ 2021 paper on Stiegler’s legacy explicitly positions his concepts for the HCI community. Martorell, Tirado, and Gálvez’s 2024 autoethnography of BeReal mobilizes psychopower to analyze how platform environments use nudges and habit formation to hold attention. Dove and colleagues’ 2025 work on civic quality-of-life systems draws on Stiegler to critique opaque platform arrangements. The weak point is not total absence of contact; it is that these bridges are still relatively conceptual, autoethnographic, or design-oriented rather than backed by long-term measurement of attention formation or decomposition in AI-rich workplaces. </w:t>
      </w:r>
      <w:hyperlink r:id="rId37">
        <w:r>
          <w:rPr>
            <w:rStyle w:val="Hyperlink"/>
          </w:rPr>
          <w:t>[33]</w:t>
        </w:r>
      </w:hyperlink>
    </w:p>
    <w:p w14:paraId="0021DBD1" w14:textId="77777777" w:rsidR="00386FD5" w:rsidRDefault="00000000">
      <w:pPr>
        <w:pStyle w:val="BodyText"/>
      </w:pPr>
      <w:r>
        <w:t xml:space="preserve">Adjacent HCI work is increasingly ecological in spirit even when it does not cite Stiegler or Citton. Research on </w:t>
      </w:r>
      <w:r>
        <w:rPr>
          <w:b/>
          <w:bCs/>
        </w:rPr>
        <w:t>digital attention heuristics</w:t>
      </w:r>
      <w:r>
        <w:t xml:space="preserve"> argues for interfaces that preserve and respect user attention by design. Work on </w:t>
      </w:r>
      <w:r>
        <w:rPr>
          <w:b/>
          <w:bCs/>
        </w:rPr>
        <w:t>Attention Nooks</w:t>
      </w:r>
      <w:r>
        <w:t xml:space="preserve"> proposes situated frictions to support intentional technology use. New work on “ecologies of attending” explicitly argues for a move beyond the attention economy toward humane sociotechnical design oriented to embeddedness and the alleviation of suffering. From a Stieglerian angle, these can be read as efforts to redesign tertiary retentions so that they scaffold attention rather than cannibalize it. </w:t>
      </w:r>
      <w:hyperlink r:id="rId38">
        <w:r>
          <w:rPr>
            <w:rStyle w:val="Hyperlink"/>
          </w:rPr>
          <w:t>[34]</w:t>
        </w:r>
      </w:hyperlink>
    </w:p>
    <w:p w14:paraId="2DFA8378" w14:textId="77777777" w:rsidR="00386FD5" w:rsidRDefault="00000000">
      <w:pPr>
        <w:pStyle w:val="BodyText"/>
      </w:pPr>
      <w:r>
        <w:t xml:space="preserve">The attention-restoration literature is much older and much more psychometric than the philosophy of attention, but it offers a useful adjacent vocabulary. Systematic reviews continue to support the core claims of Attention Restoration Theory: exposure to natural settings or even natural imagery can restore directed attention, and recent EEG work reports improved neural markers after nature walks relative to urban walks. In the AI era, the direct extensions are still sparse: studies on digital nature and VR suggest recovery benefits, and 2026 work on wearable AR breaks and headphone EEG begins to operationalize fatigue and recovery in technologically mediated environments. What is missing is the direct connection to chatbot-intensive or coding-assistant-intensive work. The restoration studies I found were about nature exposure, VR, AR, microbreaks, and fatigue sensing—not about AI-mediated verification drag, prompt fatigue, or long-dialogue attentional depletion. </w:t>
      </w:r>
      <w:hyperlink r:id="rId39">
        <w:r>
          <w:rPr>
            <w:rStyle w:val="Hyperlink"/>
          </w:rPr>
          <w:t>[35]</w:t>
        </w:r>
      </w:hyperlink>
    </w:p>
    <w:p w14:paraId="7E926251" w14:textId="77777777" w:rsidR="00386FD5" w:rsidRDefault="00000000">
      <w:pPr>
        <w:pStyle w:val="Heading2"/>
      </w:pPr>
      <w:bookmarkStart w:id="8" w:name="gap-statement"/>
      <w:bookmarkEnd w:id="7"/>
      <w:r>
        <w:t>Gap statement</w:t>
      </w:r>
    </w:p>
    <w:p w14:paraId="50D2AFD7" w14:textId="77777777" w:rsidR="00386FD5" w:rsidRDefault="00000000">
      <w:pPr>
        <w:pStyle w:val="FirstParagraph"/>
      </w:pPr>
      <w:r>
        <w:t xml:space="preserve">The central gap is conceptual-operational. Philosophy and political economy now give us a rich language for </w:t>
      </w:r>
      <w:r>
        <w:rPr>
          <w:b/>
          <w:bCs/>
        </w:rPr>
        <w:t>attention as a socio-technical achievement</w:t>
      </w:r>
      <w:r>
        <w:t xml:space="preserve">—psychopower, tertiary </w:t>
      </w:r>
      <w:r>
        <w:lastRenderedPageBreak/>
        <w:t xml:space="preserve">retention, exo-attention, common ground, cognitive assemblage—but empirical AI studies usually operationalize outcomes as speed, satisfaction, trust, or self-reported critical thinking. Those measures are important, but they are only partial proxies for what this literature actually cares about: the capacity to hold a problem over time, sustain relevance, traverse supporting traces, resist preformatted salience, and reconstruct one’s own line of thought after interruptions. </w:t>
      </w:r>
      <w:hyperlink r:id="rId40">
        <w:r>
          <w:rPr>
            <w:rStyle w:val="Hyperlink"/>
          </w:rPr>
          <w:t>[36]</w:t>
        </w:r>
      </w:hyperlink>
    </w:p>
    <w:p w14:paraId="3DB0B308" w14:textId="77777777" w:rsidR="00386FD5" w:rsidRDefault="00000000">
      <w:pPr>
        <w:pStyle w:val="BodyText"/>
      </w:pPr>
      <w:r>
        <w:t xml:space="preserve">The second gap is temporal. The strongest AI workplace studies show short-term acceleration and task redistribution, while a smaller set of diary, telemetry, and skill-formation studies show infrastructural dependence, verification costs, altered context switching, and weakened learning under heavy delegation. But there is still very little evidence on </w:t>
      </w:r>
      <w:r>
        <w:rPr>
          <w:b/>
          <w:bCs/>
        </w:rPr>
        <w:t>sustained reasoning across long sessions and long durations</w:t>
      </w:r>
      <w:r>
        <w:t xml:space="preserve">. We do not yet have robust attention-ecology studies of how many hours of chatbot dialogue restructure a worker’s ability to formulate questions, retain intermediate judgments, revisit sources, or defend a conclusion without the system present. The LLM-withdrawal diary and long-term developer telemetry are the most suggestive studies here, precisely because they begin to reveal AI as part of the background conditions of work rather than a discrete tool. </w:t>
      </w:r>
      <w:hyperlink r:id="rId41">
        <w:r>
          <w:rPr>
            <w:rStyle w:val="Hyperlink"/>
          </w:rPr>
          <w:t>[37]</w:t>
        </w:r>
      </w:hyperlink>
    </w:p>
    <w:p w14:paraId="3ED11146" w14:textId="77777777" w:rsidR="00386FD5" w:rsidRDefault="00000000">
      <w:pPr>
        <w:pStyle w:val="BodyText"/>
      </w:pPr>
      <w:r>
        <w:t xml:space="preserve">The third gap is environmental and restorative. The small but growing HCI literature on metacognitive prompts, AI timeouts, attention-preserving heuristics, situated frictions, restorative AR breaks, and fatigue sensing shows that design can modulate the ecology of attention. But these lines of work are still largely disconnected from Stiegler and Citton on one side and from attention-restoration research on the other. A next-wave study worthy of this literature would combine conversation logs, workflow telemetry, comprehension tests, diary methods, and physiological recovery markers over weeks or months; it would treat AI interaction as a sequence of </w:t>
      </w:r>
      <w:r>
        <w:rPr>
          <w:b/>
          <w:bCs/>
        </w:rPr>
        <w:t>tertiary-retention events</w:t>
      </w:r>
      <w:r>
        <w:t xml:space="preserve"> that either stabilize or erode attention; and it would test not only productivity interventions but also </w:t>
      </w:r>
      <w:r>
        <w:rPr>
          <w:b/>
          <w:bCs/>
        </w:rPr>
        <w:t>restorative</w:t>
      </w:r>
      <w:r>
        <w:t xml:space="preserve"> ones, asking whether carefully designed breaks, frictions, naturalistic media, or grounding cues can preserve the conditions for sustained reasoning in AI-augmented environments. That is the missing empirical bridge between phenomenology of attention and contemporary HAI. </w:t>
      </w:r>
      <w:hyperlink r:id="rId42">
        <w:r>
          <w:rPr>
            <w:rStyle w:val="Hyperlink"/>
          </w:rPr>
          <w:t>[38]</w:t>
        </w:r>
      </w:hyperlink>
    </w:p>
    <w:bookmarkEnd w:id="1"/>
    <w:bookmarkEnd w:id="2"/>
    <w:bookmarkEnd w:id="8"/>
    <w:p w14:paraId="75907C53" w14:textId="77777777" w:rsidR="00386FD5" w:rsidRDefault="00666D07">
      <w:r>
        <w:rPr>
          <w:noProof/>
        </w:rPr>
      </w:r>
      <w:r w:rsidR="00666D07">
        <w:rPr>
          <w:noProof/>
        </w:rPr>
        <w:pict w14:anchorId="0AC3EBC3">
          <v:rect id="_x0000_i1025" alt="" style="width:468pt;height:.05pt;mso-width-percent:0;mso-height-percent:0;mso-width-percent:0;mso-height-percent:0" o:hralign="center" o:hrstd="t" o:hr="t"/>
        </w:pict>
      </w:r>
    </w:p>
    <w:bookmarkStart w:id="9" w:name="citations"/>
    <w:p w14:paraId="42FE6A72" w14:textId="77777777" w:rsidR="00386FD5" w:rsidRDefault="00000000">
      <w:pPr>
        <w:pStyle w:val="FirstParagraph"/>
      </w:pPr>
      <w:r>
        <w:fldChar w:fldCharType="begin"/>
      </w:r>
      <w:r>
        <w:instrText>HYPERLINK "https://arsindustrialis.org/node/2922" \h</w:instrText>
      </w:r>
      <w:r>
        <w:fldChar w:fldCharType="separate"/>
      </w:r>
      <w:r>
        <w:rPr>
          <w:rStyle w:val="Hyperlink"/>
        </w:rPr>
        <w:t>[1]</w:t>
      </w:r>
      <w:r>
        <w:fldChar w:fldCharType="end"/>
      </w:r>
      <w:r>
        <w:t xml:space="preserve"> </w:t>
      </w:r>
      <w:hyperlink r:id="rId43">
        <w:r>
          <w:rPr>
            <w:rStyle w:val="Hyperlink"/>
          </w:rPr>
          <w:t>[36]</w:t>
        </w:r>
      </w:hyperlink>
      <w:r>
        <w:t xml:space="preserve"> https://arsindustrialis.org/node/2922</w:t>
      </w:r>
    </w:p>
    <w:p w14:paraId="35467FA4" w14:textId="77777777" w:rsidR="00386FD5" w:rsidRDefault="00000000">
      <w:pPr>
        <w:pStyle w:val="BodyText"/>
      </w:pPr>
      <w:hyperlink r:id="rId44">
        <w:r>
          <w:rPr>
            <w:rStyle w:val="Hyperlink"/>
          </w:rPr>
          <w:t>https://arsindustrialis.org/node/2922</w:t>
        </w:r>
      </w:hyperlink>
    </w:p>
    <w:p w14:paraId="6C9B8374" w14:textId="77777777" w:rsidR="00386FD5" w:rsidRDefault="00000000">
      <w:pPr>
        <w:pStyle w:val="BodyText"/>
      </w:pPr>
      <w:hyperlink r:id="rId45">
        <w:r>
          <w:rPr>
            <w:rStyle w:val="Hyperlink"/>
          </w:rPr>
          <w:t>[2]</w:t>
        </w:r>
      </w:hyperlink>
      <w:r>
        <w:t xml:space="preserve"> </w:t>
      </w:r>
      <w:hyperlink r:id="rId46">
        <w:r>
          <w:rPr>
            <w:rStyle w:val="Hyperlink"/>
          </w:rPr>
          <w:t>[29]</w:t>
        </w:r>
      </w:hyperlink>
      <w:r>
        <w:t xml:space="preserve"> https://arxiv.org/abs/2302.06590</w:t>
      </w:r>
    </w:p>
    <w:p w14:paraId="250EE0EB" w14:textId="77777777" w:rsidR="00386FD5" w:rsidRDefault="00000000">
      <w:pPr>
        <w:pStyle w:val="BodyText"/>
      </w:pPr>
      <w:hyperlink r:id="rId47">
        <w:r>
          <w:rPr>
            <w:rStyle w:val="Hyperlink"/>
          </w:rPr>
          <w:t>https://arxiv.org/abs/2302.06590</w:t>
        </w:r>
      </w:hyperlink>
    </w:p>
    <w:p w14:paraId="46D760E0" w14:textId="77777777" w:rsidR="00386FD5" w:rsidRDefault="00000000">
      <w:pPr>
        <w:pStyle w:val="BodyText"/>
      </w:pPr>
      <w:hyperlink r:id="rId48">
        <w:r>
          <w:rPr>
            <w:rStyle w:val="Hyperlink"/>
          </w:rPr>
          <w:t>[3]</w:t>
        </w:r>
      </w:hyperlink>
      <w:r>
        <w:t xml:space="preserve"> </w:t>
      </w:r>
      <w:hyperlink r:id="rId49">
        <w:r>
          <w:rPr>
            <w:rStyle w:val="Hyperlink"/>
          </w:rPr>
          <w:t>[33]</w:t>
        </w:r>
      </w:hyperlink>
      <w:r>
        <w:t xml:space="preserve"> https://dl.acm.org/doi/fullHtml/10.1145/3411763.3450385</w:t>
      </w:r>
    </w:p>
    <w:p w14:paraId="4FAC527B" w14:textId="77777777" w:rsidR="00386FD5" w:rsidRDefault="00000000">
      <w:pPr>
        <w:pStyle w:val="BodyText"/>
      </w:pPr>
      <w:hyperlink r:id="rId50">
        <w:r>
          <w:rPr>
            <w:rStyle w:val="Hyperlink"/>
          </w:rPr>
          <w:t>https://dl.acm.org/doi/fullHtml/10.1145/3411763.3450385</w:t>
        </w:r>
      </w:hyperlink>
    </w:p>
    <w:p w14:paraId="20E5221C" w14:textId="77777777" w:rsidR="00386FD5" w:rsidRDefault="00000000">
      <w:pPr>
        <w:pStyle w:val="BodyText"/>
      </w:pPr>
      <w:hyperlink r:id="rId51">
        <w:r>
          <w:rPr>
            <w:rStyle w:val="Hyperlink"/>
          </w:rPr>
          <w:t>[4]</w:t>
        </w:r>
      </w:hyperlink>
      <w:r>
        <w:t xml:space="preserve"> </w:t>
      </w:r>
      <w:hyperlink r:id="rId52">
        <w:r>
          <w:rPr>
            <w:rStyle w:val="Hyperlink"/>
          </w:rPr>
          <w:t>[23]</w:t>
        </w:r>
      </w:hyperlink>
      <w:r>
        <w:t xml:space="preserve"> https://read.dukeupress.edu/poetics-today/article/45/2/259/387700/Don-t-Ban-AI-from-Your-Writing-Classroom-Require</w:t>
      </w:r>
    </w:p>
    <w:p w14:paraId="115A5574" w14:textId="77777777" w:rsidR="00386FD5" w:rsidRDefault="00000000">
      <w:pPr>
        <w:pStyle w:val="BodyText"/>
      </w:pPr>
      <w:hyperlink r:id="rId53">
        <w:r>
          <w:rPr>
            <w:rStyle w:val="Hyperlink"/>
          </w:rPr>
          <w:t>https://read.dukeupress.edu/poetics-today/article/45/2/259/387700/Don-t-Ban-AI-from-Your-Writing-Classroom-Require</w:t>
        </w:r>
      </w:hyperlink>
    </w:p>
    <w:p w14:paraId="518D0F58" w14:textId="77777777" w:rsidR="00386FD5" w:rsidRDefault="00000000">
      <w:pPr>
        <w:pStyle w:val="BodyText"/>
      </w:pPr>
      <w:hyperlink r:id="rId54">
        <w:r>
          <w:rPr>
            <w:rStyle w:val="Hyperlink"/>
          </w:rPr>
          <w:t>[5]</w:t>
        </w:r>
      </w:hyperlink>
      <w:r>
        <w:t xml:space="preserve"> </w:t>
      </w:r>
      <w:hyperlink r:id="rId55">
        <w:r>
          <w:rPr>
            <w:rStyle w:val="Hyperlink"/>
          </w:rPr>
          <w:t>[28]</w:t>
        </w:r>
      </w:hyperlink>
      <w:r>
        <w:t xml:space="preserve"> https://arxiv.org/pdf/2504.11436</w:t>
      </w:r>
    </w:p>
    <w:p w14:paraId="2B927265" w14:textId="77777777" w:rsidR="00386FD5" w:rsidRDefault="00000000">
      <w:pPr>
        <w:pStyle w:val="BodyText"/>
      </w:pPr>
      <w:hyperlink r:id="rId56">
        <w:r>
          <w:rPr>
            <w:rStyle w:val="Hyperlink"/>
          </w:rPr>
          <w:t>https://arxiv.org/pdf/2504.11436</w:t>
        </w:r>
      </w:hyperlink>
    </w:p>
    <w:p w14:paraId="2C3B54D9" w14:textId="77777777" w:rsidR="00386FD5" w:rsidRDefault="00000000">
      <w:pPr>
        <w:pStyle w:val="BodyText"/>
      </w:pPr>
      <w:hyperlink r:id="rId57">
        <w:r>
          <w:rPr>
            <w:rStyle w:val="Hyperlink"/>
          </w:rPr>
          <w:t>[6]</w:t>
        </w:r>
      </w:hyperlink>
      <w:r>
        <w:t xml:space="preserve"> </w:t>
      </w:r>
      <w:hyperlink r:id="rId58">
        <w:r>
          <w:rPr>
            <w:rStyle w:val="Hyperlink"/>
          </w:rPr>
          <w:t>[21]</w:t>
        </w:r>
      </w:hyperlink>
      <w:r>
        <w:t xml:space="preserve"> https://www.versobooks.com/en-gb/products/2315-24-7?srsltid=AfmBOopGZ1W58aiATwtWfdwTHchGn6ilTp0ry6mFnkPRvTy6r6TrM4Qh</w:t>
      </w:r>
    </w:p>
    <w:p w14:paraId="7B32DF99" w14:textId="77777777" w:rsidR="00386FD5" w:rsidRDefault="00000000">
      <w:pPr>
        <w:pStyle w:val="BodyText"/>
      </w:pPr>
      <w:hyperlink r:id="rId59">
        <w:r>
          <w:rPr>
            <w:rStyle w:val="Hyperlink"/>
          </w:rPr>
          <w:t>https://www.versobooks.com/en-gb/products/2315-24-7?srsltid=AfmBOopGZ1W58aiATwtWfdwTHchGn6ilTp0ry6mFnkPRvTy6r6TrM4Qh</w:t>
        </w:r>
      </w:hyperlink>
    </w:p>
    <w:p w14:paraId="69B8D775" w14:textId="77777777" w:rsidR="00386FD5" w:rsidRDefault="00000000">
      <w:pPr>
        <w:pStyle w:val="BodyText"/>
      </w:pPr>
      <w:hyperlink r:id="rId60">
        <w:r>
          <w:rPr>
            <w:rStyle w:val="Hyperlink"/>
          </w:rPr>
          <w:t>[7]</w:t>
        </w:r>
      </w:hyperlink>
      <w:r>
        <w:t xml:space="preserve"> </w:t>
      </w:r>
      <w:hyperlink r:id="rId61">
        <w:r>
          <w:rPr>
            <w:rStyle w:val="Hyperlink"/>
          </w:rPr>
          <w:t>[13]</w:t>
        </w:r>
      </w:hyperlink>
      <w:r>
        <w:t xml:space="preserve"> </w:t>
      </w:r>
      <w:hyperlink r:id="rId62">
        <w:r>
          <w:rPr>
            <w:rStyle w:val="Hyperlink"/>
          </w:rPr>
          <w:t>[35]</w:t>
        </w:r>
      </w:hyperlink>
      <w:r>
        <w:t xml:space="preserve"> https://pubmed.ncbi.nlm.nih.gov/27668460/</w:t>
      </w:r>
    </w:p>
    <w:p w14:paraId="732E8C7A" w14:textId="77777777" w:rsidR="00386FD5" w:rsidRDefault="00000000">
      <w:pPr>
        <w:pStyle w:val="BodyText"/>
      </w:pPr>
      <w:hyperlink r:id="rId63">
        <w:r>
          <w:rPr>
            <w:rStyle w:val="Hyperlink"/>
          </w:rPr>
          <w:t>https://pubmed.ncbi.nlm.nih.gov/27668460/</w:t>
        </w:r>
      </w:hyperlink>
    </w:p>
    <w:p w14:paraId="5BD01084" w14:textId="77777777" w:rsidR="00386FD5" w:rsidRDefault="00000000">
      <w:pPr>
        <w:pStyle w:val="BodyText"/>
      </w:pPr>
      <w:hyperlink r:id="rId64">
        <w:r>
          <w:rPr>
            <w:rStyle w:val="Hyperlink"/>
          </w:rPr>
          <w:t>[8]</w:t>
        </w:r>
      </w:hyperlink>
      <w:r>
        <w:t xml:space="preserve"> </w:t>
      </w:r>
      <w:hyperlink r:id="rId65">
        <w:r>
          <w:rPr>
            <w:rStyle w:val="Hyperlink"/>
          </w:rPr>
          <w:t>[34]</w:t>
        </w:r>
      </w:hyperlink>
      <w:r>
        <w:t xml:space="preserve"> https://dl.acm.org/doi/full/10.1145/3725215</w:t>
      </w:r>
    </w:p>
    <w:p w14:paraId="58167CE1" w14:textId="77777777" w:rsidR="00386FD5" w:rsidRDefault="00000000">
      <w:pPr>
        <w:pStyle w:val="BodyText"/>
      </w:pPr>
      <w:hyperlink r:id="rId66">
        <w:r>
          <w:rPr>
            <w:rStyle w:val="Hyperlink"/>
          </w:rPr>
          <w:t>https://dl.acm.org/doi/full/10.1145/3725215</w:t>
        </w:r>
      </w:hyperlink>
    </w:p>
    <w:p w14:paraId="71C1B746" w14:textId="77777777" w:rsidR="00386FD5" w:rsidRDefault="00000000">
      <w:pPr>
        <w:pStyle w:val="BodyText"/>
      </w:pPr>
      <w:hyperlink r:id="rId67">
        <w:r>
          <w:rPr>
            <w:rStyle w:val="Hyperlink"/>
          </w:rPr>
          <w:t>[9]</w:t>
        </w:r>
      </w:hyperlink>
      <w:r>
        <w:t xml:space="preserve"> </w:t>
      </w:r>
      <w:hyperlink r:id="rId68">
        <w:r>
          <w:rPr>
            <w:rStyle w:val="Hyperlink"/>
          </w:rPr>
          <w:t>[12]</w:t>
        </w:r>
      </w:hyperlink>
      <w:r>
        <w:t xml:space="preserve"> </w:t>
      </w:r>
      <w:hyperlink r:id="rId69">
        <w:r>
          <w:rPr>
            <w:rStyle w:val="Hyperlink"/>
          </w:rPr>
          <w:t>[26]</w:t>
        </w:r>
      </w:hyperlink>
      <w:r>
        <w:t xml:space="preserve"> </w:t>
      </w:r>
      <w:hyperlink r:id="rId70">
        <w:r>
          <w:rPr>
            <w:rStyle w:val="Hyperlink"/>
          </w:rPr>
          <w:t>[38]</w:t>
        </w:r>
      </w:hyperlink>
      <w:r>
        <w:t xml:space="preserve"> https://arxiv.org/abs/2501.17247</w:t>
      </w:r>
    </w:p>
    <w:p w14:paraId="2FA0FC14" w14:textId="77777777" w:rsidR="00386FD5" w:rsidRDefault="00000000">
      <w:pPr>
        <w:pStyle w:val="BodyText"/>
      </w:pPr>
      <w:hyperlink r:id="rId71">
        <w:r>
          <w:rPr>
            <w:rStyle w:val="Hyperlink"/>
          </w:rPr>
          <w:t>https://arxiv.org/abs/2501.17247</w:t>
        </w:r>
      </w:hyperlink>
    </w:p>
    <w:p w14:paraId="4DF36AA6" w14:textId="77777777" w:rsidR="00386FD5" w:rsidRDefault="00000000">
      <w:pPr>
        <w:pStyle w:val="BodyText"/>
      </w:pPr>
      <w:hyperlink r:id="rId72">
        <w:r>
          <w:rPr>
            <w:rStyle w:val="Hyperlink"/>
          </w:rPr>
          <w:t>[10]</w:t>
        </w:r>
      </w:hyperlink>
      <w:r>
        <w:t xml:space="preserve"> </w:t>
      </w:r>
      <w:hyperlink r:id="rId73">
        <w:r>
          <w:rPr>
            <w:rStyle w:val="Hyperlink"/>
          </w:rPr>
          <w:t>[22]</w:t>
        </w:r>
      </w:hyperlink>
      <w:r>
        <w:t xml:space="preserve"> https://press.uchicago.edu/ucp/books/book/chicago/F/bo19211873.html</w:t>
      </w:r>
    </w:p>
    <w:p w14:paraId="0E4F44EA" w14:textId="77777777" w:rsidR="00386FD5" w:rsidRDefault="00000000">
      <w:pPr>
        <w:pStyle w:val="BodyText"/>
      </w:pPr>
      <w:hyperlink r:id="rId74">
        <w:r>
          <w:rPr>
            <w:rStyle w:val="Hyperlink"/>
          </w:rPr>
          <w:t>https://press.uchicago.edu/ucp/books/book/chicago/F/bo19211873.html</w:t>
        </w:r>
      </w:hyperlink>
    </w:p>
    <w:p w14:paraId="121379FC" w14:textId="77777777" w:rsidR="00386FD5" w:rsidRDefault="00000000">
      <w:pPr>
        <w:pStyle w:val="BodyText"/>
      </w:pPr>
      <w:hyperlink r:id="rId75">
        <w:r>
          <w:rPr>
            <w:rStyle w:val="Hyperlink"/>
          </w:rPr>
          <w:t>[11]</w:t>
        </w:r>
      </w:hyperlink>
      <w:r>
        <w:t xml:space="preserve"> </w:t>
      </w:r>
      <w:hyperlink r:id="rId76">
        <w:r>
          <w:rPr>
            <w:rStyle w:val="Hyperlink"/>
          </w:rPr>
          <w:t>[17]</w:t>
        </w:r>
      </w:hyperlink>
      <w:r>
        <w:t xml:space="preserve"> https://arsindustrialis.org/desire-and-knowledge-dead-seize-living</w:t>
      </w:r>
    </w:p>
    <w:p w14:paraId="103B7C23" w14:textId="77777777" w:rsidR="00386FD5" w:rsidRDefault="00000000">
      <w:pPr>
        <w:pStyle w:val="BodyText"/>
      </w:pPr>
      <w:hyperlink r:id="rId77">
        <w:r>
          <w:rPr>
            <w:rStyle w:val="Hyperlink"/>
          </w:rPr>
          <w:t>https://arsindustrialis.org/desire-and-knowledge-dead-seize-living</w:t>
        </w:r>
      </w:hyperlink>
    </w:p>
    <w:p w14:paraId="5515F80C" w14:textId="77777777" w:rsidR="00386FD5" w:rsidRDefault="00000000">
      <w:pPr>
        <w:pStyle w:val="BodyText"/>
      </w:pPr>
      <w:hyperlink r:id="rId78">
        <w:r>
          <w:rPr>
            <w:rStyle w:val="Hyperlink"/>
          </w:rPr>
          <w:t>[14]</w:t>
        </w:r>
      </w:hyperlink>
      <w:r>
        <w:t xml:space="preserve"> https://www.politybooks.com/bookdetail?book_slug=the-ecology-of-attention--9781509503728</w:t>
      </w:r>
    </w:p>
    <w:p w14:paraId="46D9BA14" w14:textId="77777777" w:rsidR="00386FD5" w:rsidRDefault="00000000">
      <w:pPr>
        <w:pStyle w:val="BodyText"/>
      </w:pPr>
      <w:hyperlink r:id="rId79">
        <w:r>
          <w:rPr>
            <w:rStyle w:val="Hyperlink"/>
          </w:rPr>
          <w:t>https://www.politybooks.com/bookdetail?book_slug=the-ecology-of-attention--9781509503728</w:t>
        </w:r>
      </w:hyperlink>
    </w:p>
    <w:p w14:paraId="29C46350" w14:textId="77777777" w:rsidR="00386FD5" w:rsidRDefault="00000000">
      <w:pPr>
        <w:pStyle w:val="BodyText"/>
      </w:pPr>
      <w:hyperlink r:id="rId80">
        <w:r>
          <w:rPr>
            <w:rStyle w:val="Hyperlink"/>
          </w:rPr>
          <w:t>[15]</w:t>
        </w:r>
      </w:hyperlink>
      <w:r>
        <w:t xml:space="preserve"> </w:t>
      </w:r>
      <w:hyperlink r:id="rId81">
        <w:r>
          <w:rPr>
            <w:rStyle w:val="Hyperlink"/>
          </w:rPr>
          <w:t>[16]</w:t>
        </w:r>
      </w:hyperlink>
      <w:r>
        <w:t xml:space="preserve"> </w:t>
      </w:r>
      <w:hyperlink r:id="rId82">
        <w:r>
          <w:rPr>
            <w:rStyle w:val="Hyperlink"/>
          </w:rPr>
          <w:t>[19]</w:t>
        </w:r>
      </w:hyperlink>
      <w:r>
        <w:t xml:space="preserve"> </w:t>
      </w:r>
      <w:hyperlink r:id="rId83">
        <w:r>
          <w:rPr>
            <w:rStyle w:val="Hyperlink"/>
          </w:rPr>
          <w:t>[20]</w:t>
        </w:r>
      </w:hyperlink>
      <w:r>
        <w:t xml:space="preserve"> https://arsindustrialis.org/node/2924</w:t>
      </w:r>
    </w:p>
    <w:p w14:paraId="6E22C9EE" w14:textId="77777777" w:rsidR="00386FD5" w:rsidRDefault="00000000">
      <w:pPr>
        <w:pStyle w:val="BodyText"/>
      </w:pPr>
      <w:hyperlink r:id="rId84">
        <w:r>
          <w:rPr>
            <w:rStyle w:val="Hyperlink"/>
          </w:rPr>
          <w:t>https://arsindustrialis.org/node/2924</w:t>
        </w:r>
      </w:hyperlink>
    </w:p>
    <w:p w14:paraId="47A98F72" w14:textId="77777777" w:rsidR="00386FD5" w:rsidRDefault="00000000">
      <w:pPr>
        <w:pStyle w:val="BodyText"/>
      </w:pPr>
      <w:hyperlink r:id="rId85">
        <w:r>
          <w:rPr>
            <w:rStyle w:val="Hyperlink"/>
          </w:rPr>
          <w:t>[18]</w:t>
        </w:r>
      </w:hyperlink>
      <w:r>
        <w:t xml:space="preserve"> https://www.yvescitton.net/wp-content/uploads/2020/08/Citton-AutomaticEndoAttention-2019.pdf</w:t>
      </w:r>
    </w:p>
    <w:p w14:paraId="4EF0D61D" w14:textId="77777777" w:rsidR="00386FD5" w:rsidRDefault="00000000">
      <w:pPr>
        <w:pStyle w:val="BodyText"/>
      </w:pPr>
      <w:hyperlink r:id="rId86">
        <w:r>
          <w:rPr>
            <w:rStyle w:val="Hyperlink"/>
          </w:rPr>
          <w:t>https://www.yvescitton.net/wp-content/uploads/2020/08/Citton-AutomaticEndoAttention-2019.pdf</w:t>
        </w:r>
      </w:hyperlink>
    </w:p>
    <w:p w14:paraId="0852FE3D" w14:textId="77777777" w:rsidR="00386FD5" w:rsidRDefault="00000000">
      <w:pPr>
        <w:pStyle w:val="BodyText"/>
      </w:pPr>
      <w:hyperlink r:id="rId87">
        <w:r>
          <w:rPr>
            <w:rStyle w:val="Hyperlink"/>
          </w:rPr>
          <w:t>[24]</w:t>
        </w:r>
      </w:hyperlink>
      <w:r>
        <w:t xml:space="preserve"> </w:t>
      </w:r>
      <w:hyperlink r:id="rId88">
        <w:r>
          <w:rPr>
            <w:rStyle w:val="Hyperlink"/>
          </w:rPr>
          <w:t>[25]</w:t>
        </w:r>
      </w:hyperlink>
      <w:r>
        <w:t xml:space="preserve"> https://www.microsoft.com/en-us/research/wp-content/uploads/2025/01/lee_2025_ai_critical_thinking_survey.pdf</w:t>
      </w:r>
    </w:p>
    <w:p w14:paraId="72F02C9E" w14:textId="77777777" w:rsidR="00386FD5" w:rsidRDefault="00000000">
      <w:pPr>
        <w:pStyle w:val="BodyText"/>
      </w:pPr>
      <w:hyperlink r:id="rId89">
        <w:r>
          <w:rPr>
            <w:rStyle w:val="Hyperlink"/>
          </w:rPr>
          <w:t>https://www.microsoft.com/en-us/research/wp-content/uploads/2025/01/lee_2025_ai_critical_thinking_survey.pdf</w:t>
        </w:r>
      </w:hyperlink>
    </w:p>
    <w:p w14:paraId="02ECAE07" w14:textId="77777777" w:rsidR="00386FD5" w:rsidRDefault="00000000">
      <w:pPr>
        <w:pStyle w:val="BodyText"/>
      </w:pPr>
      <w:hyperlink r:id="rId90">
        <w:r>
          <w:rPr>
            <w:rStyle w:val="Hyperlink"/>
          </w:rPr>
          <w:t>[27]</w:t>
        </w:r>
      </w:hyperlink>
      <w:r>
        <w:t xml:space="preserve"> https://dl.acm.org/doi/10.1145/3613905.3650841</w:t>
      </w:r>
    </w:p>
    <w:p w14:paraId="4CDCE2FD" w14:textId="77777777" w:rsidR="00386FD5" w:rsidRDefault="00000000">
      <w:pPr>
        <w:pStyle w:val="BodyText"/>
      </w:pPr>
      <w:hyperlink r:id="rId91">
        <w:r>
          <w:rPr>
            <w:rStyle w:val="Hyperlink"/>
          </w:rPr>
          <w:t>https://dl.acm.org/doi/10.1145/3613905.3650841</w:t>
        </w:r>
      </w:hyperlink>
    </w:p>
    <w:p w14:paraId="50FCD057" w14:textId="77777777" w:rsidR="00386FD5" w:rsidRDefault="00000000">
      <w:pPr>
        <w:pStyle w:val="BodyText"/>
      </w:pPr>
      <w:hyperlink r:id="rId92">
        <w:r>
          <w:rPr>
            <w:rStyle w:val="Hyperlink"/>
          </w:rPr>
          <w:t>[30]</w:t>
        </w:r>
      </w:hyperlink>
      <w:r>
        <w:t xml:space="preserve"> https://arxiv.org/abs/2601.10258</w:t>
      </w:r>
    </w:p>
    <w:p w14:paraId="0DD16E94" w14:textId="77777777" w:rsidR="00386FD5" w:rsidRDefault="00000000">
      <w:pPr>
        <w:pStyle w:val="BodyText"/>
      </w:pPr>
      <w:hyperlink r:id="rId93">
        <w:r>
          <w:rPr>
            <w:rStyle w:val="Hyperlink"/>
          </w:rPr>
          <w:t>https://arxiv.org/abs/2601.10258</w:t>
        </w:r>
      </w:hyperlink>
    </w:p>
    <w:p w14:paraId="368BD67E" w14:textId="77777777" w:rsidR="00386FD5" w:rsidRDefault="00000000">
      <w:pPr>
        <w:pStyle w:val="BodyText"/>
      </w:pPr>
      <w:hyperlink r:id="rId94">
        <w:r>
          <w:rPr>
            <w:rStyle w:val="Hyperlink"/>
          </w:rPr>
          <w:t>[31]</w:t>
        </w:r>
      </w:hyperlink>
      <w:r>
        <w:t xml:space="preserve"> https://arxiv.org/pdf/2501.16577</w:t>
      </w:r>
    </w:p>
    <w:p w14:paraId="2DB0787D" w14:textId="77777777" w:rsidR="00386FD5" w:rsidRDefault="00000000">
      <w:pPr>
        <w:pStyle w:val="BodyText"/>
      </w:pPr>
      <w:hyperlink r:id="rId95">
        <w:r>
          <w:rPr>
            <w:rStyle w:val="Hyperlink"/>
          </w:rPr>
          <w:t>https://arxiv.org/pdf/2501.16577</w:t>
        </w:r>
      </w:hyperlink>
    </w:p>
    <w:p w14:paraId="660B2FA5" w14:textId="77777777" w:rsidR="00386FD5" w:rsidRDefault="00000000">
      <w:pPr>
        <w:pStyle w:val="BodyText"/>
      </w:pPr>
      <w:hyperlink r:id="rId96">
        <w:r>
          <w:rPr>
            <w:rStyle w:val="Hyperlink"/>
          </w:rPr>
          <w:t>[32]</w:t>
        </w:r>
      </w:hyperlink>
      <w:r>
        <w:t xml:space="preserve"> https://arxiv.org/pdf/2603.19634</w:t>
      </w:r>
    </w:p>
    <w:p w14:paraId="562FBDC8" w14:textId="77777777" w:rsidR="00386FD5" w:rsidRDefault="00000000">
      <w:pPr>
        <w:pStyle w:val="BodyText"/>
      </w:pPr>
      <w:hyperlink r:id="rId97">
        <w:r>
          <w:rPr>
            <w:rStyle w:val="Hyperlink"/>
          </w:rPr>
          <w:t>https://arxiv.org/pdf/2603.19634</w:t>
        </w:r>
      </w:hyperlink>
    </w:p>
    <w:p w14:paraId="009090A1" w14:textId="77777777" w:rsidR="00386FD5" w:rsidRDefault="00000000">
      <w:pPr>
        <w:pStyle w:val="BodyText"/>
      </w:pPr>
      <w:hyperlink r:id="rId98">
        <w:r>
          <w:rPr>
            <w:rStyle w:val="Hyperlink"/>
          </w:rPr>
          <w:t>[37]</w:t>
        </w:r>
      </w:hyperlink>
      <w:r>
        <w:t xml:space="preserve"> https://arxiv.org/abs/2603.26099</w:t>
      </w:r>
    </w:p>
    <w:p w14:paraId="45092457" w14:textId="77777777" w:rsidR="00386FD5" w:rsidRDefault="00000000">
      <w:pPr>
        <w:pStyle w:val="BodyText"/>
      </w:pPr>
      <w:hyperlink r:id="rId99">
        <w:r>
          <w:rPr>
            <w:rStyle w:val="Hyperlink"/>
          </w:rPr>
          <w:t>https://arxiv.org/abs/2603.26099</w:t>
        </w:r>
      </w:hyperlink>
    </w:p>
    <w:p w14:paraId="7D2C1A64" w14:textId="77777777" w:rsidR="00666D07" w:rsidRDefault="00666D07">
      <w:pPr>
        <w:pStyle w:val="BodyText"/>
      </w:pPr>
    </w:p>
    <w:p w14:paraId="724A59D8" w14:textId="77777777" w:rsidR="00666D07" w:rsidRDefault="00666D07" w:rsidP="00666D07">
      <w:pPr>
        <w:pStyle w:val="Heading2"/>
      </w:pPr>
      <w:r>
        <w:t>Empirical Studies on AI and Attention in Knowledge 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9"/>
        <w:gridCol w:w="1898"/>
        <w:gridCol w:w="1363"/>
        <w:gridCol w:w="814"/>
        <w:gridCol w:w="3846"/>
      </w:tblGrid>
      <w:tr w:rsidR="00666D07" w14:paraId="478B03D0" w14:textId="77777777">
        <w:trPr>
          <w:tblHeader/>
          <w:tblCellSpacing w:w="15" w:type="dxa"/>
        </w:trPr>
        <w:tc>
          <w:tcPr>
            <w:tcW w:w="0" w:type="auto"/>
            <w:vAlign w:val="center"/>
            <w:hideMark/>
          </w:tcPr>
          <w:p w14:paraId="2965BAB7" w14:textId="77777777" w:rsidR="00666D07" w:rsidRDefault="00666D07">
            <w:pPr>
              <w:jc w:val="center"/>
              <w:rPr>
                <w:b/>
                <w:bCs/>
              </w:rPr>
            </w:pPr>
            <w:r>
              <w:rPr>
                <w:b/>
                <w:bCs/>
              </w:rPr>
              <w:t>Study</w:t>
            </w:r>
          </w:p>
        </w:tc>
        <w:tc>
          <w:tcPr>
            <w:tcW w:w="0" w:type="auto"/>
            <w:vAlign w:val="center"/>
            <w:hideMark/>
          </w:tcPr>
          <w:p w14:paraId="3EB8D313" w14:textId="77777777" w:rsidR="00666D07" w:rsidRDefault="00666D07">
            <w:pPr>
              <w:jc w:val="center"/>
              <w:rPr>
                <w:b/>
                <w:bCs/>
              </w:rPr>
            </w:pPr>
            <w:r>
              <w:rPr>
                <w:b/>
                <w:bCs/>
              </w:rPr>
              <w:t>Design</w:t>
            </w:r>
          </w:p>
        </w:tc>
        <w:tc>
          <w:tcPr>
            <w:tcW w:w="0" w:type="auto"/>
            <w:vAlign w:val="center"/>
            <w:hideMark/>
          </w:tcPr>
          <w:p w14:paraId="53865C83" w14:textId="77777777" w:rsidR="00666D07" w:rsidRDefault="00666D07">
            <w:pPr>
              <w:jc w:val="center"/>
              <w:rPr>
                <w:b/>
                <w:bCs/>
              </w:rPr>
            </w:pPr>
            <w:r>
              <w:rPr>
                <w:b/>
                <w:bCs/>
              </w:rPr>
              <w:t>Duration</w:t>
            </w:r>
          </w:p>
        </w:tc>
        <w:tc>
          <w:tcPr>
            <w:tcW w:w="0" w:type="auto"/>
            <w:vAlign w:val="center"/>
            <w:hideMark/>
          </w:tcPr>
          <w:p w14:paraId="6497FAE9" w14:textId="77777777" w:rsidR="00666D07" w:rsidRDefault="00666D07">
            <w:pPr>
              <w:jc w:val="center"/>
              <w:rPr>
                <w:b/>
                <w:bCs/>
              </w:rPr>
            </w:pPr>
            <w:r>
              <w:rPr>
                <w:b/>
                <w:bCs/>
              </w:rPr>
              <w:t>N</w:t>
            </w:r>
          </w:p>
        </w:tc>
        <w:tc>
          <w:tcPr>
            <w:tcW w:w="0" w:type="auto"/>
            <w:vAlign w:val="center"/>
            <w:hideMark/>
          </w:tcPr>
          <w:p w14:paraId="35819702" w14:textId="77777777" w:rsidR="00666D07" w:rsidRDefault="00666D07">
            <w:pPr>
              <w:jc w:val="center"/>
              <w:rPr>
                <w:b/>
                <w:bCs/>
              </w:rPr>
            </w:pPr>
            <w:r>
              <w:rPr>
                <w:b/>
                <w:bCs/>
              </w:rPr>
              <w:t>Key Finding</w:t>
            </w:r>
          </w:p>
        </w:tc>
      </w:tr>
      <w:tr w:rsidR="00666D07" w14:paraId="626F840A" w14:textId="77777777">
        <w:trPr>
          <w:tblCellSpacing w:w="15" w:type="dxa"/>
        </w:trPr>
        <w:tc>
          <w:tcPr>
            <w:tcW w:w="0" w:type="auto"/>
            <w:vAlign w:val="center"/>
            <w:hideMark/>
          </w:tcPr>
          <w:p w14:paraId="3B1E2578" w14:textId="77777777" w:rsidR="00666D07" w:rsidRDefault="00666D07">
            <w:r>
              <w:rPr>
                <w:rStyle w:val="whitespace-normal"/>
              </w:rPr>
              <w:t>Lee et al.</w:t>
            </w:r>
          </w:p>
        </w:tc>
        <w:tc>
          <w:tcPr>
            <w:tcW w:w="0" w:type="auto"/>
            <w:vAlign w:val="center"/>
            <w:hideMark/>
          </w:tcPr>
          <w:p w14:paraId="0E903D72" w14:textId="77777777" w:rsidR="00666D07" w:rsidRDefault="00666D07">
            <w:r>
              <w:t>Survey + task analysis (real-world use cases)</w:t>
            </w:r>
          </w:p>
        </w:tc>
        <w:tc>
          <w:tcPr>
            <w:tcW w:w="0" w:type="auto"/>
            <w:vAlign w:val="center"/>
            <w:hideMark/>
          </w:tcPr>
          <w:p w14:paraId="4E91F184" w14:textId="77777777" w:rsidR="00666D07" w:rsidRDefault="00666D07">
            <w:r>
              <w:t>Cross-sectional</w:t>
            </w:r>
          </w:p>
        </w:tc>
        <w:tc>
          <w:tcPr>
            <w:tcW w:w="0" w:type="auto"/>
            <w:vAlign w:val="center"/>
            <w:hideMark/>
          </w:tcPr>
          <w:p w14:paraId="4FEB2A25" w14:textId="77777777" w:rsidR="00666D07" w:rsidRDefault="00666D07">
            <w:r>
              <w:t>319 (936 tasks)</w:t>
            </w:r>
          </w:p>
        </w:tc>
        <w:tc>
          <w:tcPr>
            <w:tcW w:w="0" w:type="auto"/>
            <w:vAlign w:val="center"/>
            <w:hideMark/>
          </w:tcPr>
          <w:p w14:paraId="0BBCBB71" w14:textId="77777777" w:rsidR="00666D07" w:rsidRDefault="00666D07">
            <w:r>
              <w:t>Higher AI confidence → reduced critical thinking; shift from problem-solving → verification &amp; integration</w:t>
            </w:r>
          </w:p>
        </w:tc>
      </w:tr>
      <w:tr w:rsidR="00666D07" w14:paraId="16CE22D5" w14:textId="77777777">
        <w:trPr>
          <w:tblCellSpacing w:w="15" w:type="dxa"/>
        </w:trPr>
        <w:tc>
          <w:tcPr>
            <w:tcW w:w="0" w:type="auto"/>
            <w:vAlign w:val="center"/>
            <w:hideMark/>
          </w:tcPr>
          <w:p w14:paraId="6B2950FE" w14:textId="77777777" w:rsidR="00666D07" w:rsidRDefault="00666D07">
            <w:r>
              <w:rPr>
                <w:rStyle w:val="whitespace-normal"/>
              </w:rPr>
              <w:t>Drosos et al.</w:t>
            </w:r>
          </w:p>
        </w:tc>
        <w:tc>
          <w:tcPr>
            <w:tcW w:w="0" w:type="auto"/>
            <w:vAlign w:val="center"/>
            <w:hideMark/>
          </w:tcPr>
          <w:p w14:paraId="2B15068D" w14:textId="77777777" w:rsidR="00666D07" w:rsidRDefault="00666D07">
            <w:r>
              <w:t>Between-subjects experiment</w:t>
            </w:r>
          </w:p>
        </w:tc>
        <w:tc>
          <w:tcPr>
            <w:tcW w:w="0" w:type="auto"/>
            <w:vAlign w:val="center"/>
            <w:hideMark/>
          </w:tcPr>
          <w:p w14:paraId="60A926D0" w14:textId="77777777" w:rsidR="00666D07" w:rsidRDefault="00666D07">
            <w:r>
              <w:t>Single session</w:t>
            </w:r>
          </w:p>
        </w:tc>
        <w:tc>
          <w:tcPr>
            <w:tcW w:w="0" w:type="auto"/>
            <w:vAlign w:val="center"/>
            <w:hideMark/>
          </w:tcPr>
          <w:p w14:paraId="5442E05D" w14:textId="77777777" w:rsidR="00666D07" w:rsidRDefault="00666D07">
            <w:r>
              <w:t>24</w:t>
            </w:r>
          </w:p>
        </w:tc>
        <w:tc>
          <w:tcPr>
            <w:tcW w:w="0" w:type="auto"/>
            <w:vAlign w:val="center"/>
            <w:hideMark/>
          </w:tcPr>
          <w:p w14:paraId="24A631B8" w14:textId="77777777" w:rsidR="00666D07" w:rsidRDefault="00666D07">
            <w:r>
              <w:t>“Friction” prompts increase metacognitive engagement and critical evaluation</w:t>
            </w:r>
          </w:p>
        </w:tc>
      </w:tr>
      <w:tr w:rsidR="00666D07" w14:paraId="3D06EB3A" w14:textId="77777777">
        <w:trPr>
          <w:tblCellSpacing w:w="15" w:type="dxa"/>
        </w:trPr>
        <w:tc>
          <w:tcPr>
            <w:tcW w:w="0" w:type="auto"/>
            <w:vAlign w:val="center"/>
            <w:hideMark/>
          </w:tcPr>
          <w:p w14:paraId="7D1B07B0" w14:textId="77777777" w:rsidR="00666D07" w:rsidRDefault="00666D07">
            <w:r>
              <w:rPr>
                <w:rStyle w:val="whitespace-normal"/>
              </w:rPr>
              <w:t>Brachman et al.</w:t>
            </w:r>
          </w:p>
        </w:tc>
        <w:tc>
          <w:tcPr>
            <w:tcW w:w="0" w:type="auto"/>
            <w:vAlign w:val="center"/>
            <w:hideMark/>
          </w:tcPr>
          <w:p w14:paraId="1102E1A1" w14:textId="77777777" w:rsidR="00666D07" w:rsidRDefault="00666D07">
            <w:r>
              <w:t>Survey</w:t>
            </w:r>
          </w:p>
        </w:tc>
        <w:tc>
          <w:tcPr>
            <w:tcW w:w="0" w:type="auto"/>
            <w:vAlign w:val="center"/>
            <w:hideMark/>
          </w:tcPr>
          <w:p w14:paraId="3696862D" w14:textId="77777777" w:rsidR="00666D07" w:rsidRDefault="00666D07">
            <w:r>
              <w:t>Cross-sectional</w:t>
            </w:r>
          </w:p>
        </w:tc>
        <w:tc>
          <w:tcPr>
            <w:tcW w:w="0" w:type="auto"/>
            <w:vAlign w:val="center"/>
            <w:hideMark/>
          </w:tcPr>
          <w:p w14:paraId="47A63806" w14:textId="77777777" w:rsidR="00666D07" w:rsidRDefault="00666D07">
            <w:r>
              <w:t>216</w:t>
            </w:r>
          </w:p>
        </w:tc>
        <w:tc>
          <w:tcPr>
            <w:tcW w:w="0" w:type="auto"/>
            <w:vAlign w:val="center"/>
            <w:hideMark/>
          </w:tcPr>
          <w:p w14:paraId="4EC0298D" w14:textId="77777777" w:rsidR="00666D07" w:rsidRDefault="00666D07">
            <w:r>
              <w:t>Rapid embedding of LLMs into workflows; mismatch between current and desired uses</w:t>
            </w:r>
          </w:p>
        </w:tc>
      </w:tr>
      <w:tr w:rsidR="00666D07" w14:paraId="71362AB6" w14:textId="77777777">
        <w:trPr>
          <w:tblCellSpacing w:w="15" w:type="dxa"/>
        </w:trPr>
        <w:tc>
          <w:tcPr>
            <w:tcW w:w="0" w:type="auto"/>
            <w:vAlign w:val="center"/>
            <w:hideMark/>
          </w:tcPr>
          <w:p w14:paraId="4D7AE437" w14:textId="77777777" w:rsidR="00666D07" w:rsidRDefault="00666D07">
            <w:r>
              <w:rPr>
                <w:rStyle w:val="whitespace-normal"/>
              </w:rPr>
              <w:t>Kobiella et al.</w:t>
            </w:r>
          </w:p>
        </w:tc>
        <w:tc>
          <w:tcPr>
            <w:tcW w:w="0" w:type="auto"/>
            <w:vAlign w:val="center"/>
            <w:hideMark/>
          </w:tcPr>
          <w:p w14:paraId="7E91EB24" w14:textId="77777777" w:rsidR="00666D07" w:rsidRDefault="00666D07">
            <w:r>
              <w:t>Diary study</w:t>
            </w:r>
          </w:p>
        </w:tc>
        <w:tc>
          <w:tcPr>
            <w:tcW w:w="0" w:type="auto"/>
            <w:vAlign w:val="center"/>
            <w:hideMark/>
          </w:tcPr>
          <w:p w14:paraId="3EF6CA20" w14:textId="77777777" w:rsidR="00666D07" w:rsidRDefault="00666D07">
            <w:r>
              <w:t>2 weeks</w:t>
            </w:r>
          </w:p>
        </w:tc>
        <w:tc>
          <w:tcPr>
            <w:tcW w:w="0" w:type="auto"/>
            <w:vAlign w:val="center"/>
            <w:hideMark/>
          </w:tcPr>
          <w:p w14:paraId="1CB505D1" w14:textId="77777777" w:rsidR="00666D07" w:rsidRDefault="00666D07">
            <w:r>
              <w:t>21</w:t>
            </w:r>
          </w:p>
        </w:tc>
        <w:tc>
          <w:tcPr>
            <w:tcW w:w="0" w:type="auto"/>
            <w:vAlign w:val="center"/>
            <w:hideMark/>
          </w:tcPr>
          <w:p w14:paraId="67ACF4BF" w14:textId="77777777" w:rsidR="00666D07" w:rsidRDefault="00666D07">
            <w:r>
              <w:t>Productivity gains paired with reduced sense of accomplishment/meaning</w:t>
            </w:r>
          </w:p>
        </w:tc>
      </w:tr>
      <w:tr w:rsidR="00666D07" w14:paraId="2396FE96" w14:textId="77777777">
        <w:trPr>
          <w:tblCellSpacing w:w="15" w:type="dxa"/>
        </w:trPr>
        <w:tc>
          <w:tcPr>
            <w:tcW w:w="0" w:type="auto"/>
            <w:vAlign w:val="center"/>
            <w:hideMark/>
          </w:tcPr>
          <w:p w14:paraId="46117477" w14:textId="77777777" w:rsidR="00666D07" w:rsidRDefault="00666D07">
            <w:r>
              <w:rPr>
                <w:rStyle w:val="whitespace-normal"/>
              </w:rPr>
              <w:t>Oh et al.</w:t>
            </w:r>
          </w:p>
        </w:tc>
        <w:tc>
          <w:tcPr>
            <w:tcW w:w="0" w:type="auto"/>
            <w:vAlign w:val="center"/>
            <w:hideMark/>
          </w:tcPr>
          <w:p w14:paraId="26ADC5BC" w14:textId="77777777" w:rsidR="00666D07" w:rsidRDefault="00666D07">
            <w:r>
              <w:t xml:space="preserve">Diary / </w:t>
            </w:r>
            <w:r>
              <w:lastRenderedPageBreak/>
              <w:t>deprivation study</w:t>
            </w:r>
          </w:p>
        </w:tc>
        <w:tc>
          <w:tcPr>
            <w:tcW w:w="0" w:type="auto"/>
            <w:vAlign w:val="center"/>
            <w:hideMark/>
          </w:tcPr>
          <w:p w14:paraId="7387823A" w14:textId="77777777" w:rsidR="00666D07" w:rsidRDefault="00666D07">
            <w:r>
              <w:lastRenderedPageBreak/>
              <w:t xml:space="preserve">Short-term </w:t>
            </w:r>
            <w:r>
              <w:lastRenderedPageBreak/>
              <w:t>withdrawal</w:t>
            </w:r>
          </w:p>
        </w:tc>
        <w:tc>
          <w:tcPr>
            <w:tcW w:w="0" w:type="auto"/>
            <w:vAlign w:val="center"/>
            <w:hideMark/>
          </w:tcPr>
          <w:p w14:paraId="309BEF78" w14:textId="77777777" w:rsidR="00666D07" w:rsidRDefault="00666D07">
            <w:r>
              <w:lastRenderedPageBreak/>
              <w:t>10</w:t>
            </w:r>
          </w:p>
        </w:tc>
        <w:tc>
          <w:tcPr>
            <w:tcW w:w="0" w:type="auto"/>
            <w:vAlign w:val="center"/>
            <w:hideMark/>
          </w:tcPr>
          <w:p w14:paraId="693EA6EF" w14:textId="77777777" w:rsidR="00666D07" w:rsidRDefault="00666D07">
            <w:r>
              <w:t xml:space="preserve">Removal of AI disrupts workflows → </w:t>
            </w:r>
            <w:r>
              <w:lastRenderedPageBreak/>
              <w:t>evidence of infrastructural dependence</w:t>
            </w:r>
          </w:p>
        </w:tc>
      </w:tr>
      <w:tr w:rsidR="00666D07" w14:paraId="7354BD0C" w14:textId="77777777">
        <w:trPr>
          <w:tblCellSpacing w:w="15" w:type="dxa"/>
        </w:trPr>
        <w:tc>
          <w:tcPr>
            <w:tcW w:w="0" w:type="auto"/>
            <w:vAlign w:val="center"/>
            <w:hideMark/>
          </w:tcPr>
          <w:p w14:paraId="72B17936" w14:textId="77777777" w:rsidR="00666D07" w:rsidRDefault="00666D07">
            <w:r>
              <w:rPr>
                <w:rStyle w:val="whitespace-normal"/>
              </w:rPr>
              <w:lastRenderedPageBreak/>
              <w:t>Dillon et al.</w:t>
            </w:r>
          </w:p>
        </w:tc>
        <w:tc>
          <w:tcPr>
            <w:tcW w:w="0" w:type="auto"/>
            <w:vAlign w:val="center"/>
            <w:hideMark/>
          </w:tcPr>
          <w:p w14:paraId="1D83F9B7" w14:textId="77777777" w:rsidR="00666D07" w:rsidRDefault="00666D07">
            <w:r>
              <w:t>Randomized field experiment (firms)</w:t>
            </w:r>
          </w:p>
        </w:tc>
        <w:tc>
          <w:tcPr>
            <w:tcW w:w="0" w:type="auto"/>
            <w:vAlign w:val="center"/>
            <w:hideMark/>
          </w:tcPr>
          <w:p w14:paraId="6B0FA6F0" w14:textId="77777777" w:rsidR="00666D07" w:rsidRDefault="00666D07">
            <w:r>
              <w:t>6 months</w:t>
            </w:r>
          </w:p>
        </w:tc>
        <w:tc>
          <w:tcPr>
            <w:tcW w:w="0" w:type="auto"/>
            <w:vAlign w:val="center"/>
            <w:hideMark/>
          </w:tcPr>
          <w:p w14:paraId="52842DA3" w14:textId="77777777" w:rsidR="00666D07" w:rsidRDefault="00666D07">
            <w:r>
              <w:t>7,137</w:t>
            </w:r>
          </w:p>
        </w:tc>
        <w:tc>
          <w:tcPr>
            <w:tcW w:w="0" w:type="auto"/>
            <w:vAlign w:val="center"/>
            <w:hideMark/>
          </w:tcPr>
          <w:p w14:paraId="33D7A7FF" w14:textId="77777777" w:rsidR="00666D07" w:rsidRDefault="00666D07">
            <w:r>
              <w:t>Reduced email time, faster document work, no change in meetings → partial workflow reallocation</w:t>
            </w:r>
          </w:p>
        </w:tc>
      </w:tr>
      <w:tr w:rsidR="00666D07" w14:paraId="052311C7" w14:textId="77777777">
        <w:trPr>
          <w:tblCellSpacing w:w="15" w:type="dxa"/>
        </w:trPr>
        <w:tc>
          <w:tcPr>
            <w:tcW w:w="0" w:type="auto"/>
            <w:vAlign w:val="center"/>
            <w:hideMark/>
          </w:tcPr>
          <w:p w14:paraId="14E56647" w14:textId="77777777" w:rsidR="00666D07" w:rsidRDefault="00666D07">
            <w:r>
              <w:rPr>
                <w:rStyle w:val="whitespace-normal"/>
              </w:rPr>
              <w:t>Erik Brynjolfsson</w:t>
            </w:r>
            <w:r>
              <w:t xml:space="preserve"> et al.</w:t>
            </w:r>
          </w:p>
        </w:tc>
        <w:tc>
          <w:tcPr>
            <w:tcW w:w="0" w:type="auto"/>
            <w:vAlign w:val="center"/>
            <w:hideMark/>
          </w:tcPr>
          <w:p w14:paraId="3F918171" w14:textId="77777777" w:rsidR="00666D07" w:rsidRDefault="00666D07">
            <w:r>
              <w:t>Field experiment (customer support)</w:t>
            </w:r>
          </w:p>
        </w:tc>
        <w:tc>
          <w:tcPr>
            <w:tcW w:w="0" w:type="auto"/>
            <w:vAlign w:val="center"/>
            <w:hideMark/>
          </w:tcPr>
          <w:p w14:paraId="4C1FA91C" w14:textId="77777777" w:rsidR="00666D07" w:rsidRDefault="00666D07">
            <w:r>
              <w:t>Multi-month</w:t>
            </w:r>
          </w:p>
        </w:tc>
        <w:tc>
          <w:tcPr>
            <w:tcW w:w="0" w:type="auto"/>
            <w:vAlign w:val="center"/>
            <w:hideMark/>
          </w:tcPr>
          <w:p w14:paraId="75A787F0" w14:textId="77777777" w:rsidR="00666D07" w:rsidRDefault="00666D07">
            <w:r>
              <w:t>5,172</w:t>
            </w:r>
          </w:p>
        </w:tc>
        <w:tc>
          <w:tcPr>
            <w:tcW w:w="0" w:type="auto"/>
            <w:vAlign w:val="center"/>
            <w:hideMark/>
          </w:tcPr>
          <w:p w14:paraId="3716EA30" w14:textId="77777777" w:rsidR="00666D07" w:rsidRDefault="00666D07">
            <w:r>
              <w:t>~15% productivity gain; largest effects for novices</w:t>
            </w:r>
          </w:p>
        </w:tc>
      </w:tr>
      <w:tr w:rsidR="00666D07" w14:paraId="79C90D72" w14:textId="77777777">
        <w:trPr>
          <w:tblCellSpacing w:w="15" w:type="dxa"/>
        </w:trPr>
        <w:tc>
          <w:tcPr>
            <w:tcW w:w="0" w:type="auto"/>
            <w:vAlign w:val="center"/>
            <w:hideMark/>
          </w:tcPr>
          <w:p w14:paraId="2D6DA6B5" w14:textId="77777777" w:rsidR="00666D07" w:rsidRDefault="00666D07">
            <w:r>
              <w:rPr>
                <w:rStyle w:val="whitespace-normal"/>
              </w:rPr>
              <w:t>Dell’Acqua et al.</w:t>
            </w:r>
          </w:p>
        </w:tc>
        <w:tc>
          <w:tcPr>
            <w:tcW w:w="0" w:type="auto"/>
            <w:vAlign w:val="center"/>
            <w:hideMark/>
          </w:tcPr>
          <w:p w14:paraId="62A1360F" w14:textId="77777777" w:rsidR="00666D07" w:rsidRDefault="00666D07">
            <w:r>
              <w:t>Field experiment</w:t>
            </w:r>
          </w:p>
        </w:tc>
        <w:tc>
          <w:tcPr>
            <w:tcW w:w="0" w:type="auto"/>
            <w:vAlign w:val="center"/>
            <w:hideMark/>
          </w:tcPr>
          <w:p w14:paraId="5DA3C227" w14:textId="77777777" w:rsidR="00666D07" w:rsidRDefault="00666D07">
            <w:r>
              <w:t>Weeks–months</w:t>
            </w:r>
          </w:p>
        </w:tc>
        <w:tc>
          <w:tcPr>
            <w:tcW w:w="0" w:type="auto"/>
            <w:vAlign w:val="center"/>
            <w:hideMark/>
          </w:tcPr>
          <w:p w14:paraId="6E5C30CD" w14:textId="77777777" w:rsidR="00666D07" w:rsidRDefault="00666D07">
            <w:r>
              <w:t>776</w:t>
            </w:r>
          </w:p>
        </w:tc>
        <w:tc>
          <w:tcPr>
            <w:tcW w:w="0" w:type="auto"/>
            <w:vAlign w:val="center"/>
            <w:hideMark/>
          </w:tcPr>
          <w:p w14:paraId="61C9121F" w14:textId="77777777" w:rsidR="00666D07" w:rsidRDefault="00666D07">
            <w:r>
              <w:t>AI reduces silos, mimics collaboration → coordination shift more than reasoning gain</w:t>
            </w:r>
          </w:p>
        </w:tc>
      </w:tr>
      <w:tr w:rsidR="00666D07" w14:paraId="3D0F94BE" w14:textId="77777777">
        <w:trPr>
          <w:tblCellSpacing w:w="15" w:type="dxa"/>
        </w:trPr>
        <w:tc>
          <w:tcPr>
            <w:tcW w:w="0" w:type="auto"/>
            <w:vAlign w:val="center"/>
            <w:hideMark/>
          </w:tcPr>
          <w:p w14:paraId="3115B49E" w14:textId="77777777" w:rsidR="00666D07" w:rsidRDefault="00666D07">
            <w:r>
              <w:rPr>
                <w:rStyle w:val="whitespace-normal"/>
              </w:rPr>
              <w:t>Peng et al.</w:t>
            </w:r>
          </w:p>
        </w:tc>
        <w:tc>
          <w:tcPr>
            <w:tcW w:w="0" w:type="auto"/>
            <w:vAlign w:val="center"/>
            <w:hideMark/>
          </w:tcPr>
          <w:p w14:paraId="28BEE1F3" w14:textId="77777777" w:rsidR="00666D07" w:rsidRDefault="00666D07">
            <w:r>
              <w:t>Experiment</w:t>
            </w:r>
          </w:p>
        </w:tc>
        <w:tc>
          <w:tcPr>
            <w:tcW w:w="0" w:type="auto"/>
            <w:vAlign w:val="center"/>
            <w:hideMark/>
          </w:tcPr>
          <w:p w14:paraId="3DEEE4DE" w14:textId="77777777" w:rsidR="00666D07" w:rsidRDefault="00666D07">
            <w:r>
              <w:t>Single task</w:t>
            </w:r>
          </w:p>
        </w:tc>
        <w:tc>
          <w:tcPr>
            <w:tcW w:w="0" w:type="auto"/>
            <w:vAlign w:val="center"/>
            <w:hideMark/>
          </w:tcPr>
          <w:p w14:paraId="10CEFE54" w14:textId="77777777" w:rsidR="00666D07" w:rsidRDefault="00666D07">
            <w:r>
              <w:t>~100s</w:t>
            </w:r>
          </w:p>
        </w:tc>
        <w:tc>
          <w:tcPr>
            <w:tcW w:w="0" w:type="auto"/>
            <w:vAlign w:val="center"/>
            <w:hideMark/>
          </w:tcPr>
          <w:p w14:paraId="6FFFA2A5" w14:textId="77777777" w:rsidR="00666D07" w:rsidRDefault="00666D07">
            <w:r>
              <w:t>55.8% faster coding → strong local efficiency gains</w:t>
            </w:r>
          </w:p>
        </w:tc>
      </w:tr>
      <w:tr w:rsidR="00666D07" w14:paraId="4D423DE4" w14:textId="77777777">
        <w:trPr>
          <w:tblCellSpacing w:w="15" w:type="dxa"/>
        </w:trPr>
        <w:tc>
          <w:tcPr>
            <w:tcW w:w="0" w:type="auto"/>
            <w:vAlign w:val="center"/>
            <w:hideMark/>
          </w:tcPr>
          <w:p w14:paraId="19CA2028" w14:textId="77777777" w:rsidR="00666D07" w:rsidRDefault="00666D07">
            <w:r>
              <w:rPr>
                <w:rStyle w:val="whitespace-normal"/>
              </w:rPr>
              <w:t>Cui et al.</w:t>
            </w:r>
          </w:p>
        </w:tc>
        <w:tc>
          <w:tcPr>
            <w:tcW w:w="0" w:type="auto"/>
            <w:vAlign w:val="center"/>
            <w:hideMark/>
          </w:tcPr>
          <w:p w14:paraId="7A405DEB" w14:textId="77777777" w:rsidR="00666D07" w:rsidRDefault="00666D07">
            <w:r>
              <w:t>Multi-site field experiments</w:t>
            </w:r>
          </w:p>
        </w:tc>
        <w:tc>
          <w:tcPr>
            <w:tcW w:w="0" w:type="auto"/>
            <w:vAlign w:val="center"/>
            <w:hideMark/>
          </w:tcPr>
          <w:p w14:paraId="125FF3D7" w14:textId="77777777" w:rsidR="00666D07" w:rsidRDefault="00666D07">
            <w:r>
              <w:t>Weeks–months</w:t>
            </w:r>
          </w:p>
        </w:tc>
        <w:tc>
          <w:tcPr>
            <w:tcW w:w="0" w:type="auto"/>
            <w:vAlign w:val="center"/>
            <w:hideMark/>
          </w:tcPr>
          <w:p w14:paraId="061A2F23" w14:textId="77777777" w:rsidR="00666D07" w:rsidRDefault="00666D07">
            <w:r>
              <w:t>100s–1000s</w:t>
            </w:r>
          </w:p>
        </w:tc>
        <w:tc>
          <w:tcPr>
            <w:tcW w:w="0" w:type="auto"/>
            <w:vAlign w:val="center"/>
            <w:hideMark/>
          </w:tcPr>
          <w:p w14:paraId="358F15C0" w14:textId="77777777" w:rsidR="00666D07" w:rsidRDefault="00666D07">
            <w:r>
              <w:t>Productivity gains replicate in real settings</w:t>
            </w:r>
          </w:p>
        </w:tc>
      </w:tr>
      <w:tr w:rsidR="00666D07" w14:paraId="3E850FCA" w14:textId="77777777">
        <w:trPr>
          <w:tblCellSpacing w:w="15" w:type="dxa"/>
        </w:trPr>
        <w:tc>
          <w:tcPr>
            <w:tcW w:w="0" w:type="auto"/>
            <w:vAlign w:val="center"/>
            <w:hideMark/>
          </w:tcPr>
          <w:p w14:paraId="014D3730" w14:textId="77777777" w:rsidR="00666D07" w:rsidRDefault="00666D07">
            <w:r>
              <w:rPr>
                <w:rStyle w:val="whitespace-normal"/>
              </w:rPr>
              <w:t>Sergeyuk et al.</w:t>
            </w:r>
          </w:p>
        </w:tc>
        <w:tc>
          <w:tcPr>
            <w:tcW w:w="0" w:type="auto"/>
            <w:vAlign w:val="center"/>
            <w:hideMark/>
          </w:tcPr>
          <w:p w14:paraId="0A4ADA5F" w14:textId="77777777" w:rsidR="00666D07" w:rsidRDefault="00666D07">
            <w:r>
              <w:t>Longitudinal telemetry</w:t>
            </w:r>
          </w:p>
        </w:tc>
        <w:tc>
          <w:tcPr>
            <w:tcW w:w="0" w:type="auto"/>
            <w:vAlign w:val="center"/>
            <w:hideMark/>
          </w:tcPr>
          <w:p w14:paraId="74A82F40" w14:textId="77777777" w:rsidR="00666D07" w:rsidRDefault="00666D07">
            <w:r>
              <w:t>2 years</w:t>
            </w:r>
          </w:p>
        </w:tc>
        <w:tc>
          <w:tcPr>
            <w:tcW w:w="0" w:type="auto"/>
            <w:vAlign w:val="center"/>
            <w:hideMark/>
          </w:tcPr>
          <w:p w14:paraId="73298D31" w14:textId="77777777" w:rsidR="00666D07" w:rsidRDefault="00666D07">
            <w:r>
              <w:t>800</w:t>
            </w:r>
          </w:p>
        </w:tc>
        <w:tc>
          <w:tcPr>
            <w:tcW w:w="0" w:type="auto"/>
            <w:vAlign w:val="center"/>
            <w:hideMark/>
          </w:tcPr>
          <w:p w14:paraId="1C1A7847" w14:textId="77777777" w:rsidR="00666D07" w:rsidRDefault="00666D07">
            <w:r>
              <w:t>More code produced and deleted; increased churn &amp; context switching</w:t>
            </w:r>
          </w:p>
        </w:tc>
      </w:tr>
      <w:tr w:rsidR="00666D07" w14:paraId="3D4018E4" w14:textId="77777777">
        <w:trPr>
          <w:tblCellSpacing w:w="15" w:type="dxa"/>
        </w:trPr>
        <w:tc>
          <w:tcPr>
            <w:tcW w:w="0" w:type="auto"/>
            <w:vAlign w:val="center"/>
            <w:hideMark/>
          </w:tcPr>
          <w:p w14:paraId="11BB839D" w14:textId="77777777" w:rsidR="00666D07" w:rsidRDefault="00666D07">
            <w:r>
              <w:rPr>
                <w:rStyle w:val="whitespace-normal"/>
              </w:rPr>
              <w:t>Fan et al.</w:t>
            </w:r>
          </w:p>
        </w:tc>
        <w:tc>
          <w:tcPr>
            <w:tcW w:w="0" w:type="auto"/>
            <w:vAlign w:val="center"/>
            <w:hideMark/>
          </w:tcPr>
          <w:p w14:paraId="61B4DF98" w14:textId="77777777" w:rsidR="00666D07" w:rsidRDefault="00666D07">
            <w:r>
              <w:t>Experimental / observational</w:t>
            </w:r>
          </w:p>
        </w:tc>
        <w:tc>
          <w:tcPr>
            <w:tcW w:w="0" w:type="auto"/>
            <w:vAlign w:val="center"/>
            <w:hideMark/>
          </w:tcPr>
          <w:p w14:paraId="72F2C7F2" w14:textId="77777777" w:rsidR="00666D07" w:rsidRDefault="00666D07">
            <w:r>
              <w:t>Short-term</w:t>
            </w:r>
          </w:p>
        </w:tc>
        <w:tc>
          <w:tcPr>
            <w:tcW w:w="0" w:type="auto"/>
            <w:vAlign w:val="center"/>
            <w:hideMark/>
          </w:tcPr>
          <w:p w14:paraId="66ED872C" w14:textId="77777777" w:rsidR="00666D07" w:rsidRDefault="00666D07">
            <w:r>
              <w:t>100s</w:t>
            </w:r>
          </w:p>
        </w:tc>
        <w:tc>
          <w:tcPr>
            <w:tcW w:w="0" w:type="auto"/>
            <w:vAlign w:val="center"/>
            <w:hideMark/>
          </w:tcPr>
          <w:p w14:paraId="4167915B" w14:textId="77777777" w:rsidR="00666D07" w:rsidRDefault="00666D07">
            <w:r>
              <w:t>AI introduces measurable verification burden and fatigue</w:t>
            </w:r>
          </w:p>
        </w:tc>
      </w:tr>
      <w:tr w:rsidR="00666D07" w14:paraId="32399CA5" w14:textId="77777777">
        <w:trPr>
          <w:tblCellSpacing w:w="15" w:type="dxa"/>
        </w:trPr>
        <w:tc>
          <w:tcPr>
            <w:tcW w:w="0" w:type="auto"/>
            <w:vAlign w:val="center"/>
            <w:hideMark/>
          </w:tcPr>
          <w:p w14:paraId="5F07AB95" w14:textId="77777777" w:rsidR="00666D07" w:rsidRDefault="00666D07">
            <w:r>
              <w:rPr>
                <w:rStyle w:val="whitespace-normal"/>
              </w:rPr>
              <w:t>Shen &amp; Tamkin</w:t>
            </w:r>
          </w:p>
        </w:tc>
        <w:tc>
          <w:tcPr>
            <w:tcW w:w="0" w:type="auto"/>
            <w:vAlign w:val="center"/>
            <w:hideMark/>
          </w:tcPr>
          <w:p w14:paraId="444E5B47" w14:textId="77777777" w:rsidR="00666D07" w:rsidRDefault="00666D07">
            <w:r>
              <w:t>Randomized experiments</w:t>
            </w:r>
          </w:p>
        </w:tc>
        <w:tc>
          <w:tcPr>
            <w:tcW w:w="0" w:type="auto"/>
            <w:vAlign w:val="center"/>
            <w:hideMark/>
          </w:tcPr>
          <w:p w14:paraId="0D109F11" w14:textId="77777777" w:rsidR="00666D07" w:rsidRDefault="00666D07">
            <w:r>
              <w:t>Multi-session</w:t>
            </w:r>
          </w:p>
        </w:tc>
        <w:tc>
          <w:tcPr>
            <w:tcW w:w="0" w:type="auto"/>
            <w:vAlign w:val="center"/>
            <w:hideMark/>
          </w:tcPr>
          <w:p w14:paraId="51B314B5" w14:textId="77777777" w:rsidR="00666D07" w:rsidRDefault="00666D07">
            <w:r>
              <w:t>100s</w:t>
            </w:r>
          </w:p>
        </w:tc>
        <w:tc>
          <w:tcPr>
            <w:tcW w:w="0" w:type="auto"/>
            <w:vAlign w:val="center"/>
            <w:hideMark/>
          </w:tcPr>
          <w:p w14:paraId="5E2E532C" w14:textId="77777777" w:rsidR="00666D07" w:rsidRDefault="00666D07">
            <w:r>
              <w:t>Delegation improves speed but weakens learning on unfamiliar tasks</w:t>
            </w:r>
          </w:p>
        </w:tc>
      </w:tr>
      <w:tr w:rsidR="00666D07" w14:paraId="6E5FACCD" w14:textId="77777777">
        <w:trPr>
          <w:tblCellSpacing w:w="15" w:type="dxa"/>
        </w:trPr>
        <w:tc>
          <w:tcPr>
            <w:tcW w:w="0" w:type="auto"/>
            <w:vAlign w:val="center"/>
            <w:hideMark/>
          </w:tcPr>
          <w:p w14:paraId="673B41BA" w14:textId="77777777" w:rsidR="00666D07" w:rsidRDefault="00666D07">
            <w:r>
              <w:rPr>
                <w:rStyle w:val="whitespace-normal"/>
              </w:rPr>
              <w:t>Wagman et al.</w:t>
            </w:r>
          </w:p>
        </w:tc>
        <w:tc>
          <w:tcPr>
            <w:tcW w:w="0" w:type="auto"/>
            <w:vAlign w:val="center"/>
            <w:hideMark/>
          </w:tcPr>
          <w:p w14:paraId="675569F7" w14:textId="77777777" w:rsidR="00666D07" w:rsidRDefault="00666D07">
            <w:r>
              <w:t>Qualitative / mixed methods</w:t>
            </w:r>
          </w:p>
        </w:tc>
        <w:tc>
          <w:tcPr>
            <w:tcW w:w="0" w:type="auto"/>
            <w:vAlign w:val="center"/>
            <w:hideMark/>
          </w:tcPr>
          <w:p w14:paraId="52CF0A10" w14:textId="77777777" w:rsidR="00666D07" w:rsidRDefault="00666D07">
            <w:r>
              <w:t>Short-term</w:t>
            </w:r>
          </w:p>
        </w:tc>
        <w:tc>
          <w:tcPr>
            <w:tcW w:w="0" w:type="auto"/>
            <w:vAlign w:val="center"/>
            <w:hideMark/>
          </w:tcPr>
          <w:p w14:paraId="6BC1DFC7" w14:textId="77777777" w:rsidR="00666D07" w:rsidRDefault="00666D07">
            <w:r>
              <w:t>10s–100s</w:t>
            </w:r>
          </w:p>
        </w:tc>
        <w:tc>
          <w:tcPr>
            <w:tcW w:w="0" w:type="auto"/>
            <w:vAlign w:val="center"/>
            <w:hideMark/>
          </w:tcPr>
          <w:p w14:paraId="07B2B894" w14:textId="77777777" w:rsidR="00666D07" w:rsidRDefault="00666D07">
            <w:r>
              <w:t>AI useful but introduces risk and interpretive overhead</w:t>
            </w:r>
          </w:p>
        </w:tc>
      </w:tr>
      <w:tr w:rsidR="00666D07" w14:paraId="0F6FE5AA" w14:textId="77777777">
        <w:trPr>
          <w:tblCellSpacing w:w="15" w:type="dxa"/>
        </w:trPr>
        <w:tc>
          <w:tcPr>
            <w:tcW w:w="0" w:type="auto"/>
            <w:vAlign w:val="center"/>
            <w:hideMark/>
          </w:tcPr>
          <w:p w14:paraId="677526A9" w14:textId="77777777" w:rsidR="00666D07" w:rsidRDefault="00666D07">
            <w:r>
              <w:rPr>
                <w:rStyle w:val="whitespace-normal"/>
              </w:rPr>
              <w:t>Yun et al.</w:t>
            </w:r>
          </w:p>
        </w:tc>
        <w:tc>
          <w:tcPr>
            <w:tcW w:w="0" w:type="auto"/>
            <w:vAlign w:val="center"/>
            <w:hideMark/>
          </w:tcPr>
          <w:p w14:paraId="14591AB5" w14:textId="77777777" w:rsidR="00666D07" w:rsidRDefault="00666D07">
            <w:r>
              <w:t>Mixed methods</w:t>
            </w:r>
          </w:p>
        </w:tc>
        <w:tc>
          <w:tcPr>
            <w:tcW w:w="0" w:type="auto"/>
            <w:vAlign w:val="center"/>
            <w:hideMark/>
          </w:tcPr>
          <w:p w14:paraId="39624827" w14:textId="77777777" w:rsidR="00666D07" w:rsidRDefault="00666D07">
            <w:r>
              <w:t>Short-term</w:t>
            </w:r>
          </w:p>
        </w:tc>
        <w:tc>
          <w:tcPr>
            <w:tcW w:w="0" w:type="auto"/>
            <w:vAlign w:val="center"/>
            <w:hideMark/>
          </w:tcPr>
          <w:p w14:paraId="0A76D511" w14:textId="77777777" w:rsidR="00666D07" w:rsidRDefault="00666D07">
            <w:r>
              <w:t>10s–100s</w:t>
            </w:r>
          </w:p>
        </w:tc>
        <w:tc>
          <w:tcPr>
            <w:tcW w:w="0" w:type="auto"/>
            <w:vAlign w:val="center"/>
            <w:hideMark/>
          </w:tcPr>
          <w:p w14:paraId="0BD898F0" w14:textId="77777777" w:rsidR="00666D07" w:rsidRDefault="00666D07">
            <w:r>
              <w:t>Workers struggle with synthesis across fragmented sources</w:t>
            </w:r>
          </w:p>
        </w:tc>
      </w:tr>
      <w:tr w:rsidR="00666D07" w14:paraId="0B7A5107" w14:textId="77777777">
        <w:trPr>
          <w:tblCellSpacing w:w="15" w:type="dxa"/>
        </w:trPr>
        <w:tc>
          <w:tcPr>
            <w:tcW w:w="0" w:type="auto"/>
            <w:vAlign w:val="center"/>
            <w:hideMark/>
          </w:tcPr>
          <w:p w14:paraId="52CA6041" w14:textId="77777777" w:rsidR="00666D07" w:rsidRDefault="00666D07">
            <w:r>
              <w:rPr>
                <w:rStyle w:val="whitespace-normal"/>
              </w:rPr>
              <w:t>MetaCues study authors</w:t>
            </w:r>
          </w:p>
        </w:tc>
        <w:tc>
          <w:tcPr>
            <w:tcW w:w="0" w:type="auto"/>
            <w:vAlign w:val="center"/>
            <w:hideMark/>
          </w:tcPr>
          <w:p w14:paraId="38DB91FA" w14:textId="77777777" w:rsidR="00666D07" w:rsidRDefault="00666D07">
            <w:r>
              <w:t>Controlled experiment</w:t>
            </w:r>
          </w:p>
        </w:tc>
        <w:tc>
          <w:tcPr>
            <w:tcW w:w="0" w:type="auto"/>
            <w:vAlign w:val="center"/>
            <w:hideMark/>
          </w:tcPr>
          <w:p w14:paraId="5A7C0108" w14:textId="77777777" w:rsidR="00666D07" w:rsidRDefault="00666D07">
            <w:r>
              <w:t>Short-term</w:t>
            </w:r>
          </w:p>
        </w:tc>
        <w:tc>
          <w:tcPr>
            <w:tcW w:w="0" w:type="auto"/>
            <w:vAlign w:val="center"/>
            <w:hideMark/>
          </w:tcPr>
          <w:p w14:paraId="6240683F" w14:textId="77777777" w:rsidR="00666D07" w:rsidRDefault="00666D07">
            <w:r>
              <w:t>146</w:t>
            </w:r>
          </w:p>
        </w:tc>
        <w:tc>
          <w:tcPr>
            <w:tcW w:w="0" w:type="auto"/>
            <w:vAlign w:val="center"/>
            <w:hideMark/>
          </w:tcPr>
          <w:p w14:paraId="5BEC18A5" w14:textId="77777777" w:rsidR="00666D07" w:rsidRDefault="00666D07">
            <w:r>
              <w:t>Metacognitive scaffolding improves reflection and evaluation</w:t>
            </w:r>
          </w:p>
        </w:tc>
      </w:tr>
      <w:tr w:rsidR="00666D07" w14:paraId="1237C9CB" w14:textId="77777777">
        <w:trPr>
          <w:tblCellSpacing w:w="15" w:type="dxa"/>
        </w:trPr>
        <w:tc>
          <w:tcPr>
            <w:tcW w:w="0" w:type="auto"/>
            <w:vAlign w:val="center"/>
            <w:hideMark/>
          </w:tcPr>
          <w:p w14:paraId="6E834046" w14:textId="77777777" w:rsidR="00666D07" w:rsidRDefault="00666D07">
            <w:r>
              <w:rPr>
                <w:rStyle w:val="whitespace-normal"/>
              </w:rPr>
              <w:t>Flores-</w:t>
            </w:r>
            <w:r>
              <w:rPr>
                <w:rStyle w:val="whitespace-normal"/>
              </w:rPr>
              <w:lastRenderedPageBreak/>
              <w:t>Saviaga et al.</w:t>
            </w:r>
          </w:p>
        </w:tc>
        <w:tc>
          <w:tcPr>
            <w:tcW w:w="0" w:type="auto"/>
            <w:vAlign w:val="center"/>
            <w:hideMark/>
          </w:tcPr>
          <w:p w14:paraId="3C45A941" w14:textId="77777777" w:rsidR="00666D07" w:rsidRDefault="00666D07">
            <w:r>
              <w:lastRenderedPageBreak/>
              <w:t xml:space="preserve">Design </w:t>
            </w:r>
            <w:r>
              <w:lastRenderedPageBreak/>
              <w:t>intervention</w:t>
            </w:r>
          </w:p>
        </w:tc>
        <w:tc>
          <w:tcPr>
            <w:tcW w:w="0" w:type="auto"/>
            <w:vAlign w:val="center"/>
            <w:hideMark/>
          </w:tcPr>
          <w:p w14:paraId="577AE4C6" w14:textId="77777777" w:rsidR="00666D07" w:rsidRDefault="00666D07">
            <w:r>
              <w:lastRenderedPageBreak/>
              <w:t>Short-term</w:t>
            </w:r>
          </w:p>
        </w:tc>
        <w:tc>
          <w:tcPr>
            <w:tcW w:w="0" w:type="auto"/>
            <w:vAlign w:val="center"/>
            <w:hideMark/>
          </w:tcPr>
          <w:p w14:paraId="20A768AF" w14:textId="77777777" w:rsidR="00666D07" w:rsidRDefault="00666D07">
            <w:r>
              <w:t xml:space="preserve">small </w:t>
            </w:r>
            <w:r>
              <w:lastRenderedPageBreak/>
              <w:t>N</w:t>
            </w:r>
          </w:p>
        </w:tc>
        <w:tc>
          <w:tcPr>
            <w:tcW w:w="0" w:type="auto"/>
            <w:vAlign w:val="center"/>
            <w:hideMark/>
          </w:tcPr>
          <w:p w14:paraId="5167B280" w14:textId="77777777" w:rsidR="00666D07" w:rsidRDefault="00666D07">
            <w:r>
              <w:lastRenderedPageBreak/>
              <w:t xml:space="preserve">Timeouts reduce overload and </w:t>
            </w:r>
            <w:r>
              <w:lastRenderedPageBreak/>
              <w:t>improve attentional pacing</w:t>
            </w:r>
          </w:p>
        </w:tc>
      </w:tr>
    </w:tbl>
    <w:p w14:paraId="01453CCD" w14:textId="77777777" w:rsidR="00666D07" w:rsidRDefault="00666D07" w:rsidP="00666D07">
      <w:r>
        <w:lastRenderedPageBreak/>
        <w:pict w14:anchorId="58C8ADD7">
          <v:rect id="_x0000_i1026" style="width:0;height:1.5pt" o:hralign="center" o:hrstd="t" o:hr="t" fillcolor="#a0a0a0" stroked="f"/>
        </w:pict>
      </w:r>
    </w:p>
    <w:p w14:paraId="583A45F5" w14:textId="77777777" w:rsidR="00666D07" w:rsidRDefault="00666D07" w:rsidP="00666D07">
      <w:pPr>
        <w:pStyle w:val="Heading2"/>
      </w:pPr>
      <w:r>
        <w:t>Synthesis (Attention as Socio-Technical Achievement)</w:t>
      </w:r>
    </w:p>
    <w:p w14:paraId="4E9ABEC4" w14:textId="77777777" w:rsidR="00666D07" w:rsidRDefault="00666D07" w:rsidP="00666D07">
      <w:pPr>
        <w:pStyle w:val="NormalWeb"/>
      </w:pPr>
      <w:r>
        <w:t xml:space="preserve">Across these studies, a consistent pattern emerges: AI improves </w:t>
      </w:r>
      <w:r>
        <w:rPr>
          <w:rStyle w:val="Strong"/>
        </w:rPr>
        <w:t>local task efficiency</w:t>
      </w:r>
      <w:r>
        <w:t xml:space="preserve"> while restructuring the </w:t>
      </w:r>
      <w:r>
        <w:rPr>
          <w:rStyle w:val="Strong"/>
        </w:rPr>
        <w:t>conditions under which attention is formed and sustained</w:t>
      </w:r>
      <w:r>
        <w:t xml:space="preserve">. In the conceptual language of </w:t>
      </w:r>
      <w:r>
        <w:rPr>
          <w:rStyle w:val="whitespace-normal"/>
        </w:rPr>
        <w:t>Bernard Stiegler</w:t>
      </w:r>
      <w:r>
        <w:t xml:space="preserve"> and </w:t>
      </w:r>
      <w:r>
        <w:rPr>
          <w:rStyle w:val="whitespace-normal"/>
        </w:rPr>
        <w:t>Yves Citton</w:t>
      </w:r>
      <w:r>
        <w:t xml:space="preserve">, AI systems function as </w:t>
      </w:r>
      <w:r>
        <w:rPr>
          <w:rStyle w:val="Strong"/>
        </w:rPr>
        <w:t>tertiary retentions that increasingly assume attentional labor</w:t>
      </w:r>
      <w:r>
        <w:t>—not just storing or retrieving information, but shaping what is salient, when engagement occurs, and how problems are revisited.</w:t>
      </w:r>
    </w:p>
    <w:p w14:paraId="219546B0" w14:textId="77777777" w:rsidR="00666D07" w:rsidRDefault="00666D07" w:rsidP="00666D07">
      <w:pPr>
        <w:pStyle w:val="NormalWeb"/>
      </w:pPr>
      <w:r>
        <w:t>Empirically, this appears as:</w:t>
      </w:r>
    </w:p>
    <w:p w14:paraId="76C58D79" w14:textId="77777777" w:rsidR="00666D07" w:rsidRDefault="00666D07" w:rsidP="00666D07">
      <w:pPr>
        <w:numPr>
          <w:ilvl w:val="0"/>
          <w:numId w:val="3"/>
        </w:numPr>
        <w:spacing w:before="100" w:beforeAutospacing="1" w:after="100" w:afterAutospacing="1"/>
      </w:pPr>
      <w:r>
        <w:t xml:space="preserve">A shift from </w:t>
      </w:r>
      <w:r>
        <w:rPr>
          <w:rStyle w:val="Strong"/>
        </w:rPr>
        <w:t>problem-solving → verification and stewardship</w:t>
      </w:r>
      <w:r>
        <w:t xml:space="preserve"> (Lee et al.) </w:t>
      </w:r>
    </w:p>
    <w:p w14:paraId="13D15C5C" w14:textId="77777777" w:rsidR="00666D07" w:rsidRDefault="00666D07" w:rsidP="00666D07">
      <w:pPr>
        <w:numPr>
          <w:ilvl w:val="0"/>
          <w:numId w:val="3"/>
        </w:numPr>
        <w:spacing w:before="100" w:beforeAutospacing="1" w:after="100" w:afterAutospacing="1"/>
      </w:pPr>
      <w:r>
        <w:t xml:space="preserve">Increased </w:t>
      </w:r>
      <w:r>
        <w:rPr>
          <w:rStyle w:val="Strong"/>
        </w:rPr>
        <w:t>workflow dependence and infrastructural embedding</w:t>
      </w:r>
      <w:r>
        <w:t xml:space="preserve"> (Oh et al.) </w:t>
      </w:r>
    </w:p>
    <w:p w14:paraId="61D10392" w14:textId="77777777" w:rsidR="00666D07" w:rsidRDefault="00666D07" w:rsidP="00666D07">
      <w:pPr>
        <w:numPr>
          <w:ilvl w:val="0"/>
          <w:numId w:val="3"/>
        </w:numPr>
        <w:spacing w:before="100" w:beforeAutospacing="1" w:after="100" w:afterAutospacing="1"/>
      </w:pPr>
      <w:r>
        <w:t xml:space="preserve">Expansion of </w:t>
      </w:r>
      <w:r>
        <w:rPr>
          <w:rStyle w:val="Strong"/>
        </w:rPr>
        <w:t>context switching and code churn</w:t>
      </w:r>
      <w:r>
        <w:t xml:space="preserve"> (Sergeyuk et al.) </w:t>
      </w:r>
    </w:p>
    <w:p w14:paraId="2A82E330" w14:textId="77777777" w:rsidR="00666D07" w:rsidRDefault="00666D07" w:rsidP="00666D07">
      <w:pPr>
        <w:numPr>
          <w:ilvl w:val="0"/>
          <w:numId w:val="3"/>
        </w:numPr>
        <w:spacing w:before="100" w:beforeAutospacing="1" w:after="100" w:afterAutospacing="1"/>
      </w:pPr>
      <w:r>
        <w:t xml:space="preserve">Emergence of </w:t>
      </w:r>
      <w:r>
        <w:rPr>
          <w:rStyle w:val="Strong"/>
        </w:rPr>
        <w:t>verification fatigue and metacognitive burden</w:t>
      </w:r>
      <w:r>
        <w:t xml:space="preserve"> (Fan et al.) </w:t>
      </w:r>
    </w:p>
    <w:p w14:paraId="7A527888" w14:textId="77777777" w:rsidR="00666D07" w:rsidRDefault="00666D07" w:rsidP="00666D07">
      <w:pPr>
        <w:numPr>
          <w:ilvl w:val="0"/>
          <w:numId w:val="3"/>
        </w:numPr>
        <w:spacing w:before="100" w:beforeAutospacing="1" w:after="100" w:afterAutospacing="1"/>
      </w:pPr>
      <w:r>
        <w:t xml:space="preserve">Trade-offs between </w:t>
      </w:r>
      <w:r>
        <w:rPr>
          <w:rStyle w:val="Strong"/>
        </w:rPr>
        <w:t>speed and skill formation</w:t>
      </w:r>
      <w:r>
        <w:t xml:space="preserve"> (Shen &amp; Tamkin) </w:t>
      </w:r>
    </w:p>
    <w:p w14:paraId="48E70047" w14:textId="77777777" w:rsidR="00666D07" w:rsidRDefault="00666D07" w:rsidP="00666D07">
      <w:pPr>
        <w:pStyle w:val="NormalWeb"/>
      </w:pPr>
      <w:r>
        <w:t xml:space="preserve">The deeper synthesis is this: AI does not simply “distract” or “assist.” It </w:t>
      </w:r>
      <w:r>
        <w:rPr>
          <w:rStyle w:val="Strong"/>
        </w:rPr>
        <w:t>reorganizes the attentional ecology</w:t>
      </w:r>
      <w:r>
        <w:t xml:space="preserve"> by redistributing:</w:t>
      </w:r>
    </w:p>
    <w:p w14:paraId="61027BD5" w14:textId="77777777" w:rsidR="00666D07" w:rsidRDefault="00666D07" w:rsidP="00666D07">
      <w:pPr>
        <w:numPr>
          <w:ilvl w:val="0"/>
          <w:numId w:val="4"/>
        </w:numPr>
        <w:spacing w:before="100" w:beforeAutospacing="1" w:after="100" w:afterAutospacing="1"/>
      </w:pPr>
      <w:r>
        <w:t xml:space="preserve">Where attention is applied (generation vs. evaluation) </w:t>
      </w:r>
    </w:p>
    <w:p w14:paraId="375584A1" w14:textId="77777777" w:rsidR="00666D07" w:rsidRDefault="00666D07" w:rsidP="00666D07">
      <w:pPr>
        <w:numPr>
          <w:ilvl w:val="0"/>
          <w:numId w:val="4"/>
        </w:numPr>
        <w:spacing w:before="100" w:beforeAutospacing="1" w:after="100" w:afterAutospacing="1"/>
      </w:pPr>
      <w:r>
        <w:t xml:space="preserve">When attention is required (front-loaded vs. back-loaded) </w:t>
      </w:r>
    </w:p>
    <w:p w14:paraId="66CDDDB1" w14:textId="77777777" w:rsidR="00666D07" w:rsidRDefault="00666D07" w:rsidP="00666D07">
      <w:pPr>
        <w:numPr>
          <w:ilvl w:val="0"/>
          <w:numId w:val="4"/>
        </w:numPr>
        <w:spacing w:before="100" w:beforeAutospacing="1" w:after="100" w:afterAutospacing="1"/>
      </w:pPr>
      <w:r>
        <w:t xml:space="preserve">Who/what performs attentional work (human vs. system) </w:t>
      </w:r>
    </w:p>
    <w:p w14:paraId="02BEBAE7" w14:textId="77777777" w:rsidR="00666D07" w:rsidRDefault="00666D07" w:rsidP="00666D07">
      <w:pPr>
        <w:pStyle w:val="NormalWeb"/>
      </w:pPr>
      <w:r>
        <w:t xml:space="preserve">This aligns with </w:t>
      </w:r>
      <w:r>
        <w:rPr>
          <w:rStyle w:val="whitespace-normal"/>
        </w:rPr>
        <w:t>N. Katherine Hayles</w:t>
      </w:r>
      <w:r>
        <w:t xml:space="preserve">’s notion of </w:t>
      </w:r>
      <w:r>
        <w:rPr>
          <w:rStyle w:val="Strong"/>
        </w:rPr>
        <w:t>cognitive assemblages</w:t>
      </w:r>
      <w:r>
        <w:t xml:space="preserve"> and </w:t>
      </w:r>
      <w:r>
        <w:rPr>
          <w:rStyle w:val="whitespace-normal"/>
        </w:rPr>
        <w:t>Mark B. N. Hansen</w:t>
      </w:r>
      <w:r>
        <w:t xml:space="preserve">’s claim that media increasingly operate </w:t>
      </w:r>
      <w:r>
        <w:rPr>
          <w:rStyle w:val="Strong"/>
        </w:rPr>
        <w:t>preconsciously</w:t>
      </w:r>
      <w:r>
        <w:t>, shaping attention before it is experienced as such.</w:t>
      </w:r>
    </w:p>
    <w:p w14:paraId="6A14DD19" w14:textId="77777777" w:rsidR="00666D07" w:rsidRDefault="00666D07" w:rsidP="00666D07">
      <w:pPr>
        <w:pStyle w:val="NormalWeb"/>
      </w:pPr>
      <w:r>
        <w:t xml:space="preserve">Critically, the studies show that AI offloads not just memory or execution—but </w:t>
      </w:r>
      <w:r>
        <w:rPr>
          <w:rStyle w:val="Strong"/>
        </w:rPr>
        <w:t>the iterative acts (checking, traversing, holding context) through which sustained reasoning and expertise are built</w:t>
      </w:r>
      <w:r>
        <w:t>.</w:t>
      </w:r>
    </w:p>
    <w:p w14:paraId="3D72F63B" w14:textId="77777777" w:rsidR="00666D07" w:rsidRDefault="00666D07" w:rsidP="00666D07">
      <w:r>
        <w:pict w14:anchorId="25C205B2">
          <v:rect id="_x0000_i1027" style="width:0;height:1.5pt" o:hralign="center" o:hrstd="t" o:hr="t" fillcolor="#a0a0a0" stroked="f"/>
        </w:pict>
      </w:r>
    </w:p>
    <w:p w14:paraId="7E5D005C" w14:textId="77777777" w:rsidR="00666D07" w:rsidRDefault="00666D07" w:rsidP="00666D07">
      <w:pPr>
        <w:pStyle w:val="Heading2"/>
      </w:pPr>
      <w:r>
        <w:t>Gap Statement: What a 6–24 Month Panel Study Must Measure</w:t>
      </w:r>
    </w:p>
    <w:p w14:paraId="50E3BBD6" w14:textId="77777777" w:rsidR="00666D07" w:rsidRDefault="00666D07" w:rsidP="00666D07">
      <w:pPr>
        <w:pStyle w:val="NormalWeb"/>
      </w:pPr>
      <w:r>
        <w:t xml:space="preserve">A credible longitudinal panel study of AI-augmented knowledge work must move beyond productivity metrics and directly operationalize </w:t>
      </w:r>
      <w:r>
        <w:rPr>
          <w:rStyle w:val="Strong"/>
        </w:rPr>
        <w:t>attention as a socio-technical phenomenon</w:t>
      </w:r>
      <w:r>
        <w:t>.</w:t>
      </w:r>
    </w:p>
    <w:p w14:paraId="4BA9E8AB" w14:textId="77777777" w:rsidR="00666D07" w:rsidRDefault="00666D07" w:rsidP="00666D07">
      <w:pPr>
        <w:pStyle w:val="Heading3"/>
      </w:pPr>
      <w:r>
        <w:lastRenderedPageBreak/>
        <w:t>1. Behavioral Measures (Workflow &amp; Interaction)</w:t>
      </w:r>
    </w:p>
    <w:p w14:paraId="504FBF7D" w14:textId="77777777" w:rsidR="00666D07" w:rsidRDefault="00666D07" w:rsidP="00666D07">
      <w:pPr>
        <w:numPr>
          <w:ilvl w:val="0"/>
          <w:numId w:val="5"/>
        </w:numPr>
        <w:spacing w:before="100" w:beforeAutospacing="1" w:after="100" w:afterAutospacing="1"/>
      </w:pPr>
      <w:r>
        <w:t xml:space="preserve">Session length and structure (continuous vs. fragmented work) </w:t>
      </w:r>
    </w:p>
    <w:p w14:paraId="1E71F04F" w14:textId="77777777" w:rsidR="00666D07" w:rsidRDefault="00666D07" w:rsidP="00666D07">
      <w:pPr>
        <w:numPr>
          <w:ilvl w:val="0"/>
          <w:numId w:val="5"/>
        </w:numPr>
        <w:spacing w:before="100" w:beforeAutospacing="1" w:after="100" w:afterAutospacing="1"/>
      </w:pPr>
      <w:r>
        <w:t xml:space="preserve">Prompt–response cycles (depth, branching, revisitation) </w:t>
      </w:r>
    </w:p>
    <w:p w14:paraId="141CCEA2" w14:textId="77777777" w:rsidR="00666D07" w:rsidRDefault="00666D07" w:rsidP="00666D07">
      <w:pPr>
        <w:numPr>
          <w:ilvl w:val="0"/>
          <w:numId w:val="5"/>
        </w:numPr>
        <w:spacing w:before="100" w:beforeAutospacing="1" w:after="100" w:afterAutospacing="1"/>
      </w:pPr>
      <w:r>
        <w:t xml:space="preserve">Context switching frequency and recovery time </w:t>
      </w:r>
    </w:p>
    <w:p w14:paraId="302FDEB7" w14:textId="77777777" w:rsidR="00666D07" w:rsidRDefault="00666D07" w:rsidP="00666D07">
      <w:pPr>
        <w:numPr>
          <w:ilvl w:val="0"/>
          <w:numId w:val="5"/>
        </w:numPr>
        <w:spacing w:before="100" w:beforeAutospacing="1" w:after="100" w:afterAutospacing="1"/>
      </w:pPr>
      <w:r>
        <w:t xml:space="preserve">Verification behaviors (time spent checking, cross-referencing) </w:t>
      </w:r>
    </w:p>
    <w:p w14:paraId="377FDF5C" w14:textId="77777777" w:rsidR="00666D07" w:rsidRDefault="00666D07" w:rsidP="00666D07">
      <w:pPr>
        <w:numPr>
          <w:ilvl w:val="0"/>
          <w:numId w:val="5"/>
        </w:numPr>
        <w:spacing w:before="100" w:beforeAutospacing="1" w:after="100" w:afterAutospacing="1"/>
      </w:pPr>
      <w:r>
        <w:t xml:space="preserve">Dependency indicators (performance under AI removal conditions) </w:t>
      </w:r>
    </w:p>
    <w:p w14:paraId="3FA88DD6" w14:textId="77777777" w:rsidR="00666D07" w:rsidRDefault="00666D07" w:rsidP="00666D07">
      <w:pPr>
        <w:pStyle w:val="Heading3"/>
      </w:pPr>
      <w:r>
        <w:t>2. Cognitive Measures (Reasoning &amp; Retention)</w:t>
      </w:r>
    </w:p>
    <w:p w14:paraId="4056142C" w14:textId="77777777" w:rsidR="00666D07" w:rsidRDefault="00666D07" w:rsidP="00666D07">
      <w:pPr>
        <w:numPr>
          <w:ilvl w:val="0"/>
          <w:numId w:val="6"/>
        </w:numPr>
        <w:spacing w:before="100" w:beforeAutospacing="1" w:after="100" w:afterAutospacing="1"/>
      </w:pPr>
      <w:r>
        <w:t xml:space="preserve">Sustained reasoning capacity (multi-step problem completion without AI) </w:t>
      </w:r>
    </w:p>
    <w:p w14:paraId="4150B620" w14:textId="77777777" w:rsidR="00666D07" w:rsidRDefault="00666D07" w:rsidP="00666D07">
      <w:pPr>
        <w:numPr>
          <w:ilvl w:val="0"/>
          <w:numId w:val="6"/>
        </w:numPr>
        <w:spacing w:before="100" w:beforeAutospacing="1" w:after="100" w:afterAutospacing="1"/>
      </w:pPr>
      <w:r>
        <w:t xml:space="preserve">Memory for intermediate steps (not just final outputs) </w:t>
      </w:r>
    </w:p>
    <w:p w14:paraId="5067B0CE" w14:textId="77777777" w:rsidR="00666D07" w:rsidRDefault="00666D07" w:rsidP="00666D07">
      <w:pPr>
        <w:numPr>
          <w:ilvl w:val="0"/>
          <w:numId w:val="6"/>
        </w:numPr>
        <w:spacing w:before="100" w:beforeAutospacing="1" w:after="100" w:afterAutospacing="1"/>
      </w:pPr>
      <w:r>
        <w:t xml:space="preserve">Conceptual integration ability (synthesis across sources) </w:t>
      </w:r>
    </w:p>
    <w:p w14:paraId="34F6BE1B" w14:textId="77777777" w:rsidR="00666D07" w:rsidRDefault="00666D07" w:rsidP="00666D07">
      <w:pPr>
        <w:numPr>
          <w:ilvl w:val="0"/>
          <w:numId w:val="6"/>
        </w:numPr>
        <w:spacing w:before="100" w:beforeAutospacing="1" w:after="100" w:afterAutospacing="1"/>
      </w:pPr>
      <w:r>
        <w:t xml:space="preserve">Skill formation and transfer (especially in unfamiliar domains) </w:t>
      </w:r>
    </w:p>
    <w:p w14:paraId="78E7E187" w14:textId="77777777" w:rsidR="00666D07" w:rsidRDefault="00666D07" w:rsidP="00666D07">
      <w:pPr>
        <w:numPr>
          <w:ilvl w:val="0"/>
          <w:numId w:val="6"/>
        </w:numPr>
        <w:spacing w:before="100" w:beforeAutospacing="1" w:after="100" w:afterAutospacing="1"/>
      </w:pPr>
      <w:r>
        <w:t xml:space="preserve">Metacognitive awareness (confidence vs. correctness calibration) </w:t>
      </w:r>
    </w:p>
    <w:p w14:paraId="72C4026F" w14:textId="77777777" w:rsidR="00666D07" w:rsidRDefault="00666D07" w:rsidP="00666D07">
      <w:pPr>
        <w:pStyle w:val="Heading3"/>
      </w:pPr>
      <w:r>
        <w:t>3. Attentional Structure (Core Phenomenology)</w:t>
      </w:r>
    </w:p>
    <w:p w14:paraId="649E490B" w14:textId="77777777" w:rsidR="00666D07" w:rsidRDefault="00666D07" w:rsidP="00666D07">
      <w:pPr>
        <w:numPr>
          <w:ilvl w:val="0"/>
          <w:numId w:val="7"/>
        </w:numPr>
        <w:spacing w:before="100" w:beforeAutospacing="1" w:after="100" w:afterAutospacing="1"/>
      </w:pPr>
      <w:r>
        <w:t xml:space="preserve">Ability to </w:t>
      </w:r>
      <w:r>
        <w:rPr>
          <w:rStyle w:val="Strong"/>
        </w:rPr>
        <w:t>hold a problem over time</w:t>
      </w:r>
      <w:r>
        <w:t xml:space="preserve"> (task persistence across days/weeks) </w:t>
      </w:r>
    </w:p>
    <w:p w14:paraId="27651A6B" w14:textId="77777777" w:rsidR="00666D07" w:rsidRDefault="00666D07" w:rsidP="00666D07">
      <w:pPr>
        <w:numPr>
          <w:ilvl w:val="0"/>
          <w:numId w:val="7"/>
        </w:numPr>
        <w:spacing w:before="100" w:beforeAutospacing="1" w:after="100" w:afterAutospacing="1"/>
      </w:pPr>
      <w:r>
        <w:t xml:space="preserve">Reconstruction of prior reasoning after interruption </w:t>
      </w:r>
    </w:p>
    <w:p w14:paraId="6CB3322A" w14:textId="77777777" w:rsidR="00666D07" w:rsidRDefault="00666D07" w:rsidP="00666D07">
      <w:pPr>
        <w:numPr>
          <w:ilvl w:val="0"/>
          <w:numId w:val="7"/>
        </w:numPr>
        <w:spacing w:before="100" w:beforeAutospacing="1" w:after="100" w:afterAutospacing="1"/>
      </w:pPr>
      <w:r>
        <w:t xml:space="preserve">Resistance to AI-suggested salience (independent framing ability) </w:t>
      </w:r>
    </w:p>
    <w:p w14:paraId="31987769" w14:textId="77777777" w:rsidR="00666D07" w:rsidRDefault="00666D07" w:rsidP="00666D07">
      <w:pPr>
        <w:numPr>
          <w:ilvl w:val="0"/>
          <w:numId w:val="7"/>
        </w:numPr>
        <w:spacing w:before="100" w:beforeAutospacing="1" w:after="100" w:afterAutospacing="1"/>
      </w:pPr>
      <w:r>
        <w:t xml:space="preserve">Distribution of attention across generation vs. evaluation phases </w:t>
      </w:r>
    </w:p>
    <w:p w14:paraId="4129BE40" w14:textId="77777777" w:rsidR="00666D07" w:rsidRDefault="00666D07" w:rsidP="00666D07">
      <w:pPr>
        <w:numPr>
          <w:ilvl w:val="0"/>
          <w:numId w:val="7"/>
        </w:numPr>
        <w:spacing w:before="100" w:beforeAutospacing="1" w:after="100" w:afterAutospacing="1"/>
      </w:pPr>
      <w:r>
        <w:t xml:space="preserve">Measures of “exo-attention” (delegated attentional acts) </w:t>
      </w:r>
    </w:p>
    <w:p w14:paraId="7974858C" w14:textId="77777777" w:rsidR="00666D07" w:rsidRDefault="00666D07" w:rsidP="00666D07">
      <w:pPr>
        <w:pStyle w:val="Heading3"/>
      </w:pPr>
      <w:r>
        <w:t>4. Organizational &amp; Social Measures</w:t>
      </w:r>
    </w:p>
    <w:p w14:paraId="06344612" w14:textId="77777777" w:rsidR="00666D07" w:rsidRDefault="00666D07" w:rsidP="00666D07">
      <w:pPr>
        <w:numPr>
          <w:ilvl w:val="0"/>
          <w:numId w:val="8"/>
        </w:numPr>
        <w:spacing w:before="100" w:beforeAutospacing="1" w:after="100" w:afterAutospacing="1"/>
      </w:pPr>
      <w:r>
        <w:t xml:space="preserve">Changes in coordination patterns (individual vs. AI-mediated collaboration) </w:t>
      </w:r>
    </w:p>
    <w:p w14:paraId="1E70DDE8" w14:textId="77777777" w:rsidR="00666D07" w:rsidRDefault="00666D07" w:rsidP="00666D07">
      <w:pPr>
        <w:numPr>
          <w:ilvl w:val="0"/>
          <w:numId w:val="8"/>
        </w:numPr>
        <w:spacing w:before="100" w:beforeAutospacing="1" w:after="100" w:afterAutospacing="1"/>
      </w:pPr>
      <w:r>
        <w:t xml:space="preserve">Shifts in role definitions (executor → steward) </w:t>
      </w:r>
    </w:p>
    <w:p w14:paraId="6AFDDE0D" w14:textId="77777777" w:rsidR="00666D07" w:rsidRDefault="00666D07" w:rsidP="00666D07">
      <w:pPr>
        <w:numPr>
          <w:ilvl w:val="0"/>
          <w:numId w:val="8"/>
        </w:numPr>
        <w:spacing w:before="100" w:beforeAutospacing="1" w:after="100" w:afterAutospacing="1"/>
      </w:pPr>
      <w:r>
        <w:t xml:space="preserve">Knowledge redundancy vs. fragility (team-level memory) </w:t>
      </w:r>
    </w:p>
    <w:p w14:paraId="283C9195" w14:textId="77777777" w:rsidR="00666D07" w:rsidRDefault="00666D07" w:rsidP="00666D07">
      <w:pPr>
        <w:numPr>
          <w:ilvl w:val="0"/>
          <w:numId w:val="8"/>
        </w:numPr>
        <w:spacing w:before="100" w:beforeAutospacing="1" w:after="100" w:afterAutospacing="1"/>
      </w:pPr>
      <w:r>
        <w:t xml:space="preserve">Norm formation (when to trust vs. verify AI outputs) </w:t>
      </w:r>
    </w:p>
    <w:p w14:paraId="36A9DA85" w14:textId="77777777" w:rsidR="00666D07" w:rsidRDefault="00666D07" w:rsidP="00666D07">
      <w:pPr>
        <w:pStyle w:val="Heading3"/>
      </w:pPr>
      <w:r>
        <w:t>5. Physiological &amp; Fatigue Measures</w:t>
      </w:r>
    </w:p>
    <w:p w14:paraId="2D30EE8B" w14:textId="77777777" w:rsidR="00666D07" w:rsidRDefault="00666D07" w:rsidP="00666D07">
      <w:pPr>
        <w:numPr>
          <w:ilvl w:val="0"/>
          <w:numId w:val="9"/>
        </w:numPr>
        <w:spacing w:before="100" w:beforeAutospacing="1" w:after="100" w:afterAutospacing="1"/>
      </w:pPr>
      <w:r>
        <w:t xml:space="preserve">Cognitive load (EEG, pupillometry, or validated proxies) </w:t>
      </w:r>
    </w:p>
    <w:p w14:paraId="493C1640" w14:textId="77777777" w:rsidR="00666D07" w:rsidRDefault="00666D07" w:rsidP="00666D07">
      <w:pPr>
        <w:numPr>
          <w:ilvl w:val="0"/>
          <w:numId w:val="9"/>
        </w:numPr>
        <w:spacing w:before="100" w:beforeAutospacing="1" w:after="100" w:afterAutospacing="1"/>
      </w:pPr>
      <w:r>
        <w:t xml:space="preserve">Fatigue and recovery cycles (within-day and across weeks) </w:t>
      </w:r>
    </w:p>
    <w:p w14:paraId="212E613B" w14:textId="77777777" w:rsidR="00666D07" w:rsidRDefault="00666D07" w:rsidP="00666D07">
      <w:pPr>
        <w:numPr>
          <w:ilvl w:val="0"/>
          <w:numId w:val="9"/>
        </w:numPr>
        <w:spacing w:before="100" w:beforeAutospacing="1" w:after="100" w:afterAutospacing="1"/>
      </w:pPr>
      <w:r>
        <w:t xml:space="preserve">Attention restoration (impact of breaks, environment, interventions) </w:t>
      </w:r>
    </w:p>
    <w:p w14:paraId="0B54CEF5" w14:textId="77777777" w:rsidR="00666D07" w:rsidRDefault="00666D07" w:rsidP="00666D07">
      <w:pPr>
        <w:numPr>
          <w:ilvl w:val="0"/>
          <w:numId w:val="9"/>
        </w:numPr>
        <w:spacing w:before="100" w:beforeAutospacing="1" w:after="100" w:afterAutospacing="1"/>
      </w:pPr>
      <w:r>
        <w:t xml:space="preserve">Stress markers during verification-heavy workflows </w:t>
      </w:r>
    </w:p>
    <w:p w14:paraId="4F943B29" w14:textId="77777777" w:rsidR="00666D07" w:rsidRDefault="00666D07" w:rsidP="00666D07">
      <w:pPr>
        <w:pStyle w:val="Heading3"/>
      </w:pPr>
      <w:r>
        <w:t>6. Environmental / Design Variables</w:t>
      </w:r>
    </w:p>
    <w:p w14:paraId="04AE698B" w14:textId="77777777" w:rsidR="00666D07" w:rsidRDefault="00666D07" w:rsidP="00666D07">
      <w:pPr>
        <w:numPr>
          <w:ilvl w:val="0"/>
          <w:numId w:val="10"/>
        </w:numPr>
        <w:spacing w:before="100" w:beforeAutospacing="1" w:after="100" w:afterAutospacing="1"/>
      </w:pPr>
      <w:r>
        <w:t xml:space="preserve">Interface features (friction, prompts, timeouts, scaffolds) </w:t>
      </w:r>
    </w:p>
    <w:p w14:paraId="32139E36" w14:textId="77777777" w:rsidR="00666D07" w:rsidRDefault="00666D07" w:rsidP="00666D07">
      <w:pPr>
        <w:numPr>
          <w:ilvl w:val="0"/>
          <w:numId w:val="10"/>
        </w:numPr>
        <w:spacing w:before="100" w:beforeAutospacing="1" w:after="100" w:afterAutospacing="1"/>
      </w:pPr>
      <w:r>
        <w:t xml:space="preserve">Exposure to interventions (metacognitive cues, structured pauses) </w:t>
      </w:r>
    </w:p>
    <w:p w14:paraId="35A9579B" w14:textId="77777777" w:rsidR="00666D07" w:rsidRDefault="00666D07" w:rsidP="00666D07">
      <w:pPr>
        <w:numPr>
          <w:ilvl w:val="0"/>
          <w:numId w:val="10"/>
        </w:numPr>
        <w:spacing w:before="100" w:beforeAutospacing="1" w:after="100" w:afterAutospacing="1"/>
      </w:pPr>
      <w:r>
        <w:t xml:space="preserve">Variations in AI capability (strong vs. weak models) </w:t>
      </w:r>
    </w:p>
    <w:p w14:paraId="3C92B4EB" w14:textId="77777777" w:rsidR="00666D07" w:rsidRDefault="00666D07" w:rsidP="00666D07">
      <w:pPr>
        <w:spacing w:after="0"/>
      </w:pPr>
      <w:r>
        <w:rPr>
          <w:noProof/>
        </w:rPr>
        <w:lastRenderedPageBreak/>
      </w:r>
      <w:r w:rsidR="00666D07">
        <w:rPr>
          <w:noProof/>
        </w:rPr>
        <w:pict w14:anchorId="1F61496B">
          <v:rect id="_x0000_i1028" alt="" style="width:468pt;height:.05pt;mso-width-percent:0;mso-height-percent:0;mso-width-percent:0;mso-height-percent:0" o:hralign="center" o:hrstd="t" o:hr="t" fillcolor="#a0a0a0" stroked="f"/>
        </w:pict>
      </w:r>
    </w:p>
    <w:p w14:paraId="63336C84" w14:textId="77777777" w:rsidR="00666D07" w:rsidRDefault="00666D07" w:rsidP="00666D07">
      <w:pPr>
        <w:pStyle w:val="Heading2"/>
      </w:pPr>
      <w:r>
        <w:t>Bottom Line</w:t>
      </w:r>
    </w:p>
    <w:p w14:paraId="46D6F94A" w14:textId="77777777" w:rsidR="00666D07" w:rsidRDefault="00666D07" w:rsidP="00666D07">
      <w:pPr>
        <w:pStyle w:val="NormalWeb"/>
      </w:pPr>
      <w:r>
        <w:t xml:space="preserve">Current research shows </w:t>
      </w:r>
      <w:r>
        <w:rPr>
          <w:rStyle w:val="Strong"/>
        </w:rPr>
        <w:t>short-term gains and medium-term restructuring</w:t>
      </w:r>
      <w:r>
        <w:t>, but lacks the temporal depth to answer the central question posed by the phenomenology of attention:</w:t>
      </w:r>
    </w:p>
    <w:p w14:paraId="402676F5" w14:textId="77777777" w:rsidR="00666D07" w:rsidRDefault="00666D07" w:rsidP="00666D07">
      <w:pPr>
        <w:pStyle w:val="NormalWeb"/>
      </w:pPr>
      <w:r>
        <w:t>Does AI augment reasoning—or gradually displace the conditions that make sustained reasoning possible?</w:t>
      </w:r>
    </w:p>
    <w:p w14:paraId="1EAE5E23" w14:textId="77777777" w:rsidR="00666D07" w:rsidRDefault="00666D07" w:rsidP="00666D07">
      <w:pPr>
        <w:pStyle w:val="NormalWeb"/>
      </w:pPr>
      <w:r>
        <w:t xml:space="preserve">A 6–24 month panel study is not just desirable—it is the minimum required to observe whether AI systems function as </w:t>
      </w:r>
      <w:r>
        <w:rPr>
          <w:rStyle w:val="Strong"/>
        </w:rPr>
        <w:t>supports of attention (pharmakon as cure)</w:t>
      </w:r>
      <w:r>
        <w:t xml:space="preserve"> or as </w:t>
      </w:r>
      <w:r>
        <w:rPr>
          <w:rStyle w:val="Strong"/>
        </w:rPr>
        <w:t>systems of psychopower that erode it over time</w:t>
      </w:r>
      <w:r>
        <w:t>.</w:t>
      </w:r>
    </w:p>
    <w:bookmarkEnd w:id="9"/>
    <w:p w14:paraId="406404C8" w14:textId="77777777" w:rsidR="00666D07" w:rsidRDefault="00666D07">
      <w:pPr>
        <w:pStyle w:val="BodyText"/>
      </w:pPr>
    </w:p>
    <w:sectPr w:rsidR="00666D0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E5CE52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528048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2645541F"/>
    <w:multiLevelType w:val="multilevel"/>
    <w:tmpl w:val="D3F6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680742"/>
    <w:multiLevelType w:val="multilevel"/>
    <w:tmpl w:val="2740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2609FF"/>
    <w:multiLevelType w:val="multilevel"/>
    <w:tmpl w:val="7A0A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5E6104"/>
    <w:multiLevelType w:val="multilevel"/>
    <w:tmpl w:val="4A949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441EAF"/>
    <w:multiLevelType w:val="multilevel"/>
    <w:tmpl w:val="B9A8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9E6EDD"/>
    <w:multiLevelType w:val="multilevel"/>
    <w:tmpl w:val="ACEC4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AE3DFC"/>
    <w:multiLevelType w:val="multilevel"/>
    <w:tmpl w:val="666A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A652B4"/>
    <w:multiLevelType w:val="multilevel"/>
    <w:tmpl w:val="2DC2B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1606463">
    <w:abstractNumId w:val="0"/>
  </w:num>
  <w:num w:numId="2" w16cid:durableId="701244790">
    <w:abstractNumId w:val="1"/>
  </w:num>
  <w:num w:numId="3" w16cid:durableId="702481714">
    <w:abstractNumId w:val="8"/>
  </w:num>
  <w:num w:numId="4" w16cid:durableId="800414858">
    <w:abstractNumId w:val="9"/>
  </w:num>
  <w:num w:numId="5" w16cid:durableId="700936111">
    <w:abstractNumId w:val="6"/>
  </w:num>
  <w:num w:numId="6" w16cid:durableId="586381914">
    <w:abstractNumId w:val="5"/>
  </w:num>
  <w:num w:numId="7" w16cid:durableId="2098751535">
    <w:abstractNumId w:val="3"/>
  </w:num>
  <w:num w:numId="8" w16cid:durableId="219441721">
    <w:abstractNumId w:val="2"/>
  </w:num>
  <w:num w:numId="9" w16cid:durableId="261493453">
    <w:abstractNumId w:val="4"/>
  </w:num>
  <w:num w:numId="10" w16cid:durableId="1510228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86FD5"/>
    <w:rsid w:val="00386FD5"/>
    <w:rsid w:val="00666D07"/>
    <w:rsid w:val="00DC54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BB399"/>
  <w15:docId w15:val="{73133A61-7070-5F43-8EC0-0283D8A85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whitespace-normal">
    <w:name w:val="whitespace-normal"/>
    <w:basedOn w:val="DefaultParagraphFont"/>
    <w:rsid w:val="00666D07"/>
  </w:style>
  <w:style w:type="paragraph" w:styleId="NormalWeb">
    <w:name w:val="Normal (Web)"/>
    <w:basedOn w:val="Normal"/>
    <w:uiPriority w:val="99"/>
    <w:unhideWhenUsed/>
    <w:rsid w:val="00666D07"/>
    <w:pPr>
      <w:spacing w:before="100" w:beforeAutospacing="1" w:after="100" w:afterAutospacing="1"/>
    </w:pPr>
    <w:rPr>
      <w:rFonts w:ascii="Times New Roman" w:eastAsia="Times New Roman" w:hAnsi="Times New Roman" w:cs="Times New Roman"/>
      <w:lang w:val="en-US"/>
    </w:rPr>
  </w:style>
  <w:style w:type="character" w:styleId="Strong">
    <w:name w:val="Strong"/>
    <w:basedOn w:val="DefaultParagraphFont"/>
    <w:uiPriority w:val="22"/>
    <w:qFormat/>
    <w:rsid w:val="00666D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ress.uchicago.edu/ucp/books/book/chicago/F/bo19211873.html" TargetMode="External"/><Relationship Id="rId21" Type="http://schemas.openxmlformats.org/officeDocument/2006/relationships/hyperlink" Target="https://arsindustrialis.org/desire-and-knowledge-dead-seize-living" TargetMode="External"/><Relationship Id="rId42" Type="http://schemas.openxmlformats.org/officeDocument/2006/relationships/hyperlink" Target="https://arxiv.org/abs/2501.17247" TargetMode="External"/><Relationship Id="rId47" Type="http://schemas.openxmlformats.org/officeDocument/2006/relationships/hyperlink" Target="https://arxiv.org/abs/2302.06590" TargetMode="External"/><Relationship Id="rId63" Type="http://schemas.openxmlformats.org/officeDocument/2006/relationships/hyperlink" Target="https://pubmed.ncbi.nlm.nih.gov/27668460/" TargetMode="External"/><Relationship Id="rId68" Type="http://schemas.openxmlformats.org/officeDocument/2006/relationships/hyperlink" Target="https://arxiv.org/abs/2501.17247" TargetMode="External"/><Relationship Id="rId84" Type="http://schemas.openxmlformats.org/officeDocument/2006/relationships/hyperlink" Target="https://arsindustrialis.org/node/2924" TargetMode="External"/><Relationship Id="rId89" Type="http://schemas.openxmlformats.org/officeDocument/2006/relationships/hyperlink" Target="https://www.microsoft.com/en-us/research/wp-content/uploads/2025/01/lee_2025_ai_critical_thinking_survey.pdf" TargetMode="External"/><Relationship Id="rId16" Type="http://schemas.openxmlformats.org/officeDocument/2006/relationships/hyperlink" Target="https://arxiv.org/abs/2501.17247" TargetMode="External"/><Relationship Id="rId11" Type="http://schemas.openxmlformats.org/officeDocument/2006/relationships/hyperlink" Target="https://pubmed.ncbi.nlm.nih.gov/27668460/" TargetMode="External"/><Relationship Id="rId32" Type="http://schemas.openxmlformats.org/officeDocument/2006/relationships/hyperlink" Target="https://arxiv.org/pdf/2504.11436" TargetMode="External"/><Relationship Id="rId37" Type="http://schemas.openxmlformats.org/officeDocument/2006/relationships/hyperlink" Target="https://dl.acm.org/doi/fullHtml/10.1145/3411763.3450385" TargetMode="External"/><Relationship Id="rId53" Type="http://schemas.openxmlformats.org/officeDocument/2006/relationships/hyperlink" Target="https://read.dukeupress.edu/poetics-today/article/45/2/259/387700/Don-t-Ban-AI-from-Your-Writing-Classroom-Require" TargetMode="External"/><Relationship Id="rId58" Type="http://schemas.openxmlformats.org/officeDocument/2006/relationships/hyperlink" Target="https://www.versobooks.com/en-gb/products/2315-24-7?srsltid=AfmBOopGZ1W58aiATwtWfdwTHchGn6ilTp0ry6mFnkPRvTy6r6TrM4Qh" TargetMode="External"/><Relationship Id="rId74" Type="http://schemas.openxmlformats.org/officeDocument/2006/relationships/hyperlink" Target="https://press.uchicago.edu/ucp/books/book/chicago/F/bo19211873.html" TargetMode="External"/><Relationship Id="rId79" Type="http://schemas.openxmlformats.org/officeDocument/2006/relationships/hyperlink" Target="https://www.politybooks.com/bookdetail?book_slug=the-ecology-of-attention--9781509503728" TargetMode="External"/><Relationship Id="rId5" Type="http://schemas.openxmlformats.org/officeDocument/2006/relationships/hyperlink" Target="https://arsindustrialis.org/node/2922" TargetMode="External"/><Relationship Id="rId90" Type="http://schemas.openxmlformats.org/officeDocument/2006/relationships/hyperlink" Target="https://dl.acm.org/doi/10.1145/3613905.3650841" TargetMode="External"/><Relationship Id="rId95" Type="http://schemas.openxmlformats.org/officeDocument/2006/relationships/hyperlink" Target="https://arxiv.org/pdf/2501.16577" TargetMode="External"/><Relationship Id="rId22" Type="http://schemas.openxmlformats.org/officeDocument/2006/relationships/hyperlink" Target="https://www.yvescitton.net/wp-content/uploads/2020/08/Citton-AutomaticEndoAttention-2019.pdf" TargetMode="External"/><Relationship Id="rId27" Type="http://schemas.openxmlformats.org/officeDocument/2006/relationships/hyperlink" Target="https://read.dukeupress.edu/poetics-today/article/45/2/259/387700/Don-t-Ban-AI-from-Your-Writing-Classroom-Require" TargetMode="External"/><Relationship Id="rId43" Type="http://schemas.openxmlformats.org/officeDocument/2006/relationships/hyperlink" Target="https://arsindustrialis.org/node/2922" TargetMode="External"/><Relationship Id="rId48" Type="http://schemas.openxmlformats.org/officeDocument/2006/relationships/hyperlink" Target="https://dl.acm.org/doi/fullHtml/10.1145/3411763.3450385" TargetMode="External"/><Relationship Id="rId64" Type="http://schemas.openxmlformats.org/officeDocument/2006/relationships/hyperlink" Target="https://dl.acm.org/doi/full/10.1145/3725215" TargetMode="External"/><Relationship Id="rId69" Type="http://schemas.openxmlformats.org/officeDocument/2006/relationships/hyperlink" Target="https://arxiv.org/abs/2501.17247" TargetMode="External"/><Relationship Id="rId80" Type="http://schemas.openxmlformats.org/officeDocument/2006/relationships/hyperlink" Target="https://arsindustrialis.org/node/2924" TargetMode="External"/><Relationship Id="rId85" Type="http://schemas.openxmlformats.org/officeDocument/2006/relationships/hyperlink" Target="https://www.yvescitton.net/wp-content/uploads/2020/08/Citton-AutomaticEndoAttention-2019.pdf" TargetMode="External"/><Relationship Id="rId12" Type="http://schemas.openxmlformats.org/officeDocument/2006/relationships/hyperlink" Target="https://dl.acm.org/doi/full/10.1145/3725215" TargetMode="External"/><Relationship Id="rId17" Type="http://schemas.openxmlformats.org/officeDocument/2006/relationships/hyperlink" Target="https://pubmed.ncbi.nlm.nih.gov/27668460/" TargetMode="External"/><Relationship Id="rId25" Type="http://schemas.openxmlformats.org/officeDocument/2006/relationships/hyperlink" Target="https://www.versobooks.com/en-gb/products/2315-24-7?srsltid=AfmBOopGZ1W58aiATwtWfdwTHchGn6ilTp0ry6mFnkPRvTy6r6TrM4Qh" TargetMode="External"/><Relationship Id="rId33" Type="http://schemas.openxmlformats.org/officeDocument/2006/relationships/hyperlink" Target="https://arxiv.org/abs/2302.06590" TargetMode="External"/><Relationship Id="rId38" Type="http://schemas.openxmlformats.org/officeDocument/2006/relationships/hyperlink" Target="https://dl.acm.org/doi/full/10.1145/3725215" TargetMode="External"/><Relationship Id="rId46" Type="http://schemas.openxmlformats.org/officeDocument/2006/relationships/hyperlink" Target="https://arxiv.org/abs/2302.06590" TargetMode="External"/><Relationship Id="rId59" Type="http://schemas.openxmlformats.org/officeDocument/2006/relationships/hyperlink" Target="https://www.versobooks.com/en-gb/products/2315-24-7?srsltid=AfmBOopGZ1W58aiATwtWfdwTHchGn6ilTp0ry6mFnkPRvTy6r6TrM4Qh" TargetMode="External"/><Relationship Id="rId67" Type="http://schemas.openxmlformats.org/officeDocument/2006/relationships/hyperlink" Target="https://arxiv.org/abs/2501.17247" TargetMode="External"/><Relationship Id="rId20" Type="http://schemas.openxmlformats.org/officeDocument/2006/relationships/hyperlink" Target="https://arsindustrialis.org/node/2924" TargetMode="External"/><Relationship Id="rId41" Type="http://schemas.openxmlformats.org/officeDocument/2006/relationships/hyperlink" Target="https://arxiv.org/abs/2603.26099" TargetMode="External"/><Relationship Id="rId54" Type="http://schemas.openxmlformats.org/officeDocument/2006/relationships/hyperlink" Target="https://arxiv.org/pdf/2504.11436" TargetMode="External"/><Relationship Id="rId62" Type="http://schemas.openxmlformats.org/officeDocument/2006/relationships/hyperlink" Target="https://pubmed.ncbi.nlm.nih.gov/27668460/" TargetMode="External"/><Relationship Id="rId70" Type="http://schemas.openxmlformats.org/officeDocument/2006/relationships/hyperlink" Target="https://arxiv.org/abs/2501.17247" TargetMode="External"/><Relationship Id="rId75" Type="http://schemas.openxmlformats.org/officeDocument/2006/relationships/hyperlink" Target="https://arsindustrialis.org/desire-and-knowledge-dead-seize-living" TargetMode="External"/><Relationship Id="rId83" Type="http://schemas.openxmlformats.org/officeDocument/2006/relationships/hyperlink" Target="https://arsindustrialis.org/node/2924" TargetMode="External"/><Relationship Id="rId88" Type="http://schemas.openxmlformats.org/officeDocument/2006/relationships/hyperlink" Target="https://www.microsoft.com/en-us/research/wp-content/uploads/2025/01/lee_2025_ai_critical_thinking_survey.pdf" TargetMode="External"/><Relationship Id="rId91" Type="http://schemas.openxmlformats.org/officeDocument/2006/relationships/hyperlink" Target="https://dl.acm.org/doi/10.1145/3613905.3650841" TargetMode="External"/><Relationship Id="rId96" Type="http://schemas.openxmlformats.org/officeDocument/2006/relationships/hyperlink" Target="https://arxiv.org/pdf/2603.19634" TargetMode="External"/><Relationship Id="rId1" Type="http://schemas.openxmlformats.org/officeDocument/2006/relationships/numbering" Target="numbering.xml"/><Relationship Id="rId6" Type="http://schemas.openxmlformats.org/officeDocument/2006/relationships/hyperlink" Target="https://arxiv.org/abs/2302.06590" TargetMode="External"/><Relationship Id="rId15" Type="http://schemas.openxmlformats.org/officeDocument/2006/relationships/hyperlink" Target="https://arsindustrialis.org/desire-and-knowledge-dead-seize-living" TargetMode="External"/><Relationship Id="rId23" Type="http://schemas.openxmlformats.org/officeDocument/2006/relationships/hyperlink" Target="https://arsindustrialis.org/node/2924" TargetMode="External"/><Relationship Id="rId28" Type="http://schemas.openxmlformats.org/officeDocument/2006/relationships/hyperlink" Target="https://www.microsoft.com/en-us/research/wp-content/uploads/2025/01/lee_2025_ai_critical_thinking_survey.pdf" TargetMode="External"/><Relationship Id="rId36" Type="http://schemas.openxmlformats.org/officeDocument/2006/relationships/hyperlink" Target="https://arxiv.org/pdf/2603.19634" TargetMode="External"/><Relationship Id="rId49" Type="http://schemas.openxmlformats.org/officeDocument/2006/relationships/hyperlink" Target="https://dl.acm.org/doi/fullHtml/10.1145/3411763.3450385" TargetMode="External"/><Relationship Id="rId57" Type="http://schemas.openxmlformats.org/officeDocument/2006/relationships/hyperlink" Target="https://www.versobooks.com/en-gb/products/2315-24-7?srsltid=AfmBOopGZ1W58aiATwtWfdwTHchGn6ilTp0ry6mFnkPRvTy6r6TrM4Qh" TargetMode="External"/><Relationship Id="rId10" Type="http://schemas.openxmlformats.org/officeDocument/2006/relationships/hyperlink" Target="https://www.versobooks.com/en-gb/products/2315-24-7?srsltid=AfmBOopGZ1W58aiATwtWfdwTHchGn6ilTp0ry6mFnkPRvTy6r6TrM4Qh" TargetMode="External"/><Relationship Id="rId31" Type="http://schemas.openxmlformats.org/officeDocument/2006/relationships/hyperlink" Target="https://dl.acm.org/doi/10.1145/3613905.3650841" TargetMode="External"/><Relationship Id="rId44" Type="http://schemas.openxmlformats.org/officeDocument/2006/relationships/hyperlink" Target="https://arsindustrialis.org/node/2922" TargetMode="External"/><Relationship Id="rId52" Type="http://schemas.openxmlformats.org/officeDocument/2006/relationships/hyperlink" Target="https://read.dukeupress.edu/poetics-today/article/45/2/259/387700/Don-t-Ban-AI-from-Your-Writing-Classroom-Require" TargetMode="External"/><Relationship Id="rId60" Type="http://schemas.openxmlformats.org/officeDocument/2006/relationships/hyperlink" Target="https://pubmed.ncbi.nlm.nih.gov/27668460/" TargetMode="External"/><Relationship Id="rId65" Type="http://schemas.openxmlformats.org/officeDocument/2006/relationships/hyperlink" Target="https://dl.acm.org/doi/full/10.1145/3725215" TargetMode="External"/><Relationship Id="rId73" Type="http://schemas.openxmlformats.org/officeDocument/2006/relationships/hyperlink" Target="https://press.uchicago.edu/ucp/books/book/chicago/F/bo19211873.html" TargetMode="External"/><Relationship Id="rId78" Type="http://schemas.openxmlformats.org/officeDocument/2006/relationships/hyperlink" Target="https://www.politybooks.com/bookdetail?book_slug=the-ecology-of-attention--9781509503728" TargetMode="External"/><Relationship Id="rId81" Type="http://schemas.openxmlformats.org/officeDocument/2006/relationships/hyperlink" Target="https://arsindustrialis.org/node/2924" TargetMode="External"/><Relationship Id="rId86" Type="http://schemas.openxmlformats.org/officeDocument/2006/relationships/hyperlink" Target="https://www.yvescitton.net/wp-content/uploads/2020/08/Citton-AutomaticEndoAttention-2019.pdf" TargetMode="External"/><Relationship Id="rId94" Type="http://schemas.openxmlformats.org/officeDocument/2006/relationships/hyperlink" Target="https://arxiv.org/pdf/2501.16577" TargetMode="External"/><Relationship Id="rId99" Type="http://schemas.openxmlformats.org/officeDocument/2006/relationships/hyperlink" Target="https://arxiv.org/abs/2603.26099" TargetMode="External"/><Relationship Id="rId10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arxiv.org/pdf/2504.11436" TargetMode="External"/><Relationship Id="rId13" Type="http://schemas.openxmlformats.org/officeDocument/2006/relationships/hyperlink" Target="https://arxiv.org/abs/2501.17247" TargetMode="External"/><Relationship Id="rId18" Type="http://schemas.openxmlformats.org/officeDocument/2006/relationships/hyperlink" Target="https://www.politybooks.com/bookdetail?book_slug=the-ecology-of-attention--9781509503728" TargetMode="External"/><Relationship Id="rId39" Type="http://schemas.openxmlformats.org/officeDocument/2006/relationships/hyperlink" Target="https://pubmed.ncbi.nlm.nih.gov/27668460/" TargetMode="External"/><Relationship Id="rId34" Type="http://schemas.openxmlformats.org/officeDocument/2006/relationships/hyperlink" Target="https://arxiv.org/abs/2601.10258" TargetMode="External"/><Relationship Id="rId50" Type="http://schemas.openxmlformats.org/officeDocument/2006/relationships/hyperlink" Target="https://dl.acm.org/doi/fullHtml/10.1145/3411763.3450385" TargetMode="External"/><Relationship Id="rId55" Type="http://schemas.openxmlformats.org/officeDocument/2006/relationships/hyperlink" Target="https://arxiv.org/pdf/2504.11436" TargetMode="External"/><Relationship Id="rId76" Type="http://schemas.openxmlformats.org/officeDocument/2006/relationships/hyperlink" Target="https://arsindustrialis.org/desire-and-knowledge-dead-seize-living" TargetMode="External"/><Relationship Id="rId97" Type="http://schemas.openxmlformats.org/officeDocument/2006/relationships/hyperlink" Target="https://arxiv.org/pdf/2603.19634" TargetMode="External"/><Relationship Id="rId7" Type="http://schemas.openxmlformats.org/officeDocument/2006/relationships/hyperlink" Target="https://dl.acm.org/doi/fullHtml/10.1145/3411763.3450385" TargetMode="External"/><Relationship Id="rId71" Type="http://schemas.openxmlformats.org/officeDocument/2006/relationships/hyperlink" Target="https://arxiv.org/abs/2501.17247" TargetMode="External"/><Relationship Id="rId92" Type="http://schemas.openxmlformats.org/officeDocument/2006/relationships/hyperlink" Target="https://arxiv.org/abs/2601.10258" TargetMode="External"/><Relationship Id="rId2" Type="http://schemas.openxmlformats.org/officeDocument/2006/relationships/styles" Target="styles.xml"/><Relationship Id="rId29" Type="http://schemas.openxmlformats.org/officeDocument/2006/relationships/hyperlink" Target="https://www.microsoft.com/en-us/research/wp-content/uploads/2025/01/lee_2025_ai_critical_thinking_survey.pdf" TargetMode="External"/><Relationship Id="rId24" Type="http://schemas.openxmlformats.org/officeDocument/2006/relationships/hyperlink" Target="https://arsindustrialis.org/node/2924" TargetMode="External"/><Relationship Id="rId40" Type="http://schemas.openxmlformats.org/officeDocument/2006/relationships/hyperlink" Target="https://arsindustrialis.org/node/2922" TargetMode="External"/><Relationship Id="rId45" Type="http://schemas.openxmlformats.org/officeDocument/2006/relationships/hyperlink" Target="https://arxiv.org/abs/2302.06590" TargetMode="External"/><Relationship Id="rId66" Type="http://schemas.openxmlformats.org/officeDocument/2006/relationships/hyperlink" Target="https://dl.acm.org/doi/full/10.1145/3725215" TargetMode="External"/><Relationship Id="rId87" Type="http://schemas.openxmlformats.org/officeDocument/2006/relationships/hyperlink" Target="https://www.microsoft.com/en-us/research/wp-content/uploads/2025/01/lee_2025_ai_critical_thinking_survey.pdf" TargetMode="External"/><Relationship Id="rId61" Type="http://schemas.openxmlformats.org/officeDocument/2006/relationships/hyperlink" Target="https://pubmed.ncbi.nlm.nih.gov/27668460/" TargetMode="External"/><Relationship Id="rId82" Type="http://schemas.openxmlformats.org/officeDocument/2006/relationships/hyperlink" Target="https://arsindustrialis.org/node/2924" TargetMode="External"/><Relationship Id="rId19" Type="http://schemas.openxmlformats.org/officeDocument/2006/relationships/hyperlink" Target="https://arsindustrialis.org/node/2924" TargetMode="External"/><Relationship Id="rId14" Type="http://schemas.openxmlformats.org/officeDocument/2006/relationships/hyperlink" Target="https://press.uchicago.edu/ucp/books/book/chicago/F/bo19211873.html" TargetMode="External"/><Relationship Id="rId30" Type="http://schemas.openxmlformats.org/officeDocument/2006/relationships/hyperlink" Target="https://arxiv.org/abs/2501.17247" TargetMode="External"/><Relationship Id="rId35" Type="http://schemas.openxmlformats.org/officeDocument/2006/relationships/hyperlink" Target="https://arxiv.org/pdf/2501.16577" TargetMode="External"/><Relationship Id="rId56" Type="http://schemas.openxmlformats.org/officeDocument/2006/relationships/hyperlink" Target="https://arxiv.org/pdf/2504.11436" TargetMode="External"/><Relationship Id="rId77" Type="http://schemas.openxmlformats.org/officeDocument/2006/relationships/hyperlink" Target="https://arsindustrialis.org/desire-and-knowledge-dead-seize-living" TargetMode="External"/><Relationship Id="rId100" Type="http://schemas.openxmlformats.org/officeDocument/2006/relationships/fontTable" Target="fontTable.xml"/><Relationship Id="rId8" Type="http://schemas.openxmlformats.org/officeDocument/2006/relationships/hyperlink" Target="https://read.dukeupress.edu/poetics-today/article/45/2/259/387700/Don-t-Ban-AI-from-Your-Writing-Classroom-Require" TargetMode="External"/><Relationship Id="rId51" Type="http://schemas.openxmlformats.org/officeDocument/2006/relationships/hyperlink" Target="https://read.dukeupress.edu/poetics-today/article/45/2/259/387700/Don-t-Ban-AI-from-Your-Writing-Classroom-Require" TargetMode="External"/><Relationship Id="rId72" Type="http://schemas.openxmlformats.org/officeDocument/2006/relationships/hyperlink" Target="https://press.uchicago.edu/ucp/books/book/chicago/F/bo19211873.html" TargetMode="External"/><Relationship Id="rId93" Type="http://schemas.openxmlformats.org/officeDocument/2006/relationships/hyperlink" Target="https://arxiv.org/abs/2601.10258" TargetMode="External"/><Relationship Id="rId98" Type="http://schemas.openxmlformats.org/officeDocument/2006/relationships/hyperlink" Target="https://arxiv.org/abs/2603.26099"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Pages>
  <Words>4237</Words>
  <Characters>29409</Characters>
  <Application>Microsoft Office Word</Application>
  <DocSecurity>0</DocSecurity>
  <Lines>466</Lines>
  <Paragraphs>133</Paragraphs>
  <ScaleCrop>false</ScaleCrop>
  <Company/>
  <LinksUpToDate>false</LinksUpToDate>
  <CharactersWithSpaces>33513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Mike West</cp:lastModifiedBy>
  <cp:revision>2</cp:revision>
  <dcterms:created xsi:type="dcterms:W3CDTF">2026-05-02T20:21:00Z</dcterms:created>
  <dcterms:modified xsi:type="dcterms:W3CDTF">2026-05-02T20:23:00Z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