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5EB6" w14:textId="77777777" w:rsidR="009E7FCF" w:rsidRDefault="00000000">
      <w:pPr>
        <w:pStyle w:val="Heading1"/>
      </w:pPr>
      <w:bookmarkStart w:id="0" w:name="header"/>
      <w:bookmarkStart w:id="1" w:name="Xaaf0e40870ddf65fc959ba4836b09e3f8230a7d"/>
      <w:bookmarkStart w:id="2" w:name="content"/>
      <w:bookmarkEnd w:id="0"/>
      <w:r>
        <w:t>Phenomenology of Skill and AI-Augmented Expert Work</w:t>
      </w:r>
    </w:p>
    <w:p w14:paraId="75733D1D" w14:textId="77777777" w:rsidR="009E7FCF" w:rsidRDefault="00000000">
      <w:pPr>
        <w:pStyle w:val="Heading2"/>
      </w:pPr>
      <w:bookmarkStart w:id="3" w:name="scope-and-source-base"/>
      <w:r>
        <w:t>Scope and source base</w:t>
      </w:r>
    </w:p>
    <w:p w14:paraId="60FC68EF" w14:textId="77777777" w:rsidR="009E7FCF" w:rsidRDefault="00000000">
      <w:pPr>
        <w:pStyle w:val="FirstParagraph"/>
      </w:pPr>
      <w:r>
        <w:t xml:space="preserve">This scan treats the pre-2015 works by Dreyfus and Merleau-Ponty as indispensable primary conceptual sources, then concentrates the applied literature on post-2015 work, especially 2022–2026 writing in </w:t>
      </w:r>
      <w:r>
        <w:rPr>
          <w:i/>
          <w:iCs/>
        </w:rPr>
        <w:t>Phenomenology and the Cognitive Sciences</w:t>
      </w:r>
      <w:r>
        <w:t xml:space="preserve">, </w:t>
      </w:r>
      <w:r>
        <w:rPr>
          <w:i/>
          <w:iCs/>
        </w:rPr>
        <w:t>AI &amp; Society</w:t>
      </w:r>
      <w:r>
        <w:t xml:space="preserve">, </w:t>
      </w:r>
      <w:r>
        <w:rPr>
          <w:i/>
          <w:iCs/>
        </w:rPr>
        <w:t>Ethics and Information Technology</w:t>
      </w:r>
      <w:r>
        <w:t xml:space="preserve">, </w:t>
      </w:r>
      <w:r>
        <w:rPr>
          <w:i/>
          <w:iCs/>
        </w:rPr>
        <w:t>Synthese</w:t>
      </w:r>
      <w:r>
        <w:t xml:space="preserve">, and adjacent empirical software-engineering and HCI venues. I cross-checked the Dreyfus materials against the original Berkeley/DTIC report record and later book records, and I cross-checked Merleau-Ponty’s framework against current publisher records plus recent scholarship that reproduces and interprets the canonical passages on habit, body schema, and the blind man’s cane. </w:t>
      </w:r>
      <w:hyperlink r:id="rId5">
        <w:r>
          <w:rPr>
            <w:rStyle w:val="Hyperlink"/>
          </w:rPr>
          <w:t>[1]</w:t>
        </w:r>
      </w:hyperlink>
    </w:p>
    <w:p w14:paraId="4E528C23" w14:textId="77777777" w:rsidR="009E7FCF" w:rsidRDefault="00000000">
      <w:pPr>
        <w:pStyle w:val="BodyText"/>
      </w:pPr>
      <w:r>
        <w:t xml:space="preserve">A first important clarification is bibliographic. The Dreyfus literature is often presented today as the five-stage sequence “novice, advanced beginner, competent, proficient, expert,” but the 1980 Berkeley report’s abstract instead names “novice, competence, proficiency, expertise, and mastery.” Later Dreyfus-associated publications and pedagogical adaptations fold in “advanced beginner” and often drop or separate “mastery.” For the purposes of this report, the philosophical core matters more than the terminological wrinkle: the model describes a movement from detached rule-following toward embodied, situational, intuitive responsiveness. </w:t>
      </w:r>
      <w:hyperlink r:id="rId6">
        <w:r>
          <w:rPr>
            <w:rStyle w:val="Hyperlink"/>
          </w:rPr>
          <w:t>[2]</w:t>
        </w:r>
      </w:hyperlink>
    </w:p>
    <w:p w14:paraId="4FD70975" w14:textId="77777777" w:rsidR="009E7FCF" w:rsidRDefault="00000000">
      <w:pPr>
        <w:pStyle w:val="BodyText"/>
      </w:pPr>
      <w:r>
        <w:t xml:space="preserve">The direct post-2015 phenomenological literature on AI-augmented professional expertise is still thin, and the programming-specific subset is thinner still. The clearest visible cluster is not in explicitly programmer-focused phenomenology but in a 2024 special issue on phenomenology and AI, in adjacent analytic-phenomenological journals, and in AI-in-work writing that uses extension, transparency, embodiment, or professional-self vocabulary, especially in healthcare. The closest programming literature is empirical software-engineering and HCI work on AI-assisted coding rather than explicitly phenomenological analysis. I found no connected or uploaded folder in this workspace to import additional house style rules from, so the report follows the standing deep-research constraints and standard literature-review conventions. </w:t>
      </w:r>
      <w:hyperlink r:id="rId7">
        <w:r>
          <w:rPr>
            <w:rStyle w:val="Hyperlink"/>
          </w:rPr>
          <w:t>[3]</w:t>
        </w:r>
      </w:hyperlink>
    </w:p>
    <w:p w14:paraId="0792B92E" w14:textId="77777777" w:rsidR="009E7FCF" w:rsidRDefault="00000000">
      <w:pPr>
        <w:pStyle w:val="Heading2"/>
      </w:pPr>
      <w:bookmarkStart w:id="4" w:name="framework-summary"/>
      <w:bookmarkEnd w:id="3"/>
      <w:r>
        <w:t>Framework summary</w:t>
      </w:r>
    </w:p>
    <w:p w14:paraId="22D6CDDD" w14:textId="77777777" w:rsidR="009E7FCF" w:rsidRDefault="00000000">
      <w:pPr>
        <w:pStyle w:val="FirstParagraph"/>
      </w:pPr>
      <w:r>
        <w:t>The deepest continuity between Dreyfus and Merleau-Ponty is that skill is not best understood as the accumulation of explicit rules. In the Dreyfus picture, beginners need rules because they lack felt salience; experts no longer need deliberative rule-application in routine cases because the situation itself is already meaningfully articulated for them. Recent summaries of Dreyfus in the What Computers Still Can't Do</w:t>
      </w:r>
      <w:hyperlink r:id="rId8">
        <w:r>
          <w:rPr>
            <w:rStyle w:val="Hyperlink"/>
          </w:rPr>
          <w:t>[4]</w:t>
        </w:r>
      </w:hyperlink>
      <w:r>
        <w:t xml:space="preserve"> tradition and in the </w:t>
      </w:r>
      <w:r>
        <w:rPr>
          <w:i/>
          <w:iCs/>
        </w:rPr>
        <w:t>Stanford Encyclopedia of Philosophy</w:t>
      </w:r>
      <w:r>
        <w:t xml:space="preserve"> present the same point: expertise is a style of absorbed, embodied coping rather than detached symbol manipulation. </w:t>
      </w:r>
      <w:hyperlink r:id="rId9">
        <w:r>
          <w:rPr>
            <w:rStyle w:val="Hyperlink"/>
          </w:rPr>
          <w:t>[5]</w:t>
        </w:r>
      </w:hyperlink>
    </w:p>
    <w:p w14:paraId="25A45AF3" w14:textId="77777777" w:rsidR="009E7FCF" w:rsidRDefault="00000000">
      <w:pPr>
        <w:pStyle w:val="BodyText"/>
      </w:pPr>
      <w:r>
        <w:lastRenderedPageBreak/>
        <w:t>Merleau-Ponty gives the ontological and phenomenological underside of that claim. In Phenomenology of Perception</w:t>
      </w:r>
      <w:hyperlink r:id="rId10">
        <w:r>
          <w:rPr>
            <w:rStyle w:val="Hyperlink"/>
          </w:rPr>
          <w:t>[6]</w:t>
        </w:r>
      </w:hyperlink>
      <w:r>
        <w:t xml:space="preserve">, the body schema is not a static internal map but a dynamic, practical organization of bodily powers. Habit changes what counts as immediately actionable. Recent scholarship reconstructs Merleau-Ponty’s view as “operative intentionality”: the body schema is the perceptual and motor background against which a world of relevant possibilities stands out. His stock examples — learning a movement, learning to type, driving, or using a cane — all show that skill modifies bodily space and practical sense. </w:t>
      </w:r>
      <w:hyperlink r:id="rId11">
        <w:r>
          <w:rPr>
            <w:rStyle w:val="Hyperlink"/>
          </w:rPr>
          <w:t>[7]</w:t>
        </w:r>
      </w:hyperlink>
    </w:p>
    <w:p w14:paraId="2D41D094" w14:textId="77777777" w:rsidR="009E7FCF" w:rsidRDefault="00000000">
      <w:pPr>
        <w:pStyle w:val="BodyText"/>
      </w:pPr>
      <w:r>
        <w:t xml:space="preserve">That yields a compact phenomenological framework for AI-augmented work. First, expertise requires repeated exposure to whole situations, not only successful outputs. Second, intuitive expertise is not “mystical”; it is sedimented practical discrimination. Third, tools can become transparent in use, but transparency alone does not settle whether the tool is truly incorporated into one’s bodily or practical identity. Fourth, the real deskilling question is not whether AI raises short-term performance, but whether it preserves the experiential conditions under which practical intuition can emerge. </w:t>
      </w:r>
      <w:hyperlink r:id="rId12">
        <w:r>
          <w:rPr>
            <w:rStyle w:val="Hyperlink"/>
          </w:rPr>
          <w:t>[8]</w:t>
        </w:r>
      </w:hyperlink>
    </w:p>
    <w:p w14:paraId="50EB8F5D" w14:textId="77777777" w:rsidR="009E7FCF" w:rsidRDefault="00000000">
      <w:pPr>
        <w:pStyle w:val="Heading2"/>
      </w:pPr>
      <w:bookmarkStart w:id="5" w:name="dreyfus-after-large-language-models"/>
      <w:bookmarkEnd w:id="4"/>
      <w:r>
        <w:t>Dreyfus after large language models</w:t>
      </w:r>
    </w:p>
    <w:p w14:paraId="77E7B534" w14:textId="77777777" w:rsidR="009E7FCF" w:rsidRDefault="00000000">
      <w:pPr>
        <w:pStyle w:val="FirstParagraph"/>
      </w:pPr>
      <w:r>
        <w:t xml:space="preserve">Applied to current LLMs, some of Dreyfus’s critique survives almost intact, while some of it plainly does not. What does </w:t>
      </w:r>
      <w:r>
        <w:rPr>
          <w:b/>
          <w:bCs/>
        </w:rPr>
        <w:t>not</w:t>
      </w:r>
      <w:r>
        <w:t xml:space="preserve"> survive straightforwardly is the original target of the critique: “good old-fashioned AI” built around explicit symbolic representations and rule-based search. Contemporary LLMs are transformer models trained primarily by large-scale next-token prediction and then shaped by instruction tuning and other post-training procedures; they exhibit broad linguistic competence without hand-coded world models of the GOFAI kind. On this point, Dreyfus’s anti-symbolic diagnosis needs updating rather than simple repetition. </w:t>
      </w:r>
      <w:hyperlink r:id="rId13">
        <w:r>
          <w:rPr>
            <w:rStyle w:val="Hyperlink"/>
          </w:rPr>
          <w:t>[9]</w:t>
        </w:r>
      </w:hyperlink>
    </w:p>
    <w:p w14:paraId="0F1F849A" w14:textId="77777777" w:rsidR="009E7FCF" w:rsidRDefault="00000000">
      <w:pPr>
        <w:pStyle w:val="BodyText"/>
      </w:pPr>
      <w:r>
        <w:t xml:space="preserve">What </w:t>
      </w:r>
      <w:r>
        <w:rPr>
          <w:b/>
          <w:bCs/>
        </w:rPr>
        <w:t>does</w:t>
      </w:r>
      <w:r>
        <w:t xml:space="preserve"> survive is the critique of disembodied intelligence. Dreyfus’s enduring claim was that human understanding depends on embodied coping, practical relevance, and a background sense of the world that is not exhaustively specifiable in formal rules. That concern reappears with surprising force in the post-2022 phenomenological discussion of LLMs. The 2024 </w:t>
      </w:r>
      <w:r>
        <w:rPr>
          <w:i/>
          <w:iCs/>
        </w:rPr>
        <w:t>Phenomenology and the Cognitive Sciences</w:t>
      </w:r>
      <w:r>
        <w:t xml:space="preserve"> special issue explicitly reopens the question of whether AI can possess subjectivity, intelligence, or understanding in anything like the human sense, and several papers reject the inference from fluent language production to genuine understanding. James Mensch argues, against sentience attributions to LaMDA-like systems, that linguistic performance without lived embodiment is not human intelligence; Susan Stuart argues that LLM fluency misleads us because language production is being mistaken for understanding, intention, and consciousness; Veronica Cibotaru insists on contextual and content-sensitive differences between human and artificial intelligence; and Zbigniew Orbik argues that Husserlian transcendental consciousness does not straightforwardly model AI consciousness. </w:t>
      </w:r>
      <w:hyperlink r:id="rId14">
        <w:r>
          <w:rPr>
            <w:rStyle w:val="Hyperlink"/>
          </w:rPr>
          <w:t>[10]</w:t>
        </w:r>
      </w:hyperlink>
    </w:p>
    <w:p w14:paraId="472ED366" w14:textId="77777777" w:rsidR="009E7FCF" w:rsidRDefault="00000000">
      <w:pPr>
        <w:pStyle w:val="BodyText"/>
      </w:pPr>
      <w:r>
        <w:t xml:space="preserve">The contemporary phenomenological response therefore shifts the point of comparison. The issue is no longer, as in classic GOFAI, whether symbol-manipulating rules can </w:t>
      </w:r>
      <w:r>
        <w:lastRenderedPageBreak/>
        <w:t xml:space="preserve">produce intelligence. The issue is whether highly successful language models can count as understanding agents in the absence of embodiment, first-person perspective, intersubjective world-involvement, and referential grounding. That is why the recent debate repeatedly turns to embodiment, sentience, intentionality, and grounding rather than to the older symbolic frame problem alone. Jack Reynolds’s return to Dreyfus in the context of predictive processing makes this especially clear: Dreyfus remains relevant as a critic of any model that underdescribes embodied relevance and situated coping. </w:t>
      </w:r>
      <w:hyperlink r:id="rId15">
        <w:r>
          <w:rPr>
            <w:rStyle w:val="Hyperlink"/>
          </w:rPr>
          <w:t>[11]</w:t>
        </w:r>
      </w:hyperlink>
    </w:p>
    <w:p w14:paraId="6A70C685" w14:textId="77777777" w:rsidR="009E7FCF" w:rsidRDefault="00000000">
      <w:pPr>
        <w:pStyle w:val="BodyText"/>
      </w:pPr>
      <w:r>
        <w:t xml:space="preserve">At the same time, the current literature does not simply say that LLMs are “nothing but” failures. Richard Heersmink and coauthors argue that LLMs are multifunctional computational cognitive artifacts that can become phenomenologically transparent in use, generating interactional flow and a misleading sense of trustworthiness. Xabier Barandiaran and Lola Almendros go further and argue that LLMs transform agency, meaning that they should be analyzed neither as mere tools nor as straightforward substitutes for human agency. In other words, the best current phenomenological work does not deny that LLMs change human action; it denies that output fluency settles what kind of agency is present. </w:t>
      </w:r>
      <w:hyperlink r:id="rId16">
        <w:r>
          <w:rPr>
            <w:rStyle w:val="Hyperlink"/>
          </w:rPr>
          <w:t>[12]</w:t>
        </w:r>
      </w:hyperlink>
    </w:p>
    <w:p w14:paraId="037CCDB0" w14:textId="77777777" w:rsidR="009E7FCF" w:rsidRDefault="00000000">
      <w:pPr>
        <w:pStyle w:val="BodyText"/>
      </w:pPr>
      <w:r>
        <w:t>The authors the user named fit into this picture unevenly. Sean Dorrance Kelly</w:t>
      </w:r>
      <w:hyperlink r:id="rId17">
        <w:r>
          <w:rPr>
            <w:rStyle w:val="Hyperlink"/>
          </w:rPr>
          <w:t>[13]</w:t>
        </w:r>
      </w:hyperlink>
      <w:r>
        <w:t xml:space="preserve"> extends Dreyfus’s line most directly on the side of motor intentionality and social normativity; his public essay on AI and art argues that genuine creativity is socially and historically embedded, so present AI may assist or provoke human creativity without being an autonomous creator in the full sense. Evan Thompson</w:t>
      </w:r>
      <w:hyperlink r:id="rId18">
        <w:r>
          <w:rPr>
            <w:rStyle w:val="Hyperlink"/>
          </w:rPr>
          <w:t>[14]</w:t>
        </w:r>
      </w:hyperlink>
      <w:r>
        <w:t xml:space="preserve"> is not, in the sources I found, intervening directly on LLMs as often as the 2024–2025 phenomenology-of-AI authors, but the enactive program he helped establish in The Embodied Mind</w:t>
      </w:r>
      <w:hyperlink r:id="rId19">
        <w:r>
          <w:rPr>
            <w:rStyle w:val="Hyperlink"/>
          </w:rPr>
          <w:t>[15]</w:t>
        </w:r>
      </w:hyperlink>
      <w:r>
        <w:t xml:space="preserve"> remains one of the main live frameworks for arguing that cognition is enacted through embodied action and cannot be reduced to detached, text-only success. Shaun Gallagher</w:t>
      </w:r>
      <w:hyperlink r:id="rId20">
        <w:r>
          <w:rPr>
            <w:rStyle w:val="Hyperlink"/>
          </w:rPr>
          <w:t>[16]</w:t>
        </w:r>
      </w:hyperlink>
      <w:r>
        <w:t xml:space="preserve"> likewise offers less LLM-specific polemic than methodological and theoretical resources: his 4E work and “front-loaded phenomenology” show how embodied cognition and phenomenological distinctions can shape empirical design rather than merely comment on results after the fact. </w:t>
      </w:r>
      <w:hyperlink r:id="rId21">
        <w:r>
          <w:rPr>
            <w:rStyle w:val="Hyperlink"/>
          </w:rPr>
          <w:t>[17]</w:t>
        </w:r>
      </w:hyperlink>
    </w:p>
    <w:p w14:paraId="65EB8598" w14:textId="77777777" w:rsidR="009E7FCF" w:rsidRDefault="00000000">
      <w:pPr>
        <w:pStyle w:val="BodyText"/>
      </w:pPr>
      <w:r>
        <w:t xml:space="preserve">My bottom line on Dreyfus and LLMs is therefore this: the anti-GOFAI portion of the old critique is historically limited, but the anti-disembodiment, anti-formalism, and anti-detached-account-of-expertise portions remain highly resilient. LLMs refute the claim that only symbolic rule-systems can be AI, but they do not refute the phenomenological claim that human expertise depends on embodied, situated, normatively loaded world-involvement. </w:t>
      </w:r>
      <w:hyperlink r:id="rId22">
        <w:r>
          <w:rPr>
            <w:rStyle w:val="Hyperlink"/>
          </w:rPr>
          <w:t>[18]</w:t>
        </w:r>
      </w:hyperlink>
    </w:p>
    <w:p w14:paraId="1770FBF3" w14:textId="77777777" w:rsidR="009E7FCF" w:rsidRDefault="00000000">
      <w:pPr>
        <w:pStyle w:val="Heading2"/>
      </w:pPr>
      <w:bookmarkStart w:id="6" w:name="Xa0387e492e209413c06e793603a63f1a4dd2a9f"/>
      <w:bookmarkEnd w:id="5"/>
      <w:r>
        <w:t>Merleau-Ponty, tool incorporation, and AI mediation</w:t>
      </w:r>
    </w:p>
    <w:p w14:paraId="647E6A0C" w14:textId="77777777" w:rsidR="009E7FCF" w:rsidRDefault="00000000">
      <w:pPr>
        <w:pStyle w:val="FirstParagraph"/>
      </w:pPr>
      <w:r>
        <w:t xml:space="preserve">Merleau-Ponty’s body schema is the best classical resource for asking whether AI tools can become part of skilled professional coping. The canonical examples — movement learning, typing, driving, the blind man’s cane — all show that habit can make a tool or task-space function as an extension of bodily power. The tool ceases to confront the user </w:t>
      </w:r>
      <w:r>
        <w:lastRenderedPageBreak/>
        <w:t xml:space="preserve">as an object of detached attention and instead becomes the medium through which the world is accessed. Recent exegesis stresses that body schema, for Merleau-Ponty, is open, indefinite, task-relative, and plastic. </w:t>
      </w:r>
      <w:hyperlink r:id="rId23">
        <w:r>
          <w:rPr>
            <w:rStyle w:val="Hyperlink"/>
          </w:rPr>
          <w:t>[19]</w:t>
        </w:r>
      </w:hyperlink>
    </w:p>
    <w:p w14:paraId="60B74738" w14:textId="77777777" w:rsidR="009E7FCF" w:rsidRDefault="00000000">
      <w:pPr>
        <w:pStyle w:val="BodyText"/>
      </w:pPr>
      <w:r>
        <w:t xml:space="preserve">But recent phenomenology also warns against an easy inflation of “incorporation.” The strongest current clarification is that transparency in use is </w:t>
      </w:r>
      <w:r>
        <w:rPr>
          <w:b/>
          <w:bCs/>
        </w:rPr>
        <w:t>not</w:t>
      </w:r>
      <w:r>
        <w:t xml:space="preserve"> yet full incorporation. The 2025 paper on sensorimotor incorporation distinguishes a weak sense — skilled, transparent mediation that updates body schema for a task — from a stronger sense that would imply something closer to bodily belonging, permanence, irreversibility, or affective self-concern. Jenny Slatman had already argued, in a different register, that Merleau-Ponty’s vocabulary of incorporation should not be flattened into any case where a tool becomes easy to use. That caution matters a lot for AI. </w:t>
      </w:r>
      <w:hyperlink r:id="rId24">
        <w:r>
          <w:rPr>
            <w:rStyle w:val="Hyperlink"/>
          </w:rPr>
          <w:t>[20]</w:t>
        </w:r>
      </w:hyperlink>
    </w:p>
    <w:p w14:paraId="723408A8" w14:textId="77777777" w:rsidR="009E7FCF" w:rsidRDefault="00000000">
      <w:pPr>
        <w:pStyle w:val="BodyText"/>
      </w:pPr>
      <w:r>
        <w:t xml:space="preserve">Applied to fluently used AI systems, the most plausible claim is therefore </w:t>
      </w:r>
      <w:r>
        <w:rPr>
          <w:b/>
          <w:bCs/>
        </w:rPr>
        <w:t>not</w:t>
      </w:r>
      <w:r>
        <w:t xml:space="preserve"> that current coding assistants literally become parts of the body. The better claim is that they can become temporarily transparent components of a professional task ecology. Heersmink and colleagues say something close to this when they describe LLMs as computational cognitive artifacts that can become phenomenologically transparent and generate interactional flow. Anna Schneider-Kamp and Alessandro Godono make a related move in healthcare with the notion of the “AI-extended professional self”: when AI adapts to the user and supports intentions with minimal burden, it may function as a dynamic extension of professional capability rather than as an external replacement. Scott Campbell, Nicole Ellison, and Morgan Ross extend the argument into AI-mediated communication, where self-extension can be functional, ontological, or anthropomorphic. </w:t>
      </w:r>
      <w:hyperlink r:id="rId25">
        <w:r>
          <w:rPr>
            <w:rStyle w:val="Hyperlink"/>
          </w:rPr>
          <w:t>[21]</w:t>
        </w:r>
      </w:hyperlink>
    </w:p>
    <w:p w14:paraId="513D02A7" w14:textId="77777777" w:rsidR="009E7FCF" w:rsidRDefault="00000000">
      <w:pPr>
        <w:pStyle w:val="BodyText"/>
      </w:pPr>
      <w:r>
        <w:t xml:space="preserve">For AI-augmented programming, however, a phenomenologically careful verdict should remain restrained. Current LLM-based assistants are detachable, opaque, intermittently unreliable, and still in need of active monitoring; even the strongest recent empirical work on LLM reliability finds that larger and more instructable models may remain unstable in ways that complicate supervision. That makes present coding assistants poor candidates for </w:t>
      </w:r>
      <w:r>
        <w:rPr>
          <w:b/>
          <w:bCs/>
        </w:rPr>
        <w:t>strong</w:t>
      </w:r>
      <w:r>
        <w:t xml:space="preserve"> incorporation. They are better described as candidates for </w:t>
      </w:r>
      <w:r>
        <w:rPr>
          <w:b/>
          <w:bCs/>
        </w:rPr>
        <w:t>weak incorporation</w:t>
      </w:r>
      <w:r>
        <w:t xml:space="preserve"> or transparent mediation: they can become part of the flow of work, but only under conditions of calibrated trust and recurrent verification. </w:t>
      </w:r>
      <w:hyperlink r:id="rId26">
        <w:r>
          <w:rPr>
            <w:rStyle w:val="Hyperlink"/>
          </w:rPr>
          <w:t>[22]</w:t>
        </w:r>
      </w:hyperlink>
    </w:p>
    <w:p w14:paraId="2C9B909E" w14:textId="77777777" w:rsidR="009E7FCF" w:rsidRDefault="00000000">
      <w:pPr>
        <w:pStyle w:val="BodyText"/>
      </w:pPr>
      <w:r>
        <w:t xml:space="preserve">This is the hinge to the deskilling debate. In phenomenological terms, the issue is not “does the tool help?” but “what happens to the user’s field of solicitations?” If AI increasingly selects the relevant code pattern, repair path, library call, or design alternative before the programmer has had to learn to see the situation, then some of the experiential conditions of intuitive expertise may be thinned out. If, on the other hand, AI makes richer situations available, accelerates exposure, and preserves accountability for judgment, it could scaffold the route to expertise rather than block it. Phenomenology thus reframes deskilling as a question about whether the user still undergoes the right kinds of situation-disclosing experience. </w:t>
      </w:r>
      <w:hyperlink r:id="rId27">
        <w:r>
          <w:rPr>
            <w:rStyle w:val="Hyperlink"/>
          </w:rPr>
          <w:t>[23]</w:t>
        </w:r>
      </w:hyperlink>
    </w:p>
    <w:p w14:paraId="6707CFF8" w14:textId="77777777" w:rsidR="009E7FCF" w:rsidRDefault="00000000">
      <w:pPr>
        <w:pStyle w:val="Heading2"/>
      </w:pPr>
      <w:bookmarkStart w:id="7" w:name="evidence-map"/>
      <w:bookmarkEnd w:id="6"/>
      <w:r>
        <w:lastRenderedPageBreak/>
        <w:t>Evidence map</w:t>
      </w:r>
    </w:p>
    <w:p w14:paraId="31C23D61" w14:textId="77777777" w:rsidR="009E7FCF" w:rsidRDefault="00000000">
      <w:pPr>
        <w:pStyle w:val="FirstParagraph"/>
      </w:pPr>
      <w:r>
        <w:rPr>
          <w:b/>
          <w:bCs/>
        </w:rPr>
        <w:t>Strong support: Dreyfus’s critique survives most clearly as an anti-disembodiment critique, not as a simple anti-AI critique.</w:t>
      </w:r>
      <w:r>
        <w:t xml:space="preserve"> The post-2024 phenomenology-of-AI literature overwhelmingly revisits understanding, subjectivity, sentience, and intentionality, and repeatedly argues that fluent linguistic output does not settle these matters. </w:t>
      </w:r>
      <w:hyperlink r:id="rId28">
        <w:r>
          <w:rPr>
            <w:rStyle w:val="Hyperlink"/>
          </w:rPr>
          <w:t>[24]</w:t>
        </w:r>
      </w:hyperlink>
    </w:p>
    <w:p w14:paraId="03B97561" w14:textId="77777777" w:rsidR="009E7FCF" w:rsidRDefault="00000000">
      <w:pPr>
        <w:pStyle w:val="BodyText"/>
      </w:pPr>
      <w:r>
        <w:rPr>
          <w:b/>
          <w:bCs/>
        </w:rPr>
        <w:t>Moderate support: there is now a real literature on LLMs and transparency, trust, self-extension, and transformed agency.</w:t>
      </w:r>
      <w:r>
        <w:t xml:space="preserve"> This literature does not usually focus on programming, but it is directly relevant to AI-augmented expert work because it explains how AI can become experientially transparent while still remaining epistemically risky. </w:t>
      </w:r>
      <w:hyperlink r:id="rId29">
        <w:r>
          <w:rPr>
            <w:rStyle w:val="Hyperlink"/>
          </w:rPr>
          <w:t>[25]</w:t>
        </w:r>
      </w:hyperlink>
    </w:p>
    <w:p w14:paraId="7CD8B41F" w14:textId="77777777" w:rsidR="009E7FCF" w:rsidRDefault="00000000">
      <w:pPr>
        <w:pStyle w:val="BodyText"/>
      </w:pPr>
      <w:r>
        <w:rPr>
          <w:b/>
          <w:bCs/>
        </w:rPr>
        <w:t>Moderate support: the strongest professional-expertise applications are currently in healthcare and general knowledge work, not programming.</w:t>
      </w:r>
      <w:r>
        <w:t xml:space="preserve"> The “AI-extended professional self” literature is healthcare-centered, and broader field experiments on knowledge workers show time savings without large shifts in the composition of work. That is useful background evidence, but it is only an indirect proxy for programmers. </w:t>
      </w:r>
      <w:hyperlink r:id="rId30">
        <w:r>
          <w:rPr>
            <w:rStyle w:val="Hyperlink"/>
          </w:rPr>
          <w:t>[26]</w:t>
        </w:r>
      </w:hyperlink>
    </w:p>
    <w:p w14:paraId="2082F7B5" w14:textId="77777777" w:rsidR="009E7FCF" w:rsidRDefault="00000000">
      <w:pPr>
        <w:pStyle w:val="BodyText"/>
      </w:pPr>
      <w:r>
        <w:rPr>
          <w:b/>
          <w:bCs/>
        </w:rPr>
        <w:t>Mixed support: empirical programming studies show gains in speed, confidence, and some quality dimensions, but they also reveal interaction costs, reliability limits, and discrepancies between subjective and objective productivity.</w:t>
      </w:r>
      <w:r>
        <w:t xml:space="preserve"> Microsoft’s CHI 2024 study of 21 programmers develops a taxonomy of interaction costs; vendor-sponsored randomized studies report faster completion and better perceived flow; newer software-engineering work studies runtime performance and project productivity; and quasi-experimental educational research finds that effectiveness varies and overreliance can undermine learning. </w:t>
      </w:r>
      <w:hyperlink r:id="rId31">
        <w:r>
          <w:rPr>
            <w:rStyle w:val="Hyperlink"/>
          </w:rPr>
          <w:t>[27]</w:t>
        </w:r>
      </w:hyperlink>
    </w:p>
    <w:p w14:paraId="5B65AA8D" w14:textId="77777777" w:rsidR="009E7FCF" w:rsidRDefault="00000000">
      <w:pPr>
        <w:pStyle w:val="BodyText"/>
      </w:pPr>
      <w:r>
        <w:rPr>
          <w:b/>
          <w:bCs/>
        </w:rPr>
        <w:t>Moderate support: deskilling concerns are real, but the evidence is still more longitudinally weak than the rhetoric suggests.</w:t>
      </w:r>
      <w:r>
        <w:t xml:space="preserve"> The best current evidence base includes educational misuse and self-sabotage concerns, reliability studies showing persistent error visibility problems, and workplace deskilling/upskilling debates; what is still missing is long-run evidence about whether AI-assisted coders develop or lose intuitive discriminative skill over years rather than weeks. </w:t>
      </w:r>
      <w:hyperlink r:id="rId32">
        <w:r>
          <w:rPr>
            <w:rStyle w:val="Hyperlink"/>
          </w:rPr>
          <w:t>[28]</w:t>
        </w:r>
      </w:hyperlink>
    </w:p>
    <w:p w14:paraId="664CCE38" w14:textId="77777777" w:rsidR="009E7FCF" w:rsidRDefault="00000000">
      <w:pPr>
        <w:pStyle w:val="BodyText"/>
      </w:pPr>
      <w:r>
        <w:rPr>
          <w:b/>
          <w:bCs/>
        </w:rPr>
        <w:t>Weak support: direct phenomenological work on AI-augmented programming expertise in explicitly Society for Phenomenology and Existential Philosophy</w:t>
      </w:r>
      <w:hyperlink r:id="rId33">
        <w:r>
          <w:rPr>
            <w:rStyle w:val="Hyperlink"/>
            <w:b/>
            <w:bCs/>
          </w:rPr>
          <w:t>[29]</w:t>
        </w:r>
      </w:hyperlink>
      <w:r>
        <w:rPr>
          <w:b/>
          <w:bCs/>
        </w:rPr>
        <w:t>-adjacent venues remains sparse.</w:t>
      </w:r>
      <w:r>
        <w:t xml:space="preserve"> What is clearly visible is the 2024 special issue in </w:t>
      </w:r>
      <w:r>
        <w:rPr>
          <w:i/>
          <w:iCs/>
        </w:rPr>
        <w:t>Phenomenology and the Cognitive Sciences</w:t>
      </w:r>
      <w:r>
        <w:t xml:space="preserve"> and adjacent journal work; what is not yet clearly visible is a mature, programmer-specific phenomenological subfield. </w:t>
      </w:r>
      <w:hyperlink r:id="rId34">
        <w:r>
          <w:rPr>
            <w:rStyle w:val="Hyperlink"/>
          </w:rPr>
          <w:t>[30]</w:t>
        </w:r>
      </w:hyperlink>
    </w:p>
    <w:p w14:paraId="2B9022DF" w14:textId="77777777" w:rsidR="009E7FCF" w:rsidRDefault="00000000">
      <w:pPr>
        <w:pStyle w:val="Heading2"/>
      </w:pPr>
      <w:bookmarkStart w:id="8" w:name="Xa0aa42bb9463aa958c6bc3490f77051f93435ee"/>
      <w:bookmarkEnd w:id="7"/>
      <w:r>
        <w:t>Research program for AI-augmented programming expertise</w:t>
      </w:r>
    </w:p>
    <w:p w14:paraId="53968766" w14:textId="77777777" w:rsidR="009E7FCF" w:rsidRDefault="00000000">
      <w:pPr>
        <w:pStyle w:val="FirstParagraph"/>
      </w:pPr>
      <w:r>
        <w:t xml:space="preserve">A phenomenologically rigorous study of AI-augmented programming expertise should begin from a clear thesis: programming expertise is not just the production of correct code under time pressure, but a form of situated practical coping in which relevance, error salience, debugging trajectories, bodily familiarity with the development environment, and </w:t>
      </w:r>
      <w:r>
        <w:lastRenderedPageBreak/>
        <w:t xml:space="preserve">felt agency all matter. Methodologically, that means the study should be </w:t>
      </w:r>
      <w:r>
        <w:rPr>
          <w:b/>
          <w:bCs/>
        </w:rPr>
        <w:t>front-loaded</w:t>
      </w:r>
      <w:r>
        <w:t xml:space="preserve"> with phenomenological distinctions rather than using phenomenology as a decorative afterthought. Gallagher’s framework is the right starting point here: phenomenological concepts should shape the design of the study, the interview guide, the task ecology, and the categories of analysis from the beginning. </w:t>
      </w:r>
      <w:hyperlink r:id="rId35">
        <w:r>
          <w:rPr>
            <w:rStyle w:val="Hyperlink"/>
          </w:rPr>
          <w:t>[31]</w:t>
        </w:r>
      </w:hyperlink>
    </w:p>
    <w:p w14:paraId="50D52B58" w14:textId="77777777" w:rsidR="009E7FCF" w:rsidRDefault="00000000">
      <w:pPr>
        <w:pStyle w:val="BodyText"/>
      </w:pPr>
      <w:r>
        <w:t xml:space="preserve">The design should be longitudinal and ecologically valid. At minimum, it should compare novice, intermediate, and expert programmers across several conditions: no AI assistance, conventional autocomplete, conversational LLM help, and more agentic code-generation or code-editing modes. The tasks should not be toy one-shot problems alone; they should include authentic workflows such as feature extension in an existing codebase, ambiguous bug fixing, refactoring under architectural constraints, and code review. The reason is phenomenological as much as empirical: intuitive expertise appears most clearly in situations where salience, not mere recall, governs action. </w:t>
      </w:r>
      <w:hyperlink r:id="rId36">
        <w:r>
          <w:rPr>
            <w:rStyle w:val="Hyperlink"/>
          </w:rPr>
          <w:t>[32]</w:t>
        </w:r>
      </w:hyperlink>
    </w:p>
    <w:p w14:paraId="1CECC043" w14:textId="77777777" w:rsidR="009E7FCF" w:rsidRDefault="00000000">
      <w:pPr>
        <w:pStyle w:val="BodyText"/>
      </w:pPr>
      <w:r>
        <w:t xml:space="preserve">The first-person data should be richer than ordinary post-task surveys. A strong design would combine session recording with stimulated-recall interviews, micro-phenomenological or otherwise experience-sensitive elicitation, and short in-situ probes placed at breakdown points rather than continuously during absorbed work. Continuous think-aloud protocols are likely to distort the very absorbed coping one wants to study, so they should be used cautiously. The key experiential dimensions to elicit are: when the AI felt transparent versus obtrusive; when the programmer felt drawn to a possibility rather than calculating it; when authorship or responsibility became unclear; how trust rose or fell; and whether debugging remained an owned activity or was outsourced to the tool. Gallagher’s front-loaded phenomenology and the new practical overview of that method are especially useful here. </w:t>
      </w:r>
      <w:hyperlink r:id="rId37">
        <w:r>
          <w:rPr>
            <w:rStyle w:val="Hyperlink"/>
          </w:rPr>
          <w:t>[33]</w:t>
        </w:r>
      </w:hyperlink>
    </w:p>
    <w:p w14:paraId="41989664" w14:textId="77777777" w:rsidR="009E7FCF" w:rsidRDefault="00000000">
      <w:pPr>
        <w:pStyle w:val="BodyText"/>
      </w:pPr>
      <w:r>
        <w:t xml:space="preserve">Behavioral and cognitive measures still matter, but they should be subordinated to the phenomenological question rather than treated as exhaustive. The existing programming literature largely operationalizes skill in terms of completion time, correctness, runtime performance, commit activity, code quality dimensions, or self-reported confidence and productivity. Those are valuable measures, and a rigorous study should keep them. But they do not by themselves capture whether intuitive expertise is deepening, flattening, or becoming unevenly distributed between human and tool. A phenomenological design should therefore add measures of breakdown-recovery quality, fix-path diversity, explanation depth during code review, error anticipation before execution, and the stability of trust calibration across repeated use. </w:t>
      </w:r>
      <w:hyperlink r:id="rId38">
        <w:r>
          <w:rPr>
            <w:rStyle w:val="Hyperlink"/>
          </w:rPr>
          <w:t>[34]</w:t>
        </w:r>
      </w:hyperlink>
    </w:p>
    <w:p w14:paraId="15CE622E" w14:textId="77777777" w:rsidR="009E7FCF" w:rsidRDefault="00000000">
      <w:pPr>
        <w:pStyle w:val="BodyText"/>
      </w:pPr>
      <w:r>
        <w:t xml:space="preserve">This is where the relation to cognitive-psychology skill assessment becomes clearest. A cognitive-psychology instrument will tend to ask whether the programmer solved the task faster, with lower load, higher confidence, or better objective output. A phenomenological instrument asks a different though compatible question: </w:t>
      </w:r>
      <w:r>
        <w:rPr>
          <w:b/>
          <w:bCs/>
        </w:rPr>
        <w:t>what kind of skill was exercised?</w:t>
      </w:r>
      <w:r>
        <w:t xml:space="preserve"> Was the task solved through owned situational discrimination, or through prompt brokerage plus verification? Did the programmer’s field of relevant possibilities widen, or did the AI silently narrow it? Did the tool help sediment new practical </w:t>
      </w:r>
      <w:r>
        <w:lastRenderedPageBreak/>
        <w:t xml:space="preserve">understanding, or did it replace the need for such understanding in the moment? The most defensible research program is therefore a mixed-method one in which performance metrics remain necessary but are interpreted through phenomenological categories of transparency, solicitation, agency, trust, and breakdown. </w:t>
      </w:r>
      <w:hyperlink r:id="rId39">
        <w:r>
          <w:rPr>
            <w:rStyle w:val="Hyperlink"/>
          </w:rPr>
          <w:t>[35]</w:t>
        </w:r>
      </w:hyperlink>
    </w:p>
    <w:p w14:paraId="29994F1C" w14:textId="77777777" w:rsidR="009E7FCF" w:rsidRDefault="00000000">
      <w:pPr>
        <w:pStyle w:val="BodyText"/>
      </w:pPr>
      <w:r>
        <w:t xml:space="preserve">Conceptually, the strongest hypotheses would be these. Early-stage programmers are most at risk of pseudo-expertise: they may produce better artifacts without undergoing the sequence of failures and discriminations that ordinarily sediment intuition. Mid-level programmers may benefit most from augmentation, because they have enough background to evaluate suggestions without needing to rediscover everything from scratch. Experts may gain the most in routine acceleration but may also face new risks of attentional fragmentation and degraded contact with edge-case salience if the system becomes too “helpful.” These hypotheses are not yet settled by the existing evidence, but they are exactly the sort of hypotheses a Dreyfus–Merleau-Ponty framework makes researchable. </w:t>
      </w:r>
      <w:hyperlink r:id="rId40">
        <w:r>
          <w:rPr>
            <w:rStyle w:val="Hyperlink"/>
          </w:rPr>
          <w:t>[36]</w:t>
        </w:r>
      </w:hyperlink>
    </w:p>
    <w:p w14:paraId="797CBB30" w14:textId="77777777" w:rsidR="009E7FCF" w:rsidRDefault="00000000">
      <w:pPr>
        <w:pStyle w:val="Heading2"/>
      </w:pPr>
      <w:bookmarkStart w:id="9" w:name="open-questions-and-limitations"/>
      <w:bookmarkEnd w:id="8"/>
      <w:r>
        <w:t>Open questions and limitations</w:t>
      </w:r>
    </w:p>
    <w:p w14:paraId="41260E5C" w14:textId="77777777" w:rsidR="009E7FCF" w:rsidRDefault="00000000">
      <w:pPr>
        <w:pStyle w:val="FirstParagraph"/>
      </w:pPr>
      <w:r>
        <w:t xml:space="preserve">The main limitation in the source base is that there is still no dense, post-2015 phenomenological literature specifically on AI-augmented programming expertise. The most relevant phenomenological work is on AI and consciousness, AI and trust, AI and self-extension, or AI in healthcare, while the programming literature is mostly empirical software engineering and HCI rather than explicit phenomenology. </w:t>
      </w:r>
      <w:hyperlink r:id="rId41">
        <w:r>
          <w:rPr>
            <w:rStyle w:val="Hyperlink"/>
          </w:rPr>
          <w:t>[37]</w:t>
        </w:r>
      </w:hyperlink>
    </w:p>
    <w:p w14:paraId="6C01A4E1" w14:textId="77777777" w:rsidR="009E7FCF" w:rsidRDefault="00000000">
      <w:pPr>
        <w:pStyle w:val="BodyText"/>
      </w:pPr>
      <w:r>
        <w:t xml:space="preserve">A second limitation is the Dreyfus textual tradition itself. The report-stage labels and the later pedagogical stage labels are not perfectly identical, and some applications treat the model as a simple rubric when the philosophical point is much subtler and more situated. Any future research should therefore use the Dreyfus model as a family of claims about embodied skill acquisition and intuitive coping, not as a rigid scoring scale. </w:t>
      </w:r>
      <w:hyperlink r:id="rId42">
        <w:r>
          <w:rPr>
            <w:rStyle w:val="Hyperlink"/>
          </w:rPr>
          <w:t>[2]</w:t>
        </w:r>
      </w:hyperlink>
    </w:p>
    <w:p w14:paraId="161F3431" w14:textId="77777777" w:rsidR="009E7FCF" w:rsidRDefault="00000000">
      <w:pPr>
        <w:pStyle w:val="BodyText"/>
      </w:pPr>
      <w:r>
        <w:t xml:space="preserve">A third limitation is venue visibility. I found strong evidence of live work in analytic-phenomenological journals and adjacent philosophy-of-AI venues, but only sparse visible evidence of a mature, SPEP-specific discussion of AI-augmented professional expertise as such. So the right conclusion is not that phenomenology has already settled the question, but that it has supplied the conceptual and methodological tools for a much better study than current productivity-only approaches usually provide. </w:t>
      </w:r>
      <w:hyperlink r:id="rId43">
        <w:r>
          <w:rPr>
            <w:rStyle w:val="Hyperlink"/>
          </w:rPr>
          <w:t>[38]</w:t>
        </w:r>
      </w:hyperlink>
    </w:p>
    <w:bookmarkEnd w:id="1"/>
    <w:bookmarkEnd w:id="2"/>
    <w:bookmarkEnd w:id="9"/>
    <w:p w14:paraId="4621F738" w14:textId="77777777" w:rsidR="009E7FCF" w:rsidRDefault="009D6BF3">
      <w:r>
        <w:rPr>
          <w:noProof/>
        </w:rPr>
      </w:r>
      <w:r w:rsidR="009D6BF3">
        <w:rPr>
          <w:noProof/>
        </w:rPr>
        <w:pict w14:anchorId="57CB0F30">
          <v:rect id="_x0000_i1025" alt="" style="width:468pt;height:.05pt;mso-width-percent:0;mso-height-percent:0;mso-width-percent:0;mso-height-percent:0" o:hralign="center" o:hrstd="t" o:hr="t"/>
        </w:pict>
      </w:r>
    </w:p>
    <w:bookmarkStart w:id="10" w:name="citations"/>
    <w:p w14:paraId="2015FAC2" w14:textId="77777777" w:rsidR="009E7FCF" w:rsidRDefault="00000000">
      <w:pPr>
        <w:pStyle w:val="FirstParagraph"/>
      </w:pPr>
      <w:r>
        <w:fldChar w:fldCharType="begin"/>
      </w:r>
      <w:r>
        <w:instrText>HYPERLINK "https://cir.nii.ac.jp/crid/1360861291818665472" \h</w:instrText>
      </w:r>
      <w:r>
        <w:fldChar w:fldCharType="separate"/>
      </w:r>
      <w:r>
        <w:rPr>
          <w:rStyle w:val="Hyperlink"/>
        </w:rPr>
        <w:t>[1]</w:t>
      </w:r>
      <w:r>
        <w:fldChar w:fldCharType="end"/>
      </w:r>
      <w:r>
        <w:t xml:space="preserve"> https://cir.nii.ac.jp/crid/1360861291818665472</w:t>
      </w:r>
    </w:p>
    <w:p w14:paraId="0641AF09" w14:textId="77777777" w:rsidR="009E7FCF" w:rsidRDefault="00000000">
      <w:pPr>
        <w:pStyle w:val="BodyText"/>
      </w:pPr>
      <w:hyperlink r:id="rId44">
        <w:r>
          <w:rPr>
            <w:rStyle w:val="Hyperlink"/>
          </w:rPr>
          <w:t>https://cir.nii.ac.jp/crid/1360861291818665472</w:t>
        </w:r>
      </w:hyperlink>
    </w:p>
    <w:p w14:paraId="20E4957B" w14:textId="77777777" w:rsidR="009E7FCF" w:rsidRDefault="00000000">
      <w:pPr>
        <w:pStyle w:val="BodyText"/>
      </w:pPr>
      <w:hyperlink r:id="rId45">
        <w:r>
          <w:rPr>
            <w:rStyle w:val="Hyperlink"/>
          </w:rPr>
          <w:t>[2]</w:t>
        </w:r>
      </w:hyperlink>
      <w:r>
        <w:t xml:space="preserve"> </w:t>
      </w:r>
      <w:hyperlink r:id="rId46">
        <w:r>
          <w:rPr>
            <w:rStyle w:val="Hyperlink"/>
          </w:rPr>
          <w:t>[6]</w:t>
        </w:r>
      </w:hyperlink>
      <w:r>
        <w:t xml:space="preserve"> https://www.researchgate.net/publication/235125013_A_Five-Stage_Model_of_the_Mental_Activities_Involved_in_Directed_Skill_Acquisition</w:t>
      </w:r>
    </w:p>
    <w:p w14:paraId="7C4765C6" w14:textId="77777777" w:rsidR="009E7FCF" w:rsidRDefault="00000000">
      <w:pPr>
        <w:pStyle w:val="BodyText"/>
      </w:pPr>
      <w:hyperlink r:id="rId47">
        <w:r>
          <w:rPr>
            <w:rStyle w:val="Hyperlink"/>
          </w:rPr>
          <w:t>https://www.researchgate.net/publication/235125013_A_Five-Stage_Model_of_the_Mental_Activities_Involved_in_Directed_Skill_Acquisition</w:t>
        </w:r>
      </w:hyperlink>
    </w:p>
    <w:p w14:paraId="5A1851D1" w14:textId="77777777" w:rsidR="009E7FCF" w:rsidRDefault="00000000">
      <w:pPr>
        <w:pStyle w:val="BodyText"/>
      </w:pPr>
      <w:hyperlink r:id="rId48">
        <w:r>
          <w:rPr>
            <w:rStyle w:val="Hyperlink"/>
          </w:rPr>
          <w:t>[3]</w:t>
        </w:r>
      </w:hyperlink>
      <w:r>
        <w:t xml:space="preserve"> </w:t>
      </w:r>
      <w:hyperlink r:id="rId49">
        <w:r>
          <w:rPr>
            <w:rStyle w:val="Hyperlink"/>
          </w:rPr>
          <w:t>[10]</w:t>
        </w:r>
      </w:hyperlink>
      <w:r>
        <w:t xml:space="preserve"> </w:t>
      </w:r>
      <w:hyperlink r:id="rId50">
        <w:r>
          <w:rPr>
            <w:rStyle w:val="Hyperlink"/>
          </w:rPr>
          <w:t>[24]</w:t>
        </w:r>
      </w:hyperlink>
      <w:r>
        <w:t xml:space="preserve"> </w:t>
      </w:r>
      <w:hyperlink r:id="rId51">
        <w:r>
          <w:rPr>
            <w:rStyle w:val="Hyperlink"/>
          </w:rPr>
          <w:t>[37]</w:t>
        </w:r>
      </w:hyperlink>
      <w:r>
        <w:t xml:space="preserve"> https://link.springer.com/article/10.1007/s11097-024-10040-9</w:t>
      </w:r>
    </w:p>
    <w:p w14:paraId="7207A68D" w14:textId="77777777" w:rsidR="009E7FCF" w:rsidRDefault="00000000">
      <w:pPr>
        <w:pStyle w:val="BodyText"/>
      </w:pPr>
      <w:hyperlink r:id="rId52">
        <w:r>
          <w:rPr>
            <w:rStyle w:val="Hyperlink"/>
          </w:rPr>
          <w:t>https://link.springer.com/article/10.1007/s11097-024-10040-9</w:t>
        </w:r>
      </w:hyperlink>
    </w:p>
    <w:p w14:paraId="2A8D5115" w14:textId="77777777" w:rsidR="009E7FCF" w:rsidRDefault="00000000">
      <w:pPr>
        <w:pStyle w:val="BodyText"/>
      </w:pPr>
      <w:hyperlink r:id="rId53">
        <w:r>
          <w:rPr>
            <w:rStyle w:val="Hyperlink"/>
          </w:rPr>
          <w:t>[4]</w:t>
        </w:r>
      </w:hyperlink>
      <w:r>
        <w:t xml:space="preserve"> </w:t>
      </w:r>
      <w:hyperlink r:id="rId54">
        <w:r>
          <w:rPr>
            <w:rStyle w:val="Hyperlink"/>
          </w:rPr>
          <w:t>[14]</w:t>
        </w:r>
      </w:hyperlink>
      <w:r>
        <w:t xml:space="preserve"> </w:t>
      </w:r>
      <w:hyperlink r:id="rId55">
        <w:r>
          <w:rPr>
            <w:rStyle w:val="Hyperlink"/>
          </w:rPr>
          <w:t>[17]</w:t>
        </w:r>
      </w:hyperlink>
      <w:r>
        <w:t xml:space="preserve"> https://sdkelly.scholars.harvard.edu/publications/philosopher-argues-and-ai-can-never-be-and-artist</w:t>
      </w:r>
    </w:p>
    <w:p w14:paraId="0A6C4EA6" w14:textId="77777777" w:rsidR="009E7FCF" w:rsidRDefault="00000000">
      <w:pPr>
        <w:pStyle w:val="BodyText"/>
      </w:pPr>
      <w:hyperlink r:id="rId56">
        <w:r>
          <w:rPr>
            <w:rStyle w:val="Hyperlink"/>
          </w:rPr>
          <w:t>https://sdkelly.scholars.harvard.edu/publications/philosopher-argues-and-ai-can-never-be-and-artist</w:t>
        </w:r>
      </w:hyperlink>
    </w:p>
    <w:p w14:paraId="7811FCBC" w14:textId="77777777" w:rsidR="009E7FCF" w:rsidRDefault="00000000">
      <w:pPr>
        <w:pStyle w:val="BodyText"/>
      </w:pPr>
      <w:hyperlink r:id="rId57">
        <w:r>
          <w:rPr>
            <w:rStyle w:val="Hyperlink"/>
          </w:rPr>
          <w:t>[5]</w:t>
        </w:r>
      </w:hyperlink>
      <w:r>
        <w:t xml:space="preserve"> https://mitpress.mit.edu/9780262540674/what-computers-still-cant-do/</w:t>
      </w:r>
    </w:p>
    <w:p w14:paraId="6519AE9B" w14:textId="77777777" w:rsidR="009E7FCF" w:rsidRDefault="00000000">
      <w:pPr>
        <w:pStyle w:val="BodyText"/>
      </w:pPr>
      <w:hyperlink r:id="rId58">
        <w:r>
          <w:rPr>
            <w:rStyle w:val="Hyperlink"/>
          </w:rPr>
          <w:t>https://mitpress.mit.edu/9780262540674/what-computers-still-cant-do/</w:t>
        </w:r>
      </w:hyperlink>
    </w:p>
    <w:p w14:paraId="254C6952" w14:textId="77777777" w:rsidR="009E7FCF" w:rsidRDefault="00000000">
      <w:pPr>
        <w:pStyle w:val="BodyText"/>
      </w:pPr>
      <w:hyperlink r:id="rId59">
        <w:r>
          <w:rPr>
            <w:rStyle w:val="Hyperlink"/>
          </w:rPr>
          <w:t>[7]</w:t>
        </w:r>
      </w:hyperlink>
      <w:r>
        <w:t xml:space="preserve"> https://www.routledge.com/Phenomenology-of-Perception/Merleau-Ponty/p/book/9780415834339</w:t>
      </w:r>
    </w:p>
    <w:p w14:paraId="7F712FAC" w14:textId="77777777" w:rsidR="009E7FCF" w:rsidRDefault="00000000">
      <w:pPr>
        <w:pStyle w:val="BodyText"/>
      </w:pPr>
      <w:hyperlink r:id="rId60">
        <w:r>
          <w:rPr>
            <w:rStyle w:val="Hyperlink"/>
          </w:rPr>
          <w:t>https://www.routledge.com/Phenomenology-of-Perception/Merleau-Ponty/p/book/9780415834339</w:t>
        </w:r>
      </w:hyperlink>
    </w:p>
    <w:p w14:paraId="343EE53A" w14:textId="77777777" w:rsidR="009E7FCF" w:rsidRDefault="00000000">
      <w:pPr>
        <w:pStyle w:val="BodyText"/>
      </w:pPr>
      <w:hyperlink r:id="rId61">
        <w:r>
          <w:rPr>
            <w:rStyle w:val="Hyperlink"/>
          </w:rPr>
          <w:t>[8]</w:t>
        </w:r>
      </w:hyperlink>
      <w:r>
        <w:t xml:space="preserve"> </w:t>
      </w:r>
      <w:hyperlink r:id="rId62">
        <w:r>
          <w:rPr>
            <w:rStyle w:val="Hyperlink"/>
          </w:rPr>
          <w:t>[20]</w:t>
        </w:r>
      </w:hyperlink>
      <w:r>
        <w:t xml:space="preserve"> https://link.springer.com/article/10.1007/s11097-025-10103-5</w:t>
      </w:r>
    </w:p>
    <w:p w14:paraId="6BECB2C4" w14:textId="77777777" w:rsidR="009E7FCF" w:rsidRDefault="00000000">
      <w:pPr>
        <w:pStyle w:val="BodyText"/>
      </w:pPr>
      <w:hyperlink r:id="rId63">
        <w:r>
          <w:rPr>
            <w:rStyle w:val="Hyperlink"/>
          </w:rPr>
          <w:t>https://link.springer.com/article/10.1007/s11097-025-10103-5</w:t>
        </w:r>
      </w:hyperlink>
    </w:p>
    <w:p w14:paraId="7292FB17" w14:textId="77777777" w:rsidR="009E7FCF" w:rsidRDefault="00000000">
      <w:pPr>
        <w:pStyle w:val="BodyText"/>
      </w:pPr>
      <w:hyperlink r:id="rId64">
        <w:r>
          <w:rPr>
            <w:rStyle w:val="Hyperlink"/>
          </w:rPr>
          <w:t>[9]</w:t>
        </w:r>
      </w:hyperlink>
      <w:r>
        <w:t xml:space="preserve"> </w:t>
      </w:r>
      <w:hyperlink r:id="rId65">
        <w:r>
          <w:rPr>
            <w:rStyle w:val="Hyperlink"/>
          </w:rPr>
          <w:t>[18]</w:t>
        </w:r>
      </w:hyperlink>
      <w:r>
        <w:t xml:space="preserve"> https://huggingface.co/papers/1706.03762</w:t>
      </w:r>
    </w:p>
    <w:p w14:paraId="0BB7A528" w14:textId="77777777" w:rsidR="009E7FCF" w:rsidRDefault="00000000">
      <w:pPr>
        <w:pStyle w:val="BodyText"/>
      </w:pPr>
      <w:hyperlink r:id="rId66">
        <w:r>
          <w:rPr>
            <w:rStyle w:val="Hyperlink"/>
          </w:rPr>
          <w:t>https://huggingface.co/papers/1706.03762</w:t>
        </w:r>
      </w:hyperlink>
    </w:p>
    <w:p w14:paraId="1F47B67E" w14:textId="77777777" w:rsidR="009E7FCF" w:rsidRDefault="00000000">
      <w:pPr>
        <w:pStyle w:val="BodyText"/>
      </w:pPr>
      <w:hyperlink r:id="rId67">
        <w:r>
          <w:rPr>
            <w:rStyle w:val="Hyperlink"/>
          </w:rPr>
          <w:t>[11]</w:t>
        </w:r>
      </w:hyperlink>
      <w:r>
        <w:t xml:space="preserve"> https://link.springer.com/article/10.1007/s11097-024-09979-6</w:t>
      </w:r>
    </w:p>
    <w:p w14:paraId="1D30B3C7" w14:textId="77777777" w:rsidR="009E7FCF" w:rsidRDefault="00000000">
      <w:pPr>
        <w:pStyle w:val="BodyText"/>
      </w:pPr>
      <w:hyperlink r:id="rId68">
        <w:r>
          <w:rPr>
            <w:rStyle w:val="Hyperlink"/>
          </w:rPr>
          <w:t>https://link.springer.com/article/10.1007/s11097-024-09979-6</w:t>
        </w:r>
      </w:hyperlink>
    </w:p>
    <w:p w14:paraId="706D8F04" w14:textId="77777777" w:rsidR="009E7FCF" w:rsidRDefault="00000000">
      <w:pPr>
        <w:pStyle w:val="BodyText"/>
      </w:pPr>
      <w:hyperlink r:id="rId69">
        <w:r>
          <w:rPr>
            <w:rStyle w:val="Hyperlink"/>
          </w:rPr>
          <w:t>[12]</w:t>
        </w:r>
      </w:hyperlink>
      <w:r>
        <w:t xml:space="preserve"> </w:t>
      </w:r>
      <w:hyperlink r:id="rId70">
        <w:r>
          <w:rPr>
            <w:rStyle w:val="Hyperlink"/>
          </w:rPr>
          <w:t>[21]</w:t>
        </w:r>
      </w:hyperlink>
      <w:r>
        <w:t xml:space="preserve"> </w:t>
      </w:r>
      <w:hyperlink r:id="rId71">
        <w:r>
          <w:rPr>
            <w:rStyle w:val="Hyperlink"/>
          </w:rPr>
          <w:t>[25]</w:t>
        </w:r>
      </w:hyperlink>
      <w:r>
        <w:t xml:space="preserve"> </w:t>
      </w:r>
      <w:hyperlink r:id="rId72">
        <w:r>
          <w:rPr>
            <w:rStyle w:val="Hyperlink"/>
          </w:rPr>
          <w:t>[35]</w:t>
        </w:r>
      </w:hyperlink>
      <w:r>
        <w:t xml:space="preserve"> https://link.springer.com/article/10.1007/s10676-024-09777-3</w:t>
      </w:r>
    </w:p>
    <w:p w14:paraId="36146F5C" w14:textId="77777777" w:rsidR="009E7FCF" w:rsidRDefault="00000000">
      <w:pPr>
        <w:pStyle w:val="BodyText"/>
      </w:pPr>
      <w:hyperlink r:id="rId73">
        <w:r>
          <w:rPr>
            <w:rStyle w:val="Hyperlink"/>
          </w:rPr>
          <w:t>https://link.springer.com/article/10.1007/s10676-024-09777-3</w:t>
        </w:r>
      </w:hyperlink>
    </w:p>
    <w:p w14:paraId="4900ED45" w14:textId="77777777" w:rsidR="009E7FCF" w:rsidRDefault="00000000">
      <w:pPr>
        <w:pStyle w:val="BodyText"/>
      </w:pPr>
      <w:hyperlink r:id="rId74">
        <w:r>
          <w:rPr>
            <w:rStyle w:val="Hyperlink"/>
          </w:rPr>
          <w:t>[13]</w:t>
        </w:r>
      </w:hyperlink>
      <w:r>
        <w:t xml:space="preserve"> </w:t>
      </w:r>
      <w:hyperlink r:id="rId75">
        <w:r>
          <w:rPr>
            <w:rStyle w:val="Hyperlink"/>
          </w:rPr>
          <w:t>[19]</w:t>
        </w:r>
      </w:hyperlink>
      <w:r>
        <w:t xml:space="preserve"> https://link.springer.com/article/10.1007/s10746-015-9372-2</w:t>
      </w:r>
    </w:p>
    <w:p w14:paraId="439B4988" w14:textId="77777777" w:rsidR="009E7FCF" w:rsidRDefault="00000000">
      <w:pPr>
        <w:pStyle w:val="BodyText"/>
      </w:pPr>
      <w:hyperlink r:id="rId76">
        <w:r>
          <w:rPr>
            <w:rStyle w:val="Hyperlink"/>
          </w:rPr>
          <w:t>https://link.springer.com/article/10.1007/s10746-015-9372-2</w:t>
        </w:r>
      </w:hyperlink>
    </w:p>
    <w:p w14:paraId="3760BB9A" w14:textId="77777777" w:rsidR="009E7FCF" w:rsidRDefault="00000000">
      <w:pPr>
        <w:pStyle w:val="BodyText"/>
      </w:pPr>
      <w:hyperlink r:id="rId77">
        <w:r>
          <w:rPr>
            <w:rStyle w:val="Hyperlink"/>
          </w:rPr>
          <w:t>[15]</w:t>
        </w:r>
      </w:hyperlink>
      <w:r>
        <w:t xml:space="preserve"> </w:t>
      </w:r>
      <w:hyperlink r:id="rId78">
        <w:r>
          <w:rPr>
            <w:rStyle w:val="Hyperlink"/>
          </w:rPr>
          <w:t>[30]</w:t>
        </w:r>
      </w:hyperlink>
      <w:r>
        <w:t xml:space="preserve"> </w:t>
      </w:r>
      <w:hyperlink r:id="rId79">
        <w:r>
          <w:rPr>
            <w:rStyle w:val="Hyperlink"/>
          </w:rPr>
          <w:t>[38]</w:t>
        </w:r>
      </w:hyperlink>
      <w:r>
        <w:t xml:space="preserve"> https://www.spep.org/</w:t>
      </w:r>
    </w:p>
    <w:p w14:paraId="1509CA94" w14:textId="77777777" w:rsidR="009E7FCF" w:rsidRDefault="00000000">
      <w:pPr>
        <w:pStyle w:val="BodyText"/>
      </w:pPr>
      <w:hyperlink r:id="rId80">
        <w:r>
          <w:rPr>
            <w:rStyle w:val="Hyperlink"/>
          </w:rPr>
          <w:t>https://www.spep.org/</w:t>
        </w:r>
      </w:hyperlink>
    </w:p>
    <w:p w14:paraId="33AD5C1E" w14:textId="77777777" w:rsidR="009E7FCF" w:rsidRDefault="00000000">
      <w:pPr>
        <w:pStyle w:val="BodyText"/>
      </w:pPr>
      <w:hyperlink r:id="rId81">
        <w:r>
          <w:rPr>
            <w:rStyle w:val="Hyperlink"/>
          </w:rPr>
          <w:t>[16]</w:t>
        </w:r>
      </w:hyperlink>
      <w:r>
        <w:t xml:space="preserve"> </w:t>
      </w:r>
      <w:hyperlink r:id="rId82">
        <w:r>
          <w:rPr>
            <w:rStyle w:val="Hyperlink"/>
          </w:rPr>
          <w:t>[22]</w:t>
        </w:r>
      </w:hyperlink>
      <w:r>
        <w:t xml:space="preserve"> https://www.nature.com/articles/s41586-024-07930-y</w:t>
      </w:r>
    </w:p>
    <w:p w14:paraId="1CB3C843" w14:textId="77777777" w:rsidR="009E7FCF" w:rsidRDefault="00000000">
      <w:pPr>
        <w:pStyle w:val="BodyText"/>
      </w:pPr>
      <w:hyperlink r:id="rId83">
        <w:r>
          <w:rPr>
            <w:rStyle w:val="Hyperlink"/>
          </w:rPr>
          <w:t>https://www.nature.com/articles/s41586-024-07930-y</w:t>
        </w:r>
      </w:hyperlink>
    </w:p>
    <w:p w14:paraId="38167241" w14:textId="77777777" w:rsidR="009E7FCF" w:rsidRDefault="00000000">
      <w:pPr>
        <w:pStyle w:val="BodyText"/>
      </w:pPr>
      <w:hyperlink r:id="rId84">
        <w:r>
          <w:rPr>
            <w:rStyle w:val="Hyperlink"/>
          </w:rPr>
          <w:t>[23]</w:t>
        </w:r>
      </w:hyperlink>
      <w:r>
        <w:t xml:space="preserve"> https://plato.stanford.edu/archives/sum2011/entries/ethics-it-phenomenology/</w:t>
      </w:r>
    </w:p>
    <w:p w14:paraId="5029FF21" w14:textId="77777777" w:rsidR="009E7FCF" w:rsidRDefault="00000000">
      <w:pPr>
        <w:pStyle w:val="BodyText"/>
      </w:pPr>
      <w:hyperlink r:id="rId85">
        <w:r>
          <w:rPr>
            <w:rStyle w:val="Hyperlink"/>
          </w:rPr>
          <w:t>https://plato.stanford.edu/archives/sum2011/entries/ethics-it-phenomenology/</w:t>
        </w:r>
      </w:hyperlink>
    </w:p>
    <w:p w14:paraId="762D74D2" w14:textId="77777777" w:rsidR="009E7FCF" w:rsidRDefault="00000000">
      <w:pPr>
        <w:pStyle w:val="BodyText"/>
      </w:pPr>
      <w:hyperlink r:id="rId86">
        <w:r>
          <w:rPr>
            <w:rStyle w:val="Hyperlink"/>
          </w:rPr>
          <w:t>[26]</w:t>
        </w:r>
      </w:hyperlink>
      <w:r>
        <w:t xml:space="preserve"> https://link.springer.com/article/10.1007/s00146-025-02319-5</w:t>
      </w:r>
    </w:p>
    <w:p w14:paraId="48E78257" w14:textId="77777777" w:rsidR="009E7FCF" w:rsidRDefault="00000000">
      <w:pPr>
        <w:pStyle w:val="BodyText"/>
      </w:pPr>
      <w:hyperlink r:id="rId87">
        <w:r>
          <w:rPr>
            <w:rStyle w:val="Hyperlink"/>
          </w:rPr>
          <w:t>https://link.springer.com/article/10.1007/s00146-025-02319-5</w:t>
        </w:r>
      </w:hyperlink>
    </w:p>
    <w:p w14:paraId="74802C94" w14:textId="77777777" w:rsidR="009E7FCF" w:rsidRDefault="00000000">
      <w:pPr>
        <w:pStyle w:val="BodyText"/>
      </w:pPr>
      <w:hyperlink r:id="rId88">
        <w:r>
          <w:rPr>
            <w:rStyle w:val="Hyperlink"/>
          </w:rPr>
          <w:t>[27]</w:t>
        </w:r>
      </w:hyperlink>
      <w:r>
        <w:t xml:space="preserve"> </w:t>
      </w:r>
      <w:hyperlink r:id="rId89">
        <w:r>
          <w:rPr>
            <w:rStyle w:val="Hyperlink"/>
          </w:rPr>
          <w:t>[32]</w:t>
        </w:r>
      </w:hyperlink>
      <w:r>
        <w:t xml:space="preserve"> https://www.microsoft.com/en-us/research/publication/reading-between-the-lines-modeling-user-behavior-and-costs-in-ai-assisted-programming-2/</w:t>
      </w:r>
    </w:p>
    <w:p w14:paraId="743B15F6" w14:textId="77777777" w:rsidR="009E7FCF" w:rsidRDefault="00000000">
      <w:pPr>
        <w:pStyle w:val="BodyText"/>
      </w:pPr>
      <w:hyperlink r:id="rId90">
        <w:r>
          <w:rPr>
            <w:rStyle w:val="Hyperlink"/>
          </w:rPr>
          <w:t>https://www.microsoft.com/en-us/research/publication/reading-between-the-lines-modeling-user-behavior-and-costs-in-ai-assisted-programming-2/</w:t>
        </w:r>
      </w:hyperlink>
    </w:p>
    <w:p w14:paraId="19C6634C" w14:textId="77777777" w:rsidR="009E7FCF" w:rsidRDefault="00000000">
      <w:pPr>
        <w:pStyle w:val="BodyText"/>
      </w:pPr>
      <w:hyperlink r:id="rId91">
        <w:r>
          <w:rPr>
            <w:rStyle w:val="Hyperlink"/>
          </w:rPr>
          <w:t>[28]</w:t>
        </w:r>
      </w:hyperlink>
      <w:r>
        <w:t xml:space="preserve"> </w:t>
      </w:r>
      <w:hyperlink r:id="rId92">
        <w:r>
          <w:rPr>
            <w:rStyle w:val="Hyperlink"/>
          </w:rPr>
          <w:t>[36]</w:t>
        </w:r>
      </w:hyperlink>
      <w:r>
        <w:t xml:space="preserve"> https://sigcse2024.sigcse.org/details/sigcse-ts-2024-Papers-1/94/ChatGPT-in-the-Classroom-An-Analysis-of-Its-Strengths-and-Weaknesses-for-Solving-Und</w:t>
      </w:r>
    </w:p>
    <w:p w14:paraId="6ADC27DC" w14:textId="77777777" w:rsidR="009E7FCF" w:rsidRDefault="00000000">
      <w:pPr>
        <w:pStyle w:val="BodyText"/>
      </w:pPr>
      <w:hyperlink r:id="rId93">
        <w:r>
          <w:rPr>
            <w:rStyle w:val="Hyperlink"/>
          </w:rPr>
          <w:t>https://sigcse2024.sigcse.org/details/sigcse-ts-2024-Papers-1/94/ChatGPT-in-the-Classroom-An-Analysis-of-Its-Strengths-and-Weaknesses-for-Solving-Und</w:t>
        </w:r>
      </w:hyperlink>
    </w:p>
    <w:p w14:paraId="1AF2072E" w14:textId="77777777" w:rsidR="009E7FCF" w:rsidRDefault="00000000">
      <w:pPr>
        <w:pStyle w:val="BodyText"/>
      </w:pPr>
      <w:hyperlink r:id="rId94">
        <w:r>
          <w:rPr>
            <w:rStyle w:val="Hyperlink"/>
          </w:rPr>
          <w:t>[29]</w:t>
        </w:r>
      </w:hyperlink>
      <w:r>
        <w:t xml:space="preserve"> </w:t>
      </w:r>
      <w:hyperlink r:id="rId95">
        <w:r>
          <w:rPr>
            <w:rStyle w:val="Hyperlink"/>
          </w:rPr>
          <w:t>[31]</w:t>
        </w:r>
      </w:hyperlink>
      <w:r>
        <w:t xml:space="preserve"> </w:t>
      </w:r>
      <w:hyperlink r:id="rId96">
        <w:r>
          <w:rPr>
            <w:rStyle w:val="Hyperlink"/>
          </w:rPr>
          <w:t>[33]</w:t>
        </w:r>
      </w:hyperlink>
      <w:r>
        <w:t xml:space="preserve"> https://philpapers.org/rec/GALPAE</w:t>
      </w:r>
    </w:p>
    <w:p w14:paraId="520A2489" w14:textId="77777777" w:rsidR="009E7FCF" w:rsidRDefault="00000000">
      <w:pPr>
        <w:pStyle w:val="BodyText"/>
      </w:pPr>
      <w:hyperlink r:id="rId97">
        <w:r>
          <w:rPr>
            <w:rStyle w:val="Hyperlink"/>
          </w:rPr>
          <w:t>https://philpapers.org/rec/GALPAE</w:t>
        </w:r>
      </w:hyperlink>
    </w:p>
    <w:p w14:paraId="6A2877C7" w14:textId="77777777" w:rsidR="009E7FCF" w:rsidRDefault="00000000">
      <w:pPr>
        <w:pStyle w:val="BodyText"/>
      </w:pPr>
      <w:hyperlink r:id="rId98">
        <w:r>
          <w:rPr>
            <w:rStyle w:val="Hyperlink"/>
          </w:rPr>
          <w:t>[34]</w:t>
        </w:r>
      </w:hyperlink>
      <w:r>
        <w:t xml:space="preserve"> https://github.blog/news-insights/research/does-github-copilot-improve-code-quality-heres-what-the-data-says/</w:t>
      </w:r>
    </w:p>
    <w:p w14:paraId="2D880F98" w14:textId="77777777" w:rsidR="009E7FCF" w:rsidRDefault="00000000">
      <w:pPr>
        <w:pStyle w:val="BodyText"/>
      </w:pPr>
      <w:hyperlink r:id="rId99">
        <w:r>
          <w:rPr>
            <w:rStyle w:val="Hyperlink"/>
          </w:rPr>
          <w:t>https://github.blog/news-insights/research/does-github-copilot-improve-code-quality-heres-what-the-data-says/</w:t>
        </w:r>
      </w:hyperlink>
    </w:p>
    <w:p w14:paraId="2286BC44" w14:textId="77777777" w:rsidR="009D6BF3" w:rsidRDefault="009D6BF3">
      <w:pPr>
        <w:pStyle w:val="BodyText"/>
      </w:pPr>
    </w:p>
    <w:p w14:paraId="0CBDB046" w14:textId="77777777" w:rsidR="009D6BF3" w:rsidRDefault="009D6BF3" w:rsidP="009D6BF3">
      <w:pPr>
        <w:pStyle w:val="NormalWeb"/>
      </w:pPr>
      <w:r>
        <w:t>I’ll condense the empirical slice from the deep research, focusing on studies with actual designs rather than conceptual phenomenology. I’m checking the study details where the report only named the source.</w:t>
      </w:r>
    </w:p>
    <w:p w14:paraId="64203030" w14:textId="77777777" w:rsidR="009D6BF3" w:rsidRDefault="009D6BF3" w:rsidP="009D6BF3">
      <w:r>
        <w:t>Thought for 15s</w:t>
      </w:r>
    </w:p>
    <w:p w14:paraId="41E59B92" w14:textId="77777777" w:rsidR="009D6BF3" w:rsidRDefault="009D6BF3" w:rsidP="009D6BF3">
      <w:pPr>
        <w:pStyle w:val="Heading3"/>
      </w:pPr>
      <w:r>
        <w:t>Comparison table: empirical studies surfaced in the deep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041"/>
        <w:gridCol w:w="1622"/>
        <w:gridCol w:w="1568"/>
        <w:gridCol w:w="2336"/>
      </w:tblGrid>
      <w:tr w:rsidR="009D6BF3" w14:paraId="673844C0" w14:textId="77777777">
        <w:trPr>
          <w:tblHeader/>
          <w:tblCellSpacing w:w="15" w:type="dxa"/>
        </w:trPr>
        <w:tc>
          <w:tcPr>
            <w:tcW w:w="0" w:type="auto"/>
            <w:vAlign w:val="center"/>
            <w:hideMark/>
          </w:tcPr>
          <w:p w14:paraId="208E0CBA" w14:textId="77777777" w:rsidR="009D6BF3" w:rsidRDefault="009D6BF3">
            <w:pPr>
              <w:jc w:val="center"/>
              <w:rPr>
                <w:b/>
                <w:bCs/>
              </w:rPr>
            </w:pPr>
            <w:r>
              <w:rPr>
                <w:b/>
                <w:bCs/>
              </w:rPr>
              <w:t>Study</w:t>
            </w:r>
          </w:p>
        </w:tc>
        <w:tc>
          <w:tcPr>
            <w:tcW w:w="0" w:type="auto"/>
            <w:vAlign w:val="center"/>
            <w:hideMark/>
          </w:tcPr>
          <w:p w14:paraId="048B0980" w14:textId="77777777" w:rsidR="009D6BF3" w:rsidRDefault="009D6BF3">
            <w:pPr>
              <w:jc w:val="center"/>
              <w:rPr>
                <w:b/>
                <w:bCs/>
              </w:rPr>
            </w:pPr>
            <w:r>
              <w:rPr>
                <w:b/>
                <w:bCs/>
              </w:rPr>
              <w:t>Design</w:t>
            </w:r>
          </w:p>
        </w:tc>
        <w:tc>
          <w:tcPr>
            <w:tcW w:w="0" w:type="auto"/>
            <w:vAlign w:val="center"/>
            <w:hideMark/>
          </w:tcPr>
          <w:p w14:paraId="64F82361" w14:textId="77777777" w:rsidR="009D6BF3" w:rsidRDefault="009D6BF3">
            <w:pPr>
              <w:jc w:val="center"/>
              <w:rPr>
                <w:b/>
                <w:bCs/>
              </w:rPr>
            </w:pPr>
            <w:r>
              <w:rPr>
                <w:b/>
                <w:bCs/>
              </w:rPr>
              <w:t>Duration</w:t>
            </w:r>
          </w:p>
        </w:tc>
        <w:tc>
          <w:tcPr>
            <w:tcW w:w="0" w:type="auto"/>
            <w:vAlign w:val="center"/>
            <w:hideMark/>
          </w:tcPr>
          <w:p w14:paraId="1E721CB4" w14:textId="77777777" w:rsidR="009D6BF3" w:rsidRDefault="009D6BF3">
            <w:pPr>
              <w:jc w:val="center"/>
              <w:rPr>
                <w:b/>
                <w:bCs/>
              </w:rPr>
            </w:pPr>
            <w:r>
              <w:rPr>
                <w:b/>
                <w:bCs/>
              </w:rPr>
              <w:t>n</w:t>
            </w:r>
          </w:p>
        </w:tc>
        <w:tc>
          <w:tcPr>
            <w:tcW w:w="0" w:type="auto"/>
            <w:vAlign w:val="center"/>
            <w:hideMark/>
          </w:tcPr>
          <w:p w14:paraId="1AC3DE6A" w14:textId="77777777" w:rsidR="009D6BF3" w:rsidRDefault="009D6BF3">
            <w:pPr>
              <w:jc w:val="center"/>
              <w:rPr>
                <w:b/>
                <w:bCs/>
              </w:rPr>
            </w:pPr>
            <w:r>
              <w:rPr>
                <w:b/>
                <w:bCs/>
              </w:rPr>
              <w:t>Finding</w:t>
            </w:r>
          </w:p>
        </w:tc>
      </w:tr>
      <w:tr w:rsidR="009D6BF3" w14:paraId="19BBDFD2" w14:textId="77777777">
        <w:trPr>
          <w:tblCellSpacing w:w="15" w:type="dxa"/>
        </w:trPr>
        <w:tc>
          <w:tcPr>
            <w:tcW w:w="0" w:type="auto"/>
            <w:vAlign w:val="center"/>
            <w:hideMark/>
          </w:tcPr>
          <w:p w14:paraId="74B25516" w14:textId="77777777" w:rsidR="009D6BF3" w:rsidRDefault="009D6BF3">
            <w:r>
              <w:t xml:space="preserve">Mozannar et al., </w:t>
            </w:r>
            <w:r>
              <w:rPr>
                <w:rStyle w:val="Strong"/>
              </w:rPr>
              <w:t>Reading Between the Lines</w:t>
            </w:r>
            <w:r>
              <w:t xml:space="preserve"> / Microsoft CHI 2024</w:t>
            </w:r>
          </w:p>
        </w:tc>
        <w:tc>
          <w:tcPr>
            <w:tcW w:w="0" w:type="auto"/>
            <w:vAlign w:val="center"/>
            <w:hideMark/>
          </w:tcPr>
          <w:p w14:paraId="787716F0" w14:textId="77777777" w:rsidR="009D6BF3" w:rsidRDefault="009D6BF3">
            <w:r>
              <w:t>Lab/task study of Copilot use; retrospective CUPS labeling</w:t>
            </w:r>
          </w:p>
        </w:tc>
        <w:tc>
          <w:tcPr>
            <w:tcW w:w="0" w:type="auto"/>
            <w:vAlign w:val="center"/>
            <w:hideMark/>
          </w:tcPr>
          <w:p w14:paraId="0BB7EF40" w14:textId="77777777" w:rsidR="009D6BF3" w:rsidRDefault="009D6BF3">
            <w:r>
              <w:t>Single-session tasks</w:t>
            </w:r>
          </w:p>
        </w:tc>
        <w:tc>
          <w:tcPr>
            <w:tcW w:w="0" w:type="auto"/>
            <w:vAlign w:val="center"/>
            <w:hideMark/>
          </w:tcPr>
          <w:p w14:paraId="2A6219AE" w14:textId="77777777" w:rsidR="009D6BF3" w:rsidRDefault="009D6BF3">
            <w:r>
              <w:t>21 programmers</w:t>
            </w:r>
          </w:p>
        </w:tc>
        <w:tc>
          <w:tcPr>
            <w:tcW w:w="0" w:type="auto"/>
            <w:vAlign w:val="center"/>
            <w:hideMark/>
          </w:tcPr>
          <w:p w14:paraId="1080013B" w14:textId="77777777" w:rsidR="009D6BF3" w:rsidRDefault="009D6BF3">
            <w:r>
              <w:t xml:space="preserve">AI assistance creates measurable interaction costs: programmers spend time understanding, validating, editing, and deciding whether to accept </w:t>
            </w:r>
            <w:r>
              <w:lastRenderedPageBreak/>
              <w:t xml:space="preserve">suggestions. </w:t>
            </w:r>
          </w:p>
        </w:tc>
      </w:tr>
      <w:tr w:rsidR="009D6BF3" w14:paraId="16E5ED52" w14:textId="77777777">
        <w:trPr>
          <w:tblCellSpacing w:w="15" w:type="dxa"/>
        </w:trPr>
        <w:tc>
          <w:tcPr>
            <w:tcW w:w="0" w:type="auto"/>
            <w:vAlign w:val="center"/>
            <w:hideMark/>
          </w:tcPr>
          <w:p w14:paraId="57863548" w14:textId="77777777" w:rsidR="009D6BF3" w:rsidRDefault="009D6BF3">
            <w:r>
              <w:lastRenderedPageBreak/>
              <w:t xml:space="preserve">GitHub, </w:t>
            </w:r>
            <w:r>
              <w:rPr>
                <w:rStyle w:val="Strong"/>
              </w:rPr>
              <w:t>Copilot code-quality RCT</w:t>
            </w:r>
          </w:p>
        </w:tc>
        <w:tc>
          <w:tcPr>
            <w:tcW w:w="0" w:type="auto"/>
            <w:vAlign w:val="center"/>
            <w:hideMark/>
          </w:tcPr>
          <w:p w14:paraId="52B6FB9F" w14:textId="77777777" w:rsidR="009D6BF3" w:rsidRDefault="009D6BF3">
            <w:r>
              <w:t>Randomized controlled trial: Copilot access vs. no AI tools</w:t>
            </w:r>
          </w:p>
        </w:tc>
        <w:tc>
          <w:tcPr>
            <w:tcW w:w="0" w:type="auto"/>
            <w:vAlign w:val="center"/>
            <w:hideMark/>
          </w:tcPr>
          <w:p w14:paraId="50DFF540" w14:textId="77777777" w:rsidR="009D6BF3" w:rsidRDefault="009D6BF3">
            <w:r>
              <w:t>Single coding task</w:t>
            </w:r>
          </w:p>
        </w:tc>
        <w:tc>
          <w:tcPr>
            <w:tcW w:w="0" w:type="auto"/>
            <w:vAlign w:val="center"/>
            <w:hideMark/>
          </w:tcPr>
          <w:p w14:paraId="3AD08712" w14:textId="77777777" w:rsidR="009D6BF3" w:rsidRDefault="009D6BF3">
            <w:r>
              <w:t>202 developers, 5+ years’ experience</w:t>
            </w:r>
          </w:p>
        </w:tc>
        <w:tc>
          <w:tcPr>
            <w:tcW w:w="0" w:type="auto"/>
            <w:vAlign w:val="center"/>
            <w:hideMark/>
          </w:tcPr>
          <w:p w14:paraId="6CDA89D0" w14:textId="77777777" w:rsidR="009D6BF3" w:rsidRDefault="009D6BF3">
            <w:r>
              <w:t xml:space="preserve">Copilot group produced code with higher functionality, readability, reliability, maintainability, conciseness, and approval likelihood. </w:t>
            </w:r>
          </w:p>
        </w:tc>
      </w:tr>
      <w:tr w:rsidR="009D6BF3" w14:paraId="2C668731" w14:textId="77777777">
        <w:trPr>
          <w:tblCellSpacing w:w="15" w:type="dxa"/>
        </w:trPr>
        <w:tc>
          <w:tcPr>
            <w:tcW w:w="0" w:type="auto"/>
            <w:vAlign w:val="center"/>
            <w:hideMark/>
          </w:tcPr>
          <w:p w14:paraId="0DCE26E7" w14:textId="77777777" w:rsidR="009D6BF3" w:rsidRDefault="009D6BF3">
            <w:r>
              <w:t xml:space="preserve">Erhabor et al., </w:t>
            </w:r>
            <w:r>
              <w:rPr>
                <w:rStyle w:val="Strong"/>
              </w:rPr>
              <w:t>Runtime Performance of C++ Code Written with Copilot</w:t>
            </w:r>
            <w:r>
              <w:t xml:space="preserve"> / ICSE 2025</w:t>
            </w:r>
          </w:p>
        </w:tc>
        <w:tc>
          <w:tcPr>
            <w:tcW w:w="0" w:type="auto"/>
            <w:vAlign w:val="center"/>
            <w:hideMark/>
          </w:tcPr>
          <w:p w14:paraId="38B723AA" w14:textId="77777777" w:rsidR="009D6BF3" w:rsidRDefault="009D6BF3">
            <w:r>
              <w:t>Within-subject user study: one C++ problem with Copilot, one without</w:t>
            </w:r>
          </w:p>
        </w:tc>
        <w:tc>
          <w:tcPr>
            <w:tcW w:w="0" w:type="auto"/>
            <w:vAlign w:val="center"/>
            <w:hideMark/>
          </w:tcPr>
          <w:p w14:paraId="64E00FFD" w14:textId="77777777" w:rsidR="009D6BF3" w:rsidRDefault="009D6BF3">
            <w:r>
              <w:t>Two programming tasks</w:t>
            </w:r>
          </w:p>
        </w:tc>
        <w:tc>
          <w:tcPr>
            <w:tcW w:w="0" w:type="auto"/>
            <w:vAlign w:val="center"/>
            <w:hideMark/>
          </w:tcPr>
          <w:p w14:paraId="02D257F2" w14:textId="77777777" w:rsidR="009D6BF3" w:rsidRDefault="009D6BF3">
            <w:r>
              <w:t>32 participants</w:t>
            </w:r>
          </w:p>
        </w:tc>
        <w:tc>
          <w:tcPr>
            <w:tcW w:w="0" w:type="auto"/>
            <w:vAlign w:val="center"/>
            <w:hideMark/>
          </w:tcPr>
          <w:p w14:paraId="5A849C21" w14:textId="77777777" w:rsidR="009D6BF3" w:rsidRDefault="009D6BF3">
            <w:r>
              <w:t xml:space="preserve">Tested whether Copilot improves runtime performance of produced C++ code; useful because it measures code performance, not just completion or satisfaction. </w:t>
            </w:r>
          </w:p>
        </w:tc>
      </w:tr>
      <w:tr w:rsidR="009D6BF3" w14:paraId="59E16817" w14:textId="77777777">
        <w:trPr>
          <w:tblCellSpacing w:w="15" w:type="dxa"/>
        </w:trPr>
        <w:tc>
          <w:tcPr>
            <w:tcW w:w="0" w:type="auto"/>
            <w:vAlign w:val="center"/>
            <w:hideMark/>
          </w:tcPr>
          <w:p w14:paraId="745D2E2D" w14:textId="77777777" w:rsidR="009D6BF3" w:rsidRDefault="009D6BF3">
            <w:r>
              <w:t xml:space="preserve">Song, Agarwal &amp; Wen, </w:t>
            </w:r>
            <w:r>
              <w:rPr>
                <w:rStyle w:val="Strong"/>
              </w:rPr>
              <w:t>Generative AI in OSS Development</w:t>
            </w:r>
          </w:p>
        </w:tc>
        <w:tc>
          <w:tcPr>
            <w:tcW w:w="0" w:type="auto"/>
            <w:vAlign w:val="center"/>
            <w:hideMark/>
          </w:tcPr>
          <w:p w14:paraId="35C16A36" w14:textId="77777777" w:rsidR="009D6BF3" w:rsidRDefault="009D6BF3">
            <w:r>
              <w:t>Observational causal design using proprietary Copilot usage + public GitHub repo data; generalized synthetic control</w:t>
            </w:r>
          </w:p>
        </w:tc>
        <w:tc>
          <w:tcPr>
            <w:tcW w:w="0" w:type="auto"/>
            <w:vAlign w:val="center"/>
            <w:hideMark/>
          </w:tcPr>
          <w:p w14:paraId="581468D1" w14:textId="77777777" w:rsidR="009D6BF3" w:rsidRDefault="009D6BF3">
            <w:r>
              <w:t>Longitudinal OSS panel; exact window not in abstract</w:t>
            </w:r>
          </w:p>
        </w:tc>
        <w:tc>
          <w:tcPr>
            <w:tcW w:w="0" w:type="auto"/>
            <w:vAlign w:val="center"/>
            <w:hideMark/>
          </w:tcPr>
          <w:p w14:paraId="2205F38B" w14:textId="77777777" w:rsidR="009D6BF3" w:rsidRDefault="009D6BF3">
            <w:r>
              <w:t>Not stated in accessible abstract</w:t>
            </w:r>
          </w:p>
        </w:tc>
        <w:tc>
          <w:tcPr>
            <w:tcW w:w="0" w:type="auto"/>
            <w:vAlign w:val="center"/>
            <w:hideMark/>
          </w:tcPr>
          <w:p w14:paraId="595CD843" w14:textId="77777777" w:rsidR="009D6BF3" w:rsidRDefault="009D6BF3">
            <w:r>
              <w:t xml:space="preserve">Copilot use increased project-level code contributions by 5.9%, individual contributions by 2.1%, and participation by 3.4%, but increased coordination time by 8%. </w:t>
            </w:r>
          </w:p>
        </w:tc>
      </w:tr>
      <w:tr w:rsidR="009D6BF3" w14:paraId="79CA2B2F" w14:textId="77777777">
        <w:trPr>
          <w:tblCellSpacing w:w="15" w:type="dxa"/>
        </w:trPr>
        <w:tc>
          <w:tcPr>
            <w:tcW w:w="0" w:type="auto"/>
            <w:vAlign w:val="center"/>
            <w:hideMark/>
          </w:tcPr>
          <w:p w14:paraId="37632DD2" w14:textId="77777777" w:rsidR="009D6BF3" w:rsidRDefault="009D6BF3">
            <w:r>
              <w:t xml:space="preserve">Cambaz &amp; Zhang, </w:t>
            </w:r>
            <w:r>
              <w:rPr>
                <w:rStyle w:val="Strong"/>
              </w:rPr>
              <w:t>AI-driven Code Generation in Programming Education</w:t>
            </w:r>
            <w:r>
              <w:t xml:space="preserve"> / SIGCSE 2024</w:t>
            </w:r>
          </w:p>
        </w:tc>
        <w:tc>
          <w:tcPr>
            <w:tcW w:w="0" w:type="auto"/>
            <w:vAlign w:val="center"/>
            <w:hideMark/>
          </w:tcPr>
          <w:p w14:paraId="72E1A79B" w14:textId="77777777" w:rsidR="009D6BF3" w:rsidRDefault="009D6BF3">
            <w:r>
              <w:t>Systematic literature review</w:t>
            </w:r>
          </w:p>
        </w:tc>
        <w:tc>
          <w:tcPr>
            <w:tcW w:w="0" w:type="auto"/>
            <w:vAlign w:val="center"/>
            <w:hideMark/>
          </w:tcPr>
          <w:p w14:paraId="55E7C8BD" w14:textId="77777777" w:rsidR="009D6BF3" w:rsidRDefault="009D6BF3">
            <w:r>
              <w:t>Studies since 2018</w:t>
            </w:r>
          </w:p>
        </w:tc>
        <w:tc>
          <w:tcPr>
            <w:tcW w:w="0" w:type="auto"/>
            <w:vAlign w:val="center"/>
            <w:hideMark/>
          </w:tcPr>
          <w:p w14:paraId="380CD600" w14:textId="77777777" w:rsidR="009D6BF3" w:rsidRDefault="009D6BF3">
            <w:r>
              <w:t>21 papers</w:t>
            </w:r>
          </w:p>
        </w:tc>
        <w:tc>
          <w:tcPr>
            <w:tcW w:w="0" w:type="auto"/>
            <w:vAlign w:val="center"/>
            <w:hideMark/>
          </w:tcPr>
          <w:p w14:paraId="5F7A8195" w14:textId="77777777" w:rsidR="009D6BF3" w:rsidRDefault="009D6BF3">
            <w:r>
              <w:t xml:space="preserve">Code-generation models can support instructors and learners, but accuracy limits, novice risk, academic misconduct, and over-reliance remain central concerns. </w:t>
            </w:r>
          </w:p>
        </w:tc>
      </w:tr>
      <w:tr w:rsidR="009D6BF3" w14:paraId="492A5CE1" w14:textId="77777777">
        <w:trPr>
          <w:tblCellSpacing w:w="15" w:type="dxa"/>
        </w:trPr>
        <w:tc>
          <w:tcPr>
            <w:tcW w:w="0" w:type="auto"/>
            <w:vAlign w:val="center"/>
            <w:hideMark/>
          </w:tcPr>
          <w:p w14:paraId="5BE7A627" w14:textId="77777777" w:rsidR="009D6BF3" w:rsidRDefault="009D6BF3">
            <w:r>
              <w:lastRenderedPageBreak/>
              <w:t xml:space="preserve">Joshi et al., </w:t>
            </w:r>
            <w:r>
              <w:rPr>
                <w:rStyle w:val="Strong"/>
              </w:rPr>
              <w:t>ChatGPT in the Classroom</w:t>
            </w:r>
            <w:r>
              <w:t xml:space="preserve"> / SIGCSE 2024</w:t>
            </w:r>
          </w:p>
        </w:tc>
        <w:tc>
          <w:tcPr>
            <w:tcW w:w="0" w:type="auto"/>
            <w:vAlign w:val="center"/>
            <w:hideMark/>
          </w:tcPr>
          <w:p w14:paraId="60DE1E93" w14:textId="77777777" w:rsidR="009D6BF3" w:rsidRDefault="009D6BF3">
            <w:r>
              <w:t>Quantitative evaluation of ChatGPT on undergraduate CS question types</w:t>
            </w:r>
          </w:p>
        </w:tc>
        <w:tc>
          <w:tcPr>
            <w:tcW w:w="0" w:type="auto"/>
            <w:vAlign w:val="center"/>
            <w:hideMark/>
          </w:tcPr>
          <w:p w14:paraId="4447E9A2" w14:textId="77777777" w:rsidR="009D6BF3" w:rsidRDefault="009D6BF3">
            <w:r>
              <w:t>Cross-sectional benchmark</w:t>
            </w:r>
          </w:p>
        </w:tc>
        <w:tc>
          <w:tcPr>
            <w:tcW w:w="0" w:type="auto"/>
            <w:vAlign w:val="center"/>
            <w:hideMark/>
          </w:tcPr>
          <w:p w14:paraId="15DACBD6" w14:textId="77777777" w:rsidR="009D6BF3" w:rsidRDefault="009D6BF3">
            <w:r>
              <w:t>Not stated in accessible abstract</w:t>
            </w:r>
          </w:p>
        </w:tc>
        <w:tc>
          <w:tcPr>
            <w:tcW w:w="0" w:type="auto"/>
            <w:vAlign w:val="center"/>
            <w:hideMark/>
          </w:tcPr>
          <w:p w14:paraId="05CA9E5F" w14:textId="77777777" w:rsidR="009D6BF3" w:rsidRDefault="009D6BF3">
            <w:r>
              <w:t xml:space="preserve">ChatGPT was unreliable across varied CS question formats; over-reliance may undermine learning and become “self-sabotage.” </w:t>
            </w:r>
          </w:p>
        </w:tc>
      </w:tr>
      <w:tr w:rsidR="009D6BF3" w14:paraId="3E055C5E" w14:textId="77777777">
        <w:trPr>
          <w:tblCellSpacing w:w="15" w:type="dxa"/>
        </w:trPr>
        <w:tc>
          <w:tcPr>
            <w:tcW w:w="0" w:type="auto"/>
            <w:vAlign w:val="center"/>
            <w:hideMark/>
          </w:tcPr>
          <w:p w14:paraId="793A10AE" w14:textId="77777777" w:rsidR="009D6BF3" w:rsidRDefault="009D6BF3">
            <w:r>
              <w:t xml:space="preserve">Rogers et al., </w:t>
            </w:r>
            <w:r>
              <w:rPr>
                <w:rStyle w:val="Strong"/>
              </w:rPr>
              <w:t>Attitudes Toward Use and Misuse of ChatGPT</w:t>
            </w:r>
            <w:r>
              <w:t xml:space="preserve"> / SIGCSE 2024</w:t>
            </w:r>
          </w:p>
        </w:tc>
        <w:tc>
          <w:tcPr>
            <w:tcW w:w="0" w:type="auto"/>
            <w:vAlign w:val="center"/>
            <w:hideMark/>
          </w:tcPr>
          <w:p w14:paraId="439EE776" w14:textId="77777777" w:rsidR="009D6BF3" w:rsidRDefault="009D6BF3">
            <w:r>
              <w:t>Online survey of CS students</w:t>
            </w:r>
          </w:p>
        </w:tc>
        <w:tc>
          <w:tcPr>
            <w:tcW w:w="0" w:type="auto"/>
            <w:vAlign w:val="center"/>
            <w:hideMark/>
          </w:tcPr>
          <w:p w14:paraId="42226445" w14:textId="77777777" w:rsidR="009D6BF3" w:rsidRDefault="009D6BF3">
            <w:r>
              <w:t>Cross-sectional survey</w:t>
            </w:r>
          </w:p>
        </w:tc>
        <w:tc>
          <w:tcPr>
            <w:tcW w:w="0" w:type="auto"/>
            <w:vAlign w:val="center"/>
            <w:hideMark/>
          </w:tcPr>
          <w:p w14:paraId="3C6D9311" w14:textId="77777777" w:rsidR="009D6BF3" w:rsidRDefault="009D6BF3">
            <w:r>
              <w:t>Not stated in accessible abstract</w:t>
            </w:r>
          </w:p>
        </w:tc>
        <w:tc>
          <w:tcPr>
            <w:tcW w:w="0" w:type="auto"/>
            <w:vAlign w:val="center"/>
            <w:hideMark/>
          </w:tcPr>
          <w:p w14:paraId="52AFD182" w14:textId="77777777" w:rsidR="009D6BF3" w:rsidRDefault="009D6BF3">
            <w:r>
              <w:t xml:space="preserve">Students mostly reported study-tool use, but a notable minority admitted misuse or risk of interference with learning. </w:t>
            </w:r>
          </w:p>
        </w:tc>
      </w:tr>
    </w:tbl>
    <w:p w14:paraId="6EB54A74" w14:textId="77777777" w:rsidR="009D6BF3" w:rsidRDefault="009D6BF3" w:rsidP="009D6BF3">
      <w:pPr>
        <w:pStyle w:val="Heading3"/>
      </w:pPr>
      <w:r>
        <w:t>Synthesis</w:t>
      </w:r>
    </w:p>
    <w:p w14:paraId="3BF628D8" w14:textId="77777777" w:rsidR="009D6BF3" w:rsidRDefault="009D6BF3" w:rsidP="009D6BF3">
      <w:pPr>
        <w:pStyle w:val="NormalWeb"/>
      </w:pPr>
      <w:r>
        <w:t xml:space="preserve">The empirical evidence is still mostly </w:t>
      </w:r>
      <w:r>
        <w:rPr>
          <w:rStyle w:val="Strong"/>
        </w:rPr>
        <w:t>short-horizon, task-based, and productivity-centered</w:t>
      </w:r>
      <w:r>
        <w:t xml:space="preserve">. Copilot and ChatGPT often improve immediate output, perceived flow, contribution volume, or code-quality proxies, but the same studies expose the phenomenologically important counterpoint: AI assistance adds verification labor, coordination costs, opacity, over-reliance risk, and possible pseudo-expertise. In Dreyfus/Merleau-Ponty terms, the existing evidence tells us whether AI helps people produce artifacts; it does </w:t>
      </w:r>
      <w:r>
        <w:rPr>
          <w:rStyle w:val="Strong"/>
        </w:rPr>
        <w:t>not yet tell us whether AI preserves, accelerates, or weakens the lived conditions through which intuitive expertise forms</w:t>
      </w:r>
      <w:r>
        <w:t>.</w:t>
      </w:r>
    </w:p>
    <w:p w14:paraId="6D89C51A" w14:textId="77777777" w:rsidR="009D6BF3" w:rsidRDefault="009D6BF3" w:rsidP="009D6BF3">
      <w:pPr>
        <w:pStyle w:val="Heading3"/>
      </w:pPr>
      <w:r>
        <w:t>Gap statement: credible 6–24 month panel study</w:t>
      </w:r>
    </w:p>
    <w:p w14:paraId="595B6018" w14:textId="77777777" w:rsidR="009D6BF3" w:rsidRDefault="009D6BF3" w:rsidP="009D6BF3">
      <w:pPr>
        <w:pStyle w:val="NormalWeb"/>
      </w:pPr>
      <w:r>
        <w:t xml:space="preserve">A credible panel study would need repeated measures of the same programmers over 6, 12, 18, and ideally 24 months, tracking not only output metrics but skill formation: task completion, defect rates, review quality, debugging path quality, architectural judgment, error anticipation, explanation depth, trust calibration, reliance patterns, AI-acceptance/edit/rejection logs, codebase familiarity, and first-person experience of flow, breakdown, authorship, and responsibility. The key design contrast should be </w:t>
      </w:r>
      <w:r>
        <w:rPr>
          <w:rStyle w:val="Strong"/>
        </w:rPr>
        <w:t>performance gain vs. expertise formation</w:t>
      </w:r>
      <w:r>
        <w:t>: whether AI users become better programmers, or merely better operators of an external suggestion system.</w:t>
      </w:r>
    </w:p>
    <w:bookmarkEnd w:id="10"/>
    <w:p w14:paraId="6A8AE725" w14:textId="77777777" w:rsidR="009D6BF3" w:rsidRDefault="009D6BF3">
      <w:pPr>
        <w:pStyle w:val="BodyText"/>
      </w:pPr>
    </w:p>
    <w:sectPr w:rsidR="009D6B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88A2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835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7FCF"/>
    <w:rsid w:val="009D6BF3"/>
    <w:rsid w:val="009E7FCF"/>
    <w:rsid w:val="00DC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6DD8"/>
  <w15:docId w15:val="{73133A61-7070-5F43-8EC0-0283D8A8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D6BF3"/>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9D6B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86-024-07930-y" TargetMode="External"/><Relationship Id="rId21" Type="http://schemas.openxmlformats.org/officeDocument/2006/relationships/hyperlink" Target="https://sdkelly.scholars.harvard.edu/publications/philosopher-argues-and-ai-can-never-be-and-artist" TargetMode="External"/><Relationship Id="rId42" Type="http://schemas.openxmlformats.org/officeDocument/2006/relationships/hyperlink" Target="https://www.researchgate.net/publication/235125013_A_Five-Stage_Model_of_the_Mental_Activities_Involved_in_Directed_Skill_Acquisition" TargetMode="External"/><Relationship Id="rId47" Type="http://schemas.openxmlformats.org/officeDocument/2006/relationships/hyperlink" Target="https://www.researchgate.net/publication/235125013_A_Five-Stage_Model_of_the_Mental_Activities_Involved_in_Directed_Skill_Acquisition" TargetMode="External"/><Relationship Id="rId63" Type="http://schemas.openxmlformats.org/officeDocument/2006/relationships/hyperlink" Target="https://link.springer.com/article/10.1007/s11097-025-10103-5" TargetMode="External"/><Relationship Id="rId68" Type="http://schemas.openxmlformats.org/officeDocument/2006/relationships/hyperlink" Target="https://link.springer.com/article/10.1007/s11097-024-09979-6" TargetMode="External"/><Relationship Id="rId84" Type="http://schemas.openxmlformats.org/officeDocument/2006/relationships/hyperlink" Target="https://plato.stanford.edu/archives/sum2011/entries/ethics-it-phenomenology/" TargetMode="External"/><Relationship Id="rId89" Type="http://schemas.openxmlformats.org/officeDocument/2006/relationships/hyperlink" Target="https://www.microsoft.com/en-us/research/publication/reading-between-the-lines-modeling-user-behavior-and-costs-in-ai-assisted-programming-2/" TargetMode="External"/><Relationship Id="rId16" Type="http://schemas.openxmlformats.org/officeDocument/2006/relationships/hyperlink" Target="https://link.springer.com/article/10.1007/s10676-024-09777-3" TargetMode="External"/><Relationship Id="rId11" Type="http://schemas.openxmlformats.org/officeDocument/2006/relationships/hyperlink" Target="https://www.routledge.com/Phenomenology-of-Perception/Merleau-Ponty/p/book/9780415834339" TargetMode="External"/><Relationship Id="rId32" Type="http://schemas.openxmlformats.org/officeDocument/2006/relationships/hyperlink" Target="https://sigcse2024.sigcse.org/details/sigcse-ts-2024-Papers-1/94/ChatGPT-in-the-Classroom-An-Analysis-of-Its-Strengths-and-Weaknesses-for-Solving-Und" TargetMode="External"/><Relationship Id="rId37" Type="http://schemas.openxmlformats.org/officeDocument/2006/relationships/hyperlink" Target="https://philpapers.org/rec/GALPAE" TargetMode="External"/><Relationship Id="rId53" Type="http://schemas.openxmlformats.org/officeDocument/2006/relationships/hyperlink" Target="https://sdkelly.scholars.harvard.edu/publications/philosopher-argues-and-ai-can-never-be-and-artist" TargetMode="External"/><Relationship Id="rId58" Type="http://schemas.openxmlformats.org/officeDocument/2006/relationships/hyperlink" Target="https://mitpress.mit.edu/9780262540674/what-computers-still-cant-do/" TargetMode="External"/><Relationship Id="rId74" Type="http://schemas.openxmlformats.org/officeDocument/2006/relationships/hyperlink" Target="https://link.springer.com/article/10.1007/s10746-015-9372-2" TargetMode="External"/><Relationship Id="rId79" Type="http://schemas.openxmlformats.org/officeDocument/2006/relationships/hyperlink" Target="https://www.spep.org/" TargetMode="External"/><Relationship Id="rId5" Type="http://schemas.openxmlformats.org/officeDocument/2006/relationships/hyperlink" Target="https://cir.nii.ac.jp/crid/1360861291818665472" TargetMode="External"/><Relationship Id="rId90" Type="http://schemas.openxmlformats.org/officeDocument/2006/relationships/hyperlink" Target="https://www.microsoft.com/en-us/research/publication/reading-between-the-lines-modeling-user-behavior-and-costs-in-ai-assisted-programming-2/" TargetMode="External"/><Relationship Id="rId95" Type="http://schemas.openxmlformats.org/officeDocument/2006/relationships/hyperlink" Target="https://philpapers.org/rec/GALPAE" TargetMode="External"/><Relationship Id="rId22" Type="http://schemas.openxmlformats.org/officeDocument/2006/relationships/hyperlink" Target="https://huggingface.co/papers/1706.03762" TargetMode="External"/><Relationship Id="rId27" Type="http://schemas.openxmlformats.org/officeDocument/2006/relationships/hyperlink" Target="https://plato.stanford.edu/archives/sum2011/entries/ethics-it-phenomenology/" TargetMode="External"/><Relationship Id="rId43" Type="http://schemas.openxmlformats.org/officeDocument/2006/relationships/hyperlink" Target="https://www.spep.org/" TargetMode="External"/><Relationship Id="rId48" Type="http://schemas.openxmlformats.org/officeDocument/2006/relationships/hyperlink" Target="https://link.springer.com/article/10.1007/s11097-024-10040-9" TargetMode="External"/><Relationship Id="rId64" Type="http://schemas.openxmlformats.org/officeDocument/2006/relationships/hyperlink" Target="https://huggingface.co/papers/1706.03762" TargetMode="External"/><Relationship Id="rId69" Type="http://schemas.openxmlformats.org/officeDocument/2006/relationships/hyperlink" Target="https://link.springer.com/article/10.1007/s10676-024-09777-3" TargetMode="External"/><Relationship Id="rId80" Type="http://schemas.openxmlformats.org/officeDocument/2006/relationships/hyperlink" Target="https://www.spep.org/" TargetMode="External"/><Relationship Id="rId85" Type="http://schemas.openxmlformats.org/officeDocument/2006/relationships/hyperlink" Target="https://plato.stanford.edu/archives/sum2011/entries/ethics-it-phenomenology/" TargetMode="External"/><Relationship Id="rId12" Type="http://schemas.openxmlformats.org/officeDocument/2006/relationships/hyperlink" Target="https://link.springer.com/article/10.1007/s11097-025-10103-5" TargetMode="External"/><Relationship Id="rId17" Type="http://schemas.openxmlformats.org/officeDocument/2006/relationships/hyperlink" Target="https://link.springer.com/article/10.1007/s10746-015-9372-2" TargetMode="External"/><Relationship Id="rId25" Type="http://schemas.openxmlformats.org/officeDocument/2006/relationships/hyperlink" Target="https://link.springer.com/article/10.1007/s10676-024-09777-3" TargetMode="External"/><Relationship Id="rId33" Type="http://schemas.openxmlformats.org/officeDocument/2006/relationships/hyperlink" Target="https://philpapers.org/rec/GALPAE" TargetMode="External"/><Relationship Id="rId38" Type="http://schemas.openxmlformats.org/officeDocument/2006/relationships/hyperlink" Target="https://github.blog/news-insights/research/does-github-copilot-improve-code-quality-heres-what-the-data-says/" TargetMode="External"/><Relationship Id="rId46" Type="http://schemas.openxmlformats.org/officeDocument/2006/relationships/hyperlink" Target="https://www.researchgate.net/publication/235125013_A_Five-Stage_Model_of_the_Mental_Activities_Involved_in_Directed_Skill_Acquisition" TargetMode="External"/><Relationship Id="rId59" Type="http://schemas.openxmlformats.org/officeDocument/2006/relationships/hyperlink" Target="https://www.routledge.com/Phenomenology-of-Perception/Merleau-Ponty/p/book/9780415834339" TargetMode="External"/><Relationship Id="rId67" Type="http://schemas.openxmlformats.org/officeDocument/2006/relationships/hyperlink" Target="https://link.springer.com/article/10.1007/s11097-024-09979-6" TargetMode="External"/><Relationship Id="rId20" Type="http://schemas.openxmlformats.org/officeDocument/2006/relationships/hyperlink" Target="https://www.nature.com/articles/s41586-024-07930-y" TargetMode="External"/><Relationship Id="rId41" Type="http://schemas.openxmlformats.org/officeDocument/2006/relationships/hyperlink" Target="https://link.springer.com/article/10.1007/s11097-024-10040-9" TargetMode="External"/><Relationship Id="rId54" Type="http://schemas.openxmlformats.org/officeDocument/2006/relationships/hyperlink" Target="https://sdkelly.scholars.harvard.edu/publications/philosopher-argues-and-ai-can-never-be-and-artist" TargetMode="External"/><Relationship Id="rId62" Type="http://schemas.openxmlformats.org/officeDocument/2006/relationships/hyperlink" Target="https://link.springer.com/article/10.1007/s11097-025-10103-5" TargetMode="External"/><Relationship Id="rId70" Type="http://schemas.openxmlformats.org/officeDocument/2006/relationships/hyperlink" Target="https://link.springer.com/article/10.1007/s10676-024-09777-3" TargetMode="External"/><Relationship Id="rId75" Type="http://schemas.openxmlformats.org/officeDocument/2006/relationships/hyperlink" Target="https://link.springer.com/article/10.1007/s10746-015-9372-2" TargetMode="External"/><Relationship Id="rId83" Type="http://schemas.openxmlformats.org/officeDocument/2006/relationships/hyperlink" Target="https://www.nature.com/articles/s41586-024-07930-y" TargetMode="External"/><Relationship Id="rId88" Type="http://schemas.openxmlformats.org/officeDocument/2006/relationships/hyperlink" Target="https://www.microsoft.com/en-us/research/publication/reading-between-the-lines-modeling-user-behavior-and-costs-in-ai-assisted-programming-2/" TargetMode="External"/><Relationship Id="rId91" Type="http://schemas.openxmlformats.org/officeDocument/2006/relationships/hyperlink" Target="https://sigcse2024.sigcse.org/details/sigcse-ts-2024-Papers-1/94/ChatGPT-in-the-Classroom-An-Analysis-of-Its-Strengths-and-Weaknesses-for-Solving-Und" TargetMode="External"/><Relationship Id="rId96" Type="http://schemas.openxmlformats.org/officeDocument/2006/relationships/hyperlink" Target="https://philpapers.org/rec/GALPAE" TargetMode="External"/><Relationship Id="rId1" Type="http://schemas.openxmlformats.org/officeDocument/2006/relationships/numbering" Target="numbering.xml"/><Relationship Id="rId6" Type="http://schemas.openxmlformats.org/officeDocument/2006/relationships/hyperlink" Target="https://www.researchgate.net/publication/235125013_A_Five-Stage_Model_of_the_Mental_Activities_Involved_in_Directed_Skill_Acquisition" TargetMode="External"/><Relationship Id="rId15" Type="http://schemas.openxmlformats.org/officeDocument/2006/relationships/hyperlink" Target="https://link.springer.com/article/10.1007/s11097-024-09979-6" TargetMode="External"/><Relationship Id="rId23" Type="http://schemas.openxmlformats.org/officeDocument/2006/relationships/hyperlink" Target="https://link.springer.com/article/10.1007/s10746-015-9372-2" TargetMode="External"/><Relationship Id="rId28" Type="http://schemas.openxmlformats.org/officeDocument/2006/relationships/hyperlink" Target="https://link.springer.com/article/10.1007/s11097-024-10040-9" TargetMode="External"/><Relationship Id="rId36" Type="http://schemas.openxmlformats.org/officeDocument/2006/relationships/hyperlink" Target="https://www.microsoft.com/en-us/research/publication/reading-between-the-lines-modeling-user-behavior-and-costs-in-ai-assisted-programming-2/" TargetMode="External"/><Relationship Id="rId49" Type="http://schemas.openxmlformats.org/officeDocument/2006/relationships/hyperlink" Target="https://link.springer.com/article/10.1007/s11097-024-10040-9" TargetMode="External"/><Relationship Id="rId57" Type="http://schemas.openxmlformats.org/officeDocument/2006/relationships/hyperlink" Target="https://mitpress.mit.edu/9780262540674/what-computers-still-cant-do/" TargetMode="External"/><Relationship Id="rId10" Type="http://schemas.openxmlformats.org/officeDocument/2006/relationships/hyperlink" Target="https://www.researchgate.net/publication/235125013_A_Five-Stage_Model_of_the_Mental_Activities_Involved_in_Directed_Skill_Acquisition" TargetMode="External"/><Relationship Id="rId31" Type="http://schemas.openxmlformats.org/officeDocument/2006/relationships/hyperlink" Target="https://www.microsoft.com/en-us/research/publication/reading-between-the-lines-modeling-user-behavior-and-costs-in-ai-assisted-programming-2/" TargetMode="External"/><Relationship Id="rId44" Type="http://schemas.openxmlformats.org/officeDocument/2006/relationships/hyperlink" Target="https://cir.nii.ac.jp/crid/1360861291818665472" TargetMode="External"/><Relationship Id="rId52" Type="http://schemas.openxmlformats.org/officeDocument/2006/relationships/hyperlink" Target="https://link.springer.com/article/10.1007/s11097-024-10040-9" TargetMode="External"/><Relationship Id="rId60" Type="http://schemas.openxmlformats.org/officeDocument/2006/relationships/hyperlink" Target="https://www.routledge.com/Phenomenology-of-Perception/Merleau-Ponty/p/book/9780415834339" TargetMode="External"/><Relationship Id="rId65" Type="http://schemas.openxmlformats.org/officeDocument/2006/relationships/hyperlink" Target="https://huggingface.co/papers/1706.03762" TargetMode="External"/><Relationship Id="rId73" Type="http://schemas.openxmlformats.org/officeDocument/2006/relationships/hyperlink" Target="https://link.springer.com/article/10.1007/s10676-024-09777-3" TargetMode="External"/><Relationship Id="rId78" Type="http://schemas.openxmlformats.org/officeDocument/2006/relationships/hyperlink" Target="https://www.spep.org/" TargetMode="External"/><Relationship Id="rId81" Type="http://schemas.openxmlformats.org/officeDocument/2006/relationships/hyperlink" Target="https://www.nature.com/articles/s41586-024-07930-y" TargetMode="External"/><Relationship Id="rId86" Type="http://schemas.openxmlformats.org/officeDocument/2006/relationships/hyperlink" Target="https://link.springer.com/article/10.1007/s00146-025-02319-5" TargetMode="External"/><Relationship Id="rId94" Type="http://schemas.openxmlformats.org/officeDocument/2006/relationships/hyperlink" Target="https://philpapers.org/rec/GALPAE" TargetMode="External"/><Relationship Id="rId99" Type="http://schemas.openxmlformats.org/officeDocument/2006/relationships/hyperlink" Target="https://github.blog/news-insights/research/does-github-copilot-improve-code-quality-heres-what-the-data-says/"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itpress.mit.edu/9780262540674/what-computers-still-cant-do/" TargetMode="External"/><Relationship Id="rId13" Type="http://schemas.openxmlformats.org/officeDocument/2006/relationships/hyperlink" Target="https://huggingface.co/papers/1706.03762" TargetMode="External"/><Relationship Id="rId18" Type="http://schemas.openxmlformats.org/officeDocument/2006/relationships/hyperlink" Target="https://sdkelly.scholars.harvard.edu/publications/philosopher-argues-and-ai-can-never-be-and-artist" TargetMode="External"/><Relationship Id="rId39" Type="http://schemas.openxmlformats.org/officeDocument/2006/relationships/hyperlink" Target="https://link.springer.com/article/10.1007/s10676-024-09777-3" TargetMode="External"/><Relationship Id="rId34" Type="http://schemas.openxmlformats.org/officeDocument/2006/relationships/hyperlink" Target="https://www.spep.org/" TargetMode="External"/><Relationship Id="rId50" Type="http://schemas.openxmlformats.org/officeDocument/2006/relationships/hyperlink" Target="https://link.springer.com/article/10.1007/s11097-024-10040-9" TargetMode="External"/><Relationship Id="rId55" Type="http://schemas.openxmlformats.org/officeDocument/2006/relationships/hyperlink" Target="https://sdkelly.scholars.harvard.edu/publications/philosopher-argues-and-ai-can-never-be-and-artist" TargetMode="External"/><Relationship Id="rId76" Type="http://schemas.openxmlformats.org/officeDocument/2006/relationships/hyperlink" Target="https://link.springer.com/article/10.1007/s10746-015-9372-2" TargetMode="External"/><Relationship Id="rId97" Type="http://schemas.openxmlformats.org/officeDocument/2006/relationships/hyperlink" Target="https://philpapers.org/rec/GALPAE" TargetMode="External"/><Relationship Id="rId7" Type="http://schemas.openxmlformats.org/officeDocument/2006/relationships/hyperlink" Target="https://link.springer.com/article/10.1007/s11097-024-10040-9" TargetMode="External"/><Relationship Id="rId71" Type="http://schemas.openxmlformats.org/officeDocument/2006/relationships/hyperlink" Target="https://link.springer.com/article/10.1007/s10676-024-09777-3" TargetMode="External"/><Relationship Id="rId92" Type="http://schemas.openxmlformats.org/officeDocument/2006/relationships/hyperlink" Target="https://sigcse2024.sigcse.org/details/sigcse-ts-2024-Papers-1/94/ChatGPT-in-the-Classroom-An-Analysis-of-Its-Strengths-and-Weaknesses-for-Solving-Und" TargetMode="External"/><Relationship Id="rId2" Type="http://schemas.openxmlformats.org/officeDocument/2006/relationships/styles" Target="styles.xml"/><Relationship Id="rId29" Type="http://schemas.openxmlformats.org/officeDocument/2006/relationships/hyperlink" Target="https://link.springer.com/article/10.1007/s10676-024-09777-3" TargetMode="External"/><Relationship Id="rId24" Type="http://schemas.openxmlformats.org/officeDocument/2006/relationships/hyperlink" Target="https://link.springer.com/article/10.1007/s11097-025-10103-5" TargetMode="External"/><Relationship Id="rId40" Type="http://schemas.openxmlformats.org/officeDocument/2006/relationships/hyperlink" Target="https://sigcse2024.sigcse.org/details/sigcse-ts-2024-Papers-1/94/ChatGPT-in-the-Classroom-An-Analysis-of-Its-Strengths-and-Weaknesses-for-Solving-Und" TargetMode="External"/><Relationship Id="rId45" Type="http://schemas.openxmlformats.org/officeDocument/2006/relationships/hyperlink" Target="https://www.researchgate.net/publication/235125013_A_Five-Stage_Model_of_the_Mental_Activities_Involved_in_Directed_Skill_Acquisition" TargetMode="External"/><Relationship Id="rId66" Type="http://schemas.openxmlformats.org/officeDocument/2006/relationships/hyperlink" Target="https://huggingface.co/papers/1706.03762" TargetMode="External"/><Relationship Id="rId87" Type="http://schemas.openxmlformats.org/officeDocument/2006/relationships/hyperlink" Target="https://link.springer.com/article/10.1007/s00146-025-02319-5" TargetMode="External"/><Relationship Id="rId61" Type="http://schemas.openxmlformats.org/officeDocument/2006/relationships/hyperlink" Target="https://link.springer.com/article/10.1007/s11097-025-10103-5" TargetMode="External"/><Relationship Id="rId82" Type="http://schemas.openxmlformats.org/officeDocument/2006/relationships/hyperlink" Target="https://www.nature.com/articles/s41586-024-07930-y" TargetMode="External"/><Relationship Id="rId19" Type="http://schemas.openxmlformats.org/officeDocument/2006/relationships/hyperlink" Target="https://www.spep.org/" TargetMode="External"/><Relationship Id="rId14" Type="http://schemas.openxmlformats.org/officeDocument/2006/relationships/hyperlink" Target="https://link.springer.com/article/10.1007/s11097-024-10040-9" TargetMode="External"/><Relationship Id="rId30" Type="http://schemas.openxmlformats.org/officeDocument/2006/relationships/hyperlink" Target="https://link.springer.com/article/10.1007/s00146-025-02319-5" TargetMode="External"/><Relationship Id="rId35" Type="http://schemas.openxmlformats.org/officeDocument/2006/relationships/hyperlink" Target="https://philpapers.org/rec/GALPAE" TargetMode="External"/><Relationship Id="rId56" Type="http://schemas.openxmlformats.org/officeDocument/2006/relationships/hyperlink" Target="https://sdkelly.scholars.harvard.edu/publications/philosopher-argues-and-ai-can-never-be-and-artist" TargetMode="External"/><Relationship Id="rId77" Type="http://schemas.openxmlformats.org/officeDocument/2006/relationships/hyperlink" Target="https://www.spep.org/" TargetMode="External"/><Relationship Id="rId100" Type="http://schemas.openxmlformats.org/officeDocument/2006/relationships/fontTable" Target="fontTable.xml"/><Relationship Id="rId8" Type="http://schemas.openxmlformats.org/officeDocument/2006/relationships/hyperlink" Target="https://sdkelly.scholars.harvard.edu/publications/philosopher-argues-and-ai-can-never-be-and-artist" TargetMode="External"/><Relationship Id="rId51" Type="http://schemas.openxmlformats.org/officeDocument/2006/relationships/hyperlink" Target="https://link.springer.com/article/10.1007/s11097-024-10040-9" TargetMode="External"/><Relationship Id="rId72" Type="http://schemas.openxmlformats.org/officeDocument/2006/relationships/hyperlink" Target="https://link.springer.com/article/10.1007/s10676-024-09777-3" TargetMode="External"/><Relationship Id="rId93" Type="http://schemas.openxmlformats.org/officeDocument/2006/relationships/hyperlink" Target="https://sigcse2024.sigcse.org/details/sigcse-ts-2024-Papers-1/94/ChatGPT-in-the-Classroom-An-Analysis-of-Its-Strengths-and-Weaknesses-for-Solving-Und" TargetMode="External"/><Relationship Id="rId98" Type="http://schemas.openxmlformats.org/officeDocument/2006/relationships/hyperlink" Target="https://github.blog/news-insights/research/does-github-copilot-improve-code-quality-heres-what-the-data-say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4687</Words>
  <Characters>32622</Characters>
  <Application>Microsoft Office Word</Application>
  <DocSecurity>0</DocSecurity>
  <Lines>665</Lines>
  <Paragraphs>186</Paragraphs>
  <ScaleCrop>false</ScaleCrop>
  <Company/>
  <LinksUpToDate>false</LinksUpToDate>
  <CharactersWithSpaces>37123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2026-05-02T20:21:00Z</dcterms:created>
  <dcterms:modified xsi:type="dcterms:W3CDTF">2026-05-02T20:22:00Z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