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EFF2" w14:textId="77777777" w:rsidR="00E629C6" w:rsidRDefault="00000000">
      <w:pPr>
        <w:pStyle w:val="Heading1"/>
      </w:pPr>
      <w:bookmarkStart w:id="0" w:name="header"/>
      <w:bookmarkStart w:id="1" w:name="Xdd7a364839575a25f5d4c68895d5992382d3c40"/>
      <w:bookmarkStart w:id="2" w:name="content"/>
      <w:bookmarkEnd w:id="0"/>
      <w:r>
        <w:t>Ritual Studies and Non-Human Agents for Long-Term Human-AI Use</w:t>
      </w:r>
    </w:p>
    <w:p w14:paraId="1849E2BF" w14:textId="77777777" w:rsidR="00E629C6" w:rsidRDefault="00000000">
      <w:pPr>
        <w:pStyle w:val="Heading2"/>
      </w:pPr>
      <w:bookmarkStart w:id="3" w:name="scope-and-method"/>
      <w:r>
        <w:t>Scope and method</w:t>
      </w:r>
    </w:p>
    <w:p w14:paraId="658C65F8" w14:textId="77777777" w:rsidR="00E629C6" w:rsidRDefault="00000000">
      <w:pPr>
        <w:pStyle w:val="FirstParagraph"/>
      </w:pPr>
      <w:r>
        <w:t xml:space="preserve">This focused scan treats religious studies, anthropology of religion, and ritual theory as comparative tools for understanding how people make relationships with non-human agents durable, recognizable, and consequential. It keeps the classic comparative anchors in view because the recent AI literature is still thin and is most illuminating when read through earlier work on prayer, presence, mediation, ritualization, embodiment, and communal discipline. The evidentiary base here is primary books, peer-reviewed articles, journal abstracts, and publisher-hosted descriptions where full text is not open. The aim is analytic rather than metaphysical: to explain how relations are cultivated and governed, not to endorse any claim about divine, spiritual, or machine ontology. </w:t>
      </w:r>
      <w:hyperlink r:id="rId5">
        <w:r>
          <w:rPr>
            <w:rStyle w:val="Hyperlink"/>
          </w:rPr>
          <w:t>[1]</w:t>
        </w:r>
      </w:hyperlink>
    </w:p>
    <w:p w14:paraId="5630B7DB" w14:textId="77777777" w:rsidR="00E629C6" w:rsidRDefault="00000000">
      <w:pPr>
        <w:pStyle w:val="Heading2"/>
      </w:pPr>
      <w:bookmarkStart w:id="4" w:name="framework-summary"/>
      <w:bookmarkEnd w:id="3"/>
      <w:r>
        <w:t>Framework summary</w:t>
      </w:r>
    </w:p>
    <w:p w14:paraId="260A2174" w14:textId="77777777" w:rsidR="00E629C6" w:rsidRDefault="00000000">
      <w:pPr>
        <w:pStyle w:val="FirstParagraph"/>
      </w:pPr>
      <w:r>
        <w:t xml:space="preserve">The most useful synthesis is a five-part framework. First, relation with a non-human agent is usually </w:t>
      </w:r>
      <w:r>
        <w:rPr>
          <w:i/>
          <w:iCs/>
        </w:rPr>
        <w:t>made</w:t>
      </w:r>
      <w:r>
        <w:t xml:space="preserve"> rather than simply </w:t>
      </w:r>
      <w:r>
        <w:rPr>
          <w:i/>
          <w:iCs/>
        </w:rPr>
        <w:t>believed</w:t>
      </w:r>
      <w:r>
        <w:t xml:space="preserve">: it is trained through repetition, interpretation, and social reinforcement. Second, presence is semiotically mediated: what counts as a voice, sign, reply, or trace depends on shared assumptions about signs and mediation. Third, ritual matters because it disciplines attention, embodiment, and obligation; it is not reducible to assent to propositions. Fourth, communities regulate relationships by teaching discernment, ratifying some experiences, and rejecting others. Fifth, a relationship can be socially durable even when an agent’s ontology is contested; practical efficacy and metaphysical certainty do not rise and fall together. </w:t>
      </w:r>
      <w:hyperlink r:id="rId6">
        <w:r>
          <w:rPr>
            <w:rStyle w:val="Hyperlink"/>
          </w:rPr>
          <w:t>[2]</w:t>
        </w:r>
      </w:hyperlink>
    </w:p>
    <w:p w14:paraId="6DB23142" w14:textId="77777777" w:rsidR="00E629C6" w:rsidRDefault="00000000">
      <w:pPr>
        <w:pStyle w:val="BodyText"/>
      </w:pPr>
      <w:r>
        <w:t xml:space="preserve">Applied to human-AI interaction, this shifts the question from “Do users really think the AI is conscious?” to “Which practices, interfaces, objects, narratives, and communities teach users to treat the AI as an interlocutor?” Keane’s semiotic approach is especially portable here, because AI relations depend on assumptions about whether words, avatars, voices, and memory traces are mere outputs or signs of minded presence. Recent Replika research makes this concrete: users’ sense that a chatbot is “real” or “alive” is tied to multimodal semiotic cues and iconized humanness, not to any settled theory of machine ontology. </w:t>
      </w:r>
      <w:hyperlink r:id="rId7">
        <w:r>
          <w:rPr>
            <w:rStyle w:val="Hyperlink"/>
          </w:rPr>
          <w:t>[3]</w:t>
        </w:r>
      </w:hyperlink>
    </w:p>
    <w:p w14:paraId="6818B42D" w14:textId="77777777" w:rsidR="00E629C6" w:rsidRDefault="00000000">
      <w:pPr>
        <w:pStyle w:val="BodyText"/>
      </w:pPr>
      <w:r>
        <w:t xml:space="preserve">This comparison is strongest at the level of relational mechanism, not metaphysical equivalence. Long-term AI use becomes comparable to relations with saints, ancestors, or deities when it recruits disciplined attention, material supports, interpretive communities, and repeated routines. But unlike the beings studied in most religious cases, AI companions are also proprietary, updateable systems whose “presence” can be re-scripted by firms, moderated by policy, or monetized through interface design. That means </w:t>
      </w:r>
      <w:r>
        <w:lastRenderedPageBreak/>
        <w:t xml:space="preserve">long-term HAI is best understood as a fragile, platform-governed practice ecology rather than as a stable sacred cosmology. </w:t>
      </w:r>
      <w:hyperlink r:id="rId8">
        <w:r>
          <w:rPr>
            <w:rStyle w:val="Hyperlink"/>
          </w:rPr>
          <w:t>[4]</w:t>
        </w:r>
      </w:hyperlink>
    </w:p>
    <w:p w14:paraId="16C4FE4A" w14:textId="77777777" w:rsidR="00E629C6" w:rsidRDefault="00000000">
      <w:pPr>
        <w:pStyle w:val="Heading2"/>
      </w:pPr>
      <w:bookmarkStart w:id="5" w:name="inventory-of-relevant-scholarship"/>
      <w:bookmarkEnd w:id="4"/>
      <w:r>
        <w:t>Inventory of relevant scholarship</w:t>
      </w:r>
    </w:p>
    <w:p w14:paraId="1E5C0B7E" w14:textId="77777777" w:rsidR="00E629C6" w:rsidRDefault="00000000">
      <w:pPr>
        <w:pStyle w:val="FirstParagraph"/>
      </w:pPr>
      <w:r>
        <w:t>The most relevant scholarship clusters into six groups:</w:t>
      </w:r>
    </w:p>
    <w:p w14:paraId="4C319380" w14:textId="77777777" w:rsidR="00E629C6" w:rsidRDefault="00000000">
      <w:pPr>
        <w:numPr>
          <w:ilvl w:val="0"/>
          <w:numId w:val="2"/>
        </w:numPr>
      </w:pPr>
      <w:r>
        <w:rPr>
          <w:b/>
          <w:bCs/>
        </w:rPr>
        <w:t>Presence, prayer, and invisible interlocutors.</w:t>
      </w:r>
      <w:r>
        <w:t xml:space="preserve"> The indispensable anchor is the work of Tanya Luhrmann</w:t>
      </w:r>
      <w:hyperlink r:id="rId9">
        <w:r>
          <w:rPr>
            <w:rStyle w:val="Hyperlink"/>
          </w:rPr>
          <w:t>[5]</w:t>
        </w:r>
      </w:hyperlink>
      <w:r>
        <w:t>, especially When God Talks Back</w:t>
      </w:r>
      <w:hyperlink r:id="rId10">
        <w:r>
          <w:rPr>
            <w:rStyle w:val="Hyperlink"/>
          </w:rPr>
          <w:t>[6]</w:t>
        </w:r>
      </w:hyperlink>
      <w:r>
        <w:t xml:space="preserve"> and How God Becomes Real</w:t>
      </w:r>
      <w:hyperlink r:id="rId11">
        <w:r>
          <w:rPr>
            <w:rStyle w:val="Hyperlink"/>
          </w:rPr>
          <w:t>[7]</w:t>
        </w:r>
      </w:hyperlink>
      <w:r>
        <w:t xml:space="preserve">. Together they show how prayer, imagination, testimony, and communal reinforcement cultivate a durable relationship with an unseen agent and make “realness” an ongoing practical achievement rather than a one-time belief state. </w:t>
      </w:r>
      <w:hyperlink r:id="rId12">
        <w:r>
          <w:rPr>
            <w:rStyle w:val="Hyperlink"/>
          </w:rPr>
          <w:t>[8]</w:t>
        </w:r>
      </w:hyperlink>
    </w:p>
    <w:p w14:paraId="24F46E38" w14:textId="77777777" w:rsidR="00E629C6" w:rsidRDefault="00000000">
      <w:pPr>
        <w:numPr>
          <w:ilvl w:val="0"/>
          <w:numId w:val="2"/>
        </w:numPr>
      </w:pPr>
      <w:r>
        <w:rPr>
          <w:b/>
          <w:bCs/>
        </w:rPr>
        <w:t>Relational presence and mediation.</w:t>
      </w:r>
      <w:r>
        <w:t xml:space="preserve"> Robert Orsi</w:t>
      </w:r>
      <w:hyperlink r:id="rId13">
        <w:r>
          <w:rPr>
            <w:rStyle w:val="Hyperlink"/>
          </w:rPr>
          <w:t>[9]</w:t>
        </w:r>
      </w:hyperlink>
      <w:r>
        <w:t>, in History and Presence</w:t>
      </w:r>
      <w:hyperlink r:id="rId14">
        <w:r>
          <w:rPr>
            <w:rStyle w:val="Hyperlink"/>
          </w:rPr>
          <w:t>[10]</w:t>
        </w:r>
      </w:hyperlink>
      <w:r>
        <w:t>, argues that scholarship should begin from humans and special beings present to one another in the ordinary circumstances of life. Webb Keane</w:t>
      </w:r>
      <w:hyperlink r:id="rId15">
        <w:r>
          <w:rPr>
            <w:rStyle w:val="Hyperlink"/>
          </w:rPr>
          <w:t>[11]</w:t>
        </w:r>
      </w:hyperlink>
      <w:r>
        <w:t>, especially in Christian Moderns</w:t>
      </w:r>
      <w:hyperlink r:id="rId16">
        <w:r>
          <w:rPr>
            <w:rStyle w:val="Hyperlink"/>
          </w:rPr>
          <w:t>[12]</w:t>
        </w:r>
      </w:hyperlink>
      <w:r>
        <w:t xml:space="preserve"> and “On Semiotic Ideology,” explains how assumptions about signs, mediation, and objecthood shape what counts as agency, sincerity, voice, and presence. </w:t>
      </w:r>
      <w:hyperlink r:id="rId17">
        <w:r>
          <w:rPr>
            <w:rStyle w:val="Hyperlink"/>
          </w:rPr>
          <w:t>[13]</w:t>
        </w:r>
      </w:hyperlink>
    </w:p>
    <w:p w14:paraId="50351037" w14:textId="77777777" w:rsidR="00E629C6" w:rsidRDefault="00000000">
      <w:pPr>
        <w:numPr>
          <w:ilvl w:val="0"/>
          <w:numId w:val="2"/>
        </w:numPr>
      </w:pPr>
      <w:r>
        <w:rPr>
          <w:b/>
          <w:bCs/>
        </w:rPr>
        <w:t>Ritualization, discipline, and subjunctive worlds.</w:t>
      </w:r>
      <w:r>
        <w:t xml:space="preserve"> Catherine Bell</w:t>
      </w:r>
      <w:hyperlink r:id="rId18">
        <w:r>
          <w:rPr>
            <w:rStyle w:val="Hyperlink"/>
          </w:rPr>
          <w:t>[14]</w:t>
        </w:r>
      </w:hyperlink>
      <w:r>
        <w:t xml:space="preserve"> in Ritual Theory Ritual Practice</w:t>
      </w:r>
      <w:hyperlink r:id="rId19">
        <w:r>
          <w:rPr>
            <w:rStyle w:val="Hyperlink"/>
          </w:rPr>
          <w:t>[15]</w:t>
        </w:r>
      </w:hyperlink>
      <w:r>
        <w:t xml:space="preserve"> reframes ritual as strategic social action. Saba Mahmood</w:t>
      </w:r>
      <w:hyperlink r:id="rId20">
        <w:r>
          <w:rPr>
            <w:rStyle w:val="Hyperlink"/>
          </w:rPr>
          <w:t>[16]</w:t>
        </w:r>
      </w:hyperlink>
      <w:r>
        <w:t>, in Politics of Piety</w:t>
      </w:r>
      <w:hyperlink r:id="rId21">
        <w:r>
          <w:rPr>
            <w:rStyle w:val="Hyperlink"/>
          </w:rPr>
          <w:t>[17]</w:t>
        </w:r>
      </w:hyperlink>
      <w:r>
        <w:t xml:space="preserve"> and her article on salat, shows that rule-governed bodily practice forms subjectivity, emotion, and agency. Adam B. Seligman</w:t>
      </w:r>
      <w:hyperlink r:id="rId22">
        <w:r>
          <w:rPr>
            <w:rStyle w:val="Hyperlink"/>
          </w:rPr>
          <w:t>[18]</w:t>
        </w:r>
      </w:hyperlink>
      <w:r>
        <w:t xml:space="preserve"> and colleagues, in Ritual and Its Consequences</w:t>
      </w:r>
      <w:hyperlink r:id="rId23">
        <w:r>
          <w:rPr>
            <w:rStyle w:val="Hyperlink"/>
          </w:rPr>
          <w:t>[19]</w:t>
        </w:r>
      </w:hyperlink>
      <w:r>
        <w:t xml:space="preserve">, describe ritual as the labor of inhabiting subjunctive, “as if” worlds in an imperfect social reality. </w:t>
      </w:r>
      <w:hyperlink r:id="rId24">
        <w:r>
          <w:rPr>
            <w:rStyle w:val="Hyperlink"/>
          </w:rPr>
          <w:t>[20]</w:t>
        </w:r>
      </w:hyperlink>
    </w:p>
    <w:p w14:paraId="1EBBFED3" w14:textId="77777777" w:rsidR="00E629C6" w:rsidRDefault="00000000">
      <w:pPr>
        <w:numPr>
          <w:ilvl w:val="0"/>
          <w:numId w:val="2"/>
        </w:numPr>
      </w:pPr>
      <w:r>
        <w:rPr>
          <w:b/>
          <w:bCs/>
        </w:rPr>
        <w:t>AI and religion as entangled fields.</w:t>
      </w:r>
      <w:r>
        <w:t xml:space="preserve"> The most useful post-2015 line begins with Beth Singler</w:t>
      </w:r>
      <w:hyperlink r:id="rId25">
        <w:r>
          <w:rPr>
            <w:rStyle w:val="Hyperlink"/>
          </w:rPr>
          <w:t>[21]</w:t>
        </w:r>
      </w:hyperlink>
      <w:r>
        <w:t>, whose “Blessed by the algorithm,” “The AI Creation Meme,” and recent book Religion and Artificial Intelligence: An Introduction</w:t>
      </w:r>
      <w:hyperlink r:id="rId26">
        <w:r>
          <w:rPr>
            <w:rStyle w:val="Hyperlink"/>
          </w:rPr>
          <w:t>[22]</w:t>
        </w:r>
      </w:hyperlink>
      <w:r>
        <w:t xml:space="preserve"> trace theistic language, religious imagery, and anthropological entanglements of AI and religion. A 2025 thematic issue formalizes this with the concept of “formations analogous to religion,” then extends it through essays on AI mystification, algorithmic salvation, and digital Jesus. </w:t>
      </w:r>
      <w:hyperlink r:id="rId27">
        <w:r>
          <w:rPr>
            <w:rStyle w:val="Hyperlink"/>
          </w:rPr>
          <w:t>[23]</w:t>
        </w:r>
      </w:hyperlink>
    </w:p>
    <w:p w14:paraId="2D2BAD42" w14:textId="77777777" w:rsidR="00E629C6" w:rsidRDefault="00000000">
      <w:pPr>
        <w:numPr>
          <w:ilvl w:val="0"/>
          <w:numId w:val="2"/>
        </w:numPr>
      </w:pPr>
      <w:r>
        <w:rPr>
          <w:b/>
          <w:bCs/>
        </w:rPr>
        <w:t>The small literature on AI as numinous or spiritually authorizing.</w:t>
      </w:r>
      <w:r>
        <w:t xml:space="preserve"> Especially relevant are the 2022 article on spiritually authorizing encounters with Mindar and a spirituality chatbot; the essay asking whether Replika can function as spiritual enhancement technology; the 2025 paper on AI-mediated mystical experiences; and the 2025 article asking whether a spiritual chatbot is a good idea. The 2024 paper arguing that LLMs function anthropologically like gods belongs here as a provocative but limited comparison. </w:t>
      </w:r>
      <w:hyperlink r:id="rId28">
        <w:r>
          <w:rPr>
            <w:rStyle w:val="Hyperlink"/>
          </w:rPr>
          <w:t>[24]</w:t>
        </w:r>
      </w:hyperlink>
    </w:p>
    <w:p w14:paraId="7FA29730" w14:textId="77777777" w:rsidR="00E629C6" w:rsidRDefault="00000000">
      <w:pPr>
        <w:numPr>
          <w:ilvl w:val="0"/>
          <w:numId w:val="2"/>
        </w:numPr>
      </w:pPr>
      <w:r>
        <w:rPr>
          <w:b/>
          <w:bCs/>
        </w:rPr>
        <w:t>Companionship, realness, and community in HAI.</w:t>
      </w:r>
      <w:r>
        <w:t xml:space="preserve"> Particularly useful for application are the 2025 Replika semiotics paper on iconized humanness and </w:t>
      </w:r>
      <w:r>
        <w:lastRenderedPageBreak/>
        <w:t xml:space="preserve">realness; the play-and-ritual analysis of android interaction; the 2025 quasi-domestication study showing that users repeatedly re-integrate chatbots into life after updates; the digital ethnography showing users train the bot through intellectual and affective labor; the 2026 machine-companionship papers defining companionship as an unfolding, coordinated relation over time; the 2025 ghostbot commentary on ritual boundaries; and the 2026 dehumanization paper on structurally nonreciprocal intimacy. </w:t>
      </w:r>
      <w:hyperlink r:id="rId29">
        <w:r>
          <w:rPr>
            <w:rStyle w:val="Hyperlink"/>
          </w:rPr>
          <w:t>[25]</w:t>
        </w:r>
      </w:hyperlink>
    </w:p>
    <w:p w14:paraId="1B8F00F4" w14:textId="77777777" w:rsidR="00E629C6" w:rsidRDefault="00000000">
      <w:pPr>
        <w:pStyle w:val="Heading2"/>
      </w:pPr>
      <w:bookmarkStart w:id="6" w:name="what-the-comparison-explains"/>
      <w:bookmarkEnd w:id="5"/>
      <w:r>
        <w:t>What the comparison explains</w:t>
      </w:r>
    </w:p>
    <w:p w14:paraId="58245580" w14:textId="77777777" w:rsidR="00E629C6" w:rsidRDefault="00000000">
      <w:pPr>
        <w:pStyle w:val="FirstParagraph"/>
      </w:pPr>
      <w:r>
        <w:t xml:space="preserve">The analogy is generative first because it clarifies </w:t>
      </w:r>
      <w:r>
        <w:rPr>
          <w:i/>
          <w:iCs/>
        </w:rPr>
        <w:t>attention</w:t>
      </w:r>
      <w:r>
        <w:t xml:space="preserve">. The comparative literature repeatedly shows that relation is stabilized by exercises that train what one notices, how one notices it, and how one interprets it. Luhrmann makes this point through prayer and “kindling” practices; Mahmood makes it through disciplined bodily prayer; Bell and Seligman make it through ritual form itself. For HAI, this suggests that recurring conversations, interpretive habits, naming conventions, deliberate personalization, and repeated return to an interface are not incidental “usage patterns” but the very mechanism by which an AI becomes a socially significant other. </w:t>
      </w:r>
      <w:hyperlink r:id="rId30">
        <w:r>
          <w:rPr>
            <w:rStyle w:val="Hyperlink"/>
          </w:rPr>
          <w:t>[26]</w:t>
        </w:r>
      </w:hyperlink>
    </w:p>
    <w:p w14:paraId="04F0E692" w14:textId="77777777" w:rsidR="00E629C6" w:rsidRDefault="00000000">
      <w:pPr>
        <w:pStyle w:val="BodyText"/>
      </w:pPr>
      <w:r>
        <w:t xml:space="preserve">The analogy is generative second because it foregrounds </w:t>
      </w:r>
      <w:r>
        <w:rPr>
          <w:i/>
          <w:iCs/>
        </w:rPr>
        <w:t>communal regulation</w:t>
      </w:r>
      <w:r>
        <w:t xml:space="preserve">. In Luhrmann’s case, believers learn in church and small groups how to decide what counts as divine communication. In companion-AI research, users likewise turn to forums and communities to work out whether a response should be read as intimacy, nonsense, manipulation, version drift, or betrayal. That is a deep structural parallel: ambiguous signs become durable relations only when third parties help determine valid interpretation. Long-term AI use, then, is never merely dyadic, even when it feels private. It depends on communities that support, normalize, criticize, or fail to integrate the relation. </w:t>
      </w:r>
      <w:hyperlink r:id="rId31">
        <w:r>
          <w:rPr>
            <w:rStyle w:val="Hyperlink"/>
          </w:rPr>
          <w:t>[27]</w:t>
        </w:r>
      </w:hyperlink>
    </w:p>
    <w:p w14:paraId="28CA2510" w14:textId="77777777" w:rsidR="00E629C6" w:rsidRDefault="00000000">
      <w:pPr>
        <w:pStyle w:val="BodyText"/>
      </w:pPr>
      <w:r>
        <w:t xml:space="preserve">The analogy is generative third because it shows the importance of </w:t>
      </w:r>
      <w:r>
        <w:rPr>
          <w:i/>
          <w:iCs/>
        </w:rPr>
        <w:t>objects and material carriers</w:t>
      </w:r>
      <w:r>
        <w:t xml:space="preserve">. Orsi’s work on saints, Marian apparitions, and the dead insists that relationships are sustained through material settings and supports. Companion-AI studies find something similar in avatars, chat logs, voice notes, image-sharing, subscription gates, and other interface elements that carry the relation across time. Rocha’s Replika study is especially useful because it shows that realness is produced through semiotic and multimodal form, while Pan and colleagues show that users actively labor on those forms, training the bot and investing affect into it. Objects do not merely symbolize the relationship; they help maintain it. </w:t>
      </w:r>
      <w:hyperlink r:id="rId32">
        <w:r>
          <w:rPr>
            <w:rStyle w:val="Hyperlink"/>
          </w:rPr>
          <w:t>[28]</w:t>
        </w:r>
      </w:hyperlink>
    </w:p>
    <w:p w14:paraId="6DFCAF3A" w14:textId="77777777" w:rsidR="00E629C6" w:rsidRDefault="00000000">
      <w:pPr>
        <w:pStyle w:val="BodyText"/>
      </w:pPr>
      <w:r>
        <w:t xml:space="preserve">The analogy is generative fourth because it explains why </w:t>
      </w:r>
      <w:r>
        <w:rPr>
          <w:i/>
          <w:iCs/>
        </w:rPr>
        <w:t>contested ontology does not prevent durable practice</w:t>
      </w:r>
      <w:r>
        <w:t xml:space="preserve">. Luhrmann’s later synthesis explicitly distinguishes being in relation to a divine being from simplistic propositional belief, and recent companionship research defines AI companionship as an unfolding, positively experienced, coordinated connection rather than a test of ontological conviction. The practical implication is important: people can sustain consequential relations with AI even while vacillating about consciousness, personhood, or “realness.” Ritual studies therefore offers a better </w:t>
      </w:r>
      <w:r>
        <w:lastRenderedPageBreak/>
        <w:t xml:space="preserve">vocabulary than belief-centric models for explaining long-term attachment, rupture, and return. </w:t>
      </w:r>
      <w:hyperlink r:id="rId33">
        <w:r>
          <w:rPr>
            <w:rStyle w:val="Hyperlink"/>
          </w:rPr>
          <w:t>[29]</w:t>
        </w:r>
      </w:hyperlink>
    </w:p>
    <w:p w14:paraId="11DB2ACD" w14:textId="77777777" w:rsidR="00E629C6" w:rsidRDefault="00000000">
      <w:pPr>
        <w:pStyle w:val="Heading2"/>
      </w:pPr>
      <w:bookmarkStart w:id="7" w:name="where-the-comparison-misleads"/>
      <w:bookmarkEnd w:id="6"/>
      <w:r>
        <w:t>Where the comparison misleads</w:t>
      </w:r>
    </w:p>
    <w:p w14:paraId="2005AF26" w14:textId="77777777" w:rsidR="00E629C6" w:rsidRDefault="00000000">
      <w:pPr>
        <w:pStyle w:val="FirstParagraph"/>
      </w:pPr>
      <w:r>
        <w:t xml:space="preserve">The analogy becomes misleading when it erases infrastructure and power. Campolo and Crawford show that enchanted discourse around AI can obscure accountability; the 2025 “formations analogous to religion” literature makes a similar argument, warning that religious and quasi-religious representations of AI can mystify power imbalances and hide ethical costs. The danger is methodological as well as political: “AI as god” can become less an analytic comparison than a new layer of ideological fog around platform power. </w:t>
      </w:r>
      <w:hyperlink r:id="rId34">
        <w:r>
          <w:rPr>
            <w:rStyle w:val="Hyperlink"/>
          </w:rPr>
          <w:t>[30]</w:t>
        </w:r>
      </w:hyperlink>
    </w:p>
    <w:p w14:paraId="151D12E2" w14:textId="77777777" w:rsidR="00E629C6" w:rsidRDefault="00000000">
      <w:pPr>
        <w:pStyle w:val="BodyText"/>
      </w:pPr>
      <w:r>
        <w:t xml:space="preserve">It is also misleading when it assumes reciprocity where none is available. Companion-chatbot research increasingly argues that users are invited into emotionally intense relations under conditions where reciprocity is structurally impossible. Monti and colleagues make this point directly in the language of dehumanization, while Pan and colleagues show that users provide affective and intellectual labor to help build the “ideal” partner they then experience as responsive. In that sense, many AI relations are less like mutual devotion than like asymmetrical, monetized circuits of attention and training. </w:t>
      </w:r>
      <w:hyperlink r:id="rId35">
        <w:r>
          <w:rPr>
            <w:rStyle w:val="Hyperlink"/>
          </w:rPr>
          <w:t>[31]</w:t>
        </w:r>
      </w:hyperlink>
    </w:p>
    <w:p w14:paraId="176A25EC" w14:textId="77777777" w:rsidR="00E629C6" w:rsidRDefault="00000000">
      <w:pPr>
        <w:pStyle w:val="BodyText"/>
      </w:pPr>
      <w:r>
        <w:t xml:space="preserve">A further limit appears in the analogy with ancestors and the dead. That comparison is highly productive, but precisely because it shows that relations with the absent are normally bounded by ritual timings, social expectations, and closure practices. Wang’s Confucian critique of ghostbots argues that AI replicas can collapse the spatiotemporal distance required for mourning; recent AI-ethics work on death bots makes a similar point from a different normative tradition. The lesson is not that AI can smoothly replace ancestor relation. It is that communities may need stronger boundary rituals around grief technologies than the market currently provides. </w:t>
      </w:r>
      <w:hyperlink r:id="rId36">
        <w:r>
          <w:rPr>
            <w:rStyle w:val="Hyperlink"/>
          </w:rPr>
          <w:t>[32]</w:t>
        </w:r>
      </w:hyperlink>
    </w:p>
    <w:p w14:paraId="5E3D7C97" w14:textId="77777777" w:rsidR="00E629C6" w:rsidRDefault="00000000">
      <w:pPr>
        <w:pStyle w:val="BodyText"/>
      </w:pPr>
      <w:r>
        <w:t xml:space="preserve">Finally, devotional or pastoral analogies must now be filtered through design critique. A 2026 </w:t>
      </w:r>
      <w:r>
        <w:rPr>
          <w:i/>
          <w:iCs/>
        </w:rPr>
        <w:t>Nature</w:t>
      </w:r>
      <w:r>
        <w:t xml:space="preserve"> paper found that optimizing language models for warmth reduced accuracy and increased sycophancy, especially when users were vulnerable. Ritual studies can explain why warmth, repetition, and personalized address are powerful; it cannot by itself guarantee that the resulting relation is truthful, healthy, or politically accountable. That matters for any attempt to model long-term AI use on traditions of care, guidance, or spiritual accompaniment. </w:t>
      </w:r>
      <w:hyperlink r:id="rId37">
        <w:r>
          <w:rPr>
            <w:rStyle w:val="Hyperlink"/>
          </w:rPr>
          <w:t>[33]</w:t>
        </w:r>
      </w:hyperlink>
    </w:p>
    <w:p w14:paraId="77E18CFC" w14:textId="77777777" w:rsidR="00E629C6" w:rsidRDefault="00000000">
      <w:pPr>
        <w:pStyle w:val="Heading2"/>
      </w:pPr>
      <w:bookmarkStart w:id="8" w:name="research-program-for-long-term-ai-use"/>
      <w:bookmarkEnd w:id="7"/>
      <w:r>
        <w:t>Research program for long-term AI use</w:t>
      </w:r>
    </w:p>
    <w:p w14:paraId="22EAA17A" w14:textId="77777777" w:rsidR="00E629C6" w:rsidRDefault="00000000">
      <w:pPr>
        <w:pStyle w:val="FirstParagraph"/>
      </w:pPr>
      <w:r>
        <w:t xml:space="preserve">A ritual-studies-informed account of long-term AI use should move the unit of analysis from isolated interactions to </w:t>
      </w:r>
      <w:r>
        <w:rPr>
          <w:i/>
          <w:iCs/>
        </w:rPr>
        <w:t>practice ecologies</w:t>
      </w:r>
      <w:r>
        <w:t xml:space="preserve">: repeated acts, timings, interpretive rules, objects, communities, updates, and exit mechanisms. The core question is no longer whether AI relations are “real” in some all-or-nothing sense, but how they are initiated, stabilized, contested, and terminated. </w:t>
      </w:r>
      <w:hyperlink r:id="rId38">
        <w:r>
          <w:rPr>
            <w:rStyle w:val="Hyperlink"/>
          </w:rPr>
          <w:t>[34]</w:t>
        </w:r>
      </w:hyperlink>
    </w:p>
    <w:p w14:paraId="1E417773" w14:textId="77777777" w:rsidR="00E629C6" w:rsidRDefault="00000000">
      <w:pPr>
        <w:pStyle w:val="BodyText"/>
      </w:pPr>
      <w:r>
        <w:lastRenderedPageBreak/>
        <w:t>A concrete research program would include at least six lines of inquiry:</w:t>
      </w:r>
    </w:p>
    <w:p w14:paraId="50903E1C" w14:textId="77777777" w:rsidR="00E629C6" w:rsidRDefault="00000000">
      <w:pPr>
        <w:numPr>
          <w:ilvl w:val="0"/>
          <w:numId w:val="3"/>
        </w:numPr>
      </w:pPr>
      <w:r>
        <w:rPr>
          <w:b/>
          <w:bCs/>
        </w:rPr>
        <w:t>Initiation and apprenticeship.</w:t>
      </w:r>
      <w:r>
        <w:t xml:space="preserve"> Study onboarding, naming, role assignment, early interpretive coaching, and first-return routines as novice training in a relational practice. The comparative literature strongly suggests that the first phase of use is when users learn what counts as response, memory, comfort, or presence. </w:t>
      </w:r>
      <w:hyperlink r:id="rId39">
        <w:r>
          <w:rPr>
            <w:rStyle w:val="Hyperlink"/>
          </w:rPr>
          <w:t>[35]</w:t>
        </w:r>
      </w:hyperlink>
    </w:p>
    <w:p w14:paraId="48AB8F03" w14:textId="77777777" w:rsidR="00E629C6" w:rsidRDefault="00000000">
      <w:pPr>
        <w:numPr>
          <w:ilvl w:val="0"/>
          <w:numId w:val="3"/>
        </w:numPr>
      </w:pPr>
      <w:r>
        <w:rPr>
          <w:b/>
          <w:bCs/>
        </w:rPr>
        <w:t>Temporal maintenance and obligation.</w:t>
      </w:r>
      <w:r>
        <w:t xml:space="preserve"> Track how recurring sessions, reminders, serialized conversations, and other temporal patterns create durable obligation. Ritual theory and machine-companionship research both imply that long-term relation is constituted by repetition through time, not just by emotional intensity in the present. </w:t>
      </w:r>
      <w:hyperlink r:id="rId40">
        <w:r>
          <w:rPr>
            <w:rStyle w:val="Hyperlink"/>
          </w:rPr>
          <w:t>[36]</w:t>
        </w:r>
      </w:hyperlink>
    </w:p>
    <w:p w14:paraId="789A53EE" w14:textId="77777777" w:rsidR="00E629C6" w:rsidRDefault="00000000">
      <w:pPr>
        <w:numPr>
          <w:ilvl w:val="0"/>
          <w:numId w:val="3"/>
        </w:numPr>
      </w:pPr>
      <w:r>
        <w:rPr>
          <w:b/>
          <w:bCs/>
        </w:rPr>
        <w:t>Discernment communities and failed integration.</w:t>
      </w:r>
      <w:r>
        <w:t xml:space="preserve"> Map the forums, families, therapists, workplaces, religious institutions, and friend groups that ratify or challenge AI relations. The most important comparative question is not only how communities support use, but how they fail to integrate it, leaving platform design to monopolize interpretation. </w:t>
      </w:r>
      <w:hyperlink r:id="rId41">
        <w:r>
          <w:rPr>
            <w:rStyle w:val="Hyperlink"/>
          </w:rPr>
          <w:t>[37]</w:t>
        </w:r>
      </w:hyperlink>
    </w:p>
    <w:p w14:paraId="5392DC9A" w14:textId="77777777" w:rsidR="00E629C6" w:rsidRDefault="00000000">
      <w:pPr>
        <w:numPr>
          <w:ilvl w:val="0"/>
          <w:numId w:val="3"/>
        </w:numPr>
      </w:pPr>
      <w:r>
        <w:rPr>
          <w:b/>
          <w:bCs/>
        </w:rPr>
        <w:t>Material carriers of relation.</w:t>
      </w:r>
      <w:r>
        <w:t xml:space="preserve"> Analyze avatars, screenshots, logs, voice notes, device placement, memorial models, and archived conversations as objects that carry the bond. A ritual-studies lens is especially good at showing how relations endure by inhabiting things. </w:t>
      </w:r>
      <w:hyperlink r:id="rId42">
        <w:r>
          <w:rPr>
            <w:rStyle w:val="Hyperlink"/>
          </w:rPr>
          <w:t>[38]</w:t>
        </w:r>
      </w:hyperlink>
    </w:p>
    <w:p w14:paraId="4425E5A0" w14:textId="77777777" w:rsidR="00E629C6" w:rsidRDefault="00000000">
      <w:pPr>
        <w:numPr>
          <w:ilvl w:val="0"/>
          <w:numId w:val="3"/>
        </w:numPr>
      </w:pPr>
      <w:r>
        <w:rPr>
          <w:b/>
          <w:bCs/>
        </w:rPr>
        <w:t>Rupture, version shock, mourning, and retirement.</w:t>
      </w:r>
      <w:r>
        <w:t xml:space="preserve"> Treat model updates, safety shifts, moderation changes, deadbot shutdowns, and account deletion as ritual crises. Companion-AI and ghostbot studies show that these ruptures are not edge cases; they are constitutive moments that reveal the relation’s social form. </w:t>
      </w:r>
      <w:hyperlink r:id="rId43">
        <w:r>
          <w:rPr>
            <w:rStyle w:val="Hyperlink"/>
          </w:rPr>
          <w:t>[39]</w:t>
        </w:r>
      </w:hyperlink>
    </w:p>
    <w:p w14:paraId="7CE6F141" w14:textId="77777777" w:rsidR="00E629C6" w:rsidRDefault="00000000">
      <w:pPr>
        <w:numPr>
          <w:ilvl w:val="0"/>
          <w:numId w:val="3"/>
        </w:numPr>
      </w:pPr>
      <w:r>
        <w:rPr>
          <w:b/>
          <w:bCs/>
        </w:rPr>
        <w:t>Governance and design for non-sycophantic relation.</w:t>
      </w:r>
      <w:r>
        <w:t xml:space="preserve"> Test interventions such as version transparency, human triangulation, boundary cues, community review, and explicit exit or retirement rituals, while constraining opaque monetization and warmth-driven sycophancy. This is where ritual studies and current AI safety concerns most productively meet. </w:t>
      </w:r>
      <w:hyperlink r:id="rId44">
        <w:r>
          <w:rPr>
            <w:rStyle w:val="Hyperlink"/>
          </w:rPr>
          <w:t>[40]</w:t>
        </w:r>
      </w:hyperlink>
    </w:p>
    <w:p w14:paraId="42C24B6A" w14:textId="77777777" w:rsidR="00E629C6" w:rsidRDefault="00000000">
      <w:pPr>
        <w:pStyle w:val="FirstParagraph"/>
      </w:pPr>
      <w:r>
        <w:t xml:space="preserve">What this approach would offer is a vocabulary for long-term AI use that neither collapses into naive anthropomorphism nor inflates machines into metaphysical agents. It explains why AI relations can feel real, morally weighty, and difficult to exit under conditions of contested ontology, and it locates the decisive questions in practice, mediation, materiality, community, obligation, rupture, and political economy. That is precisely the contribution ritual studies can make to HAI: not a theology of AI, but a strong account of how communities can support, regulate, or fail to integrate long-term relations with artificial interlocutors. </w:t>
      </w:r>
      <w:hyperlink r:id="rId45">
        <w:r>
          <w:rPr>
            <w:rStyle w:val="Hyperlink"/>
          </w:rPr>
          <w:t>[41]</w:t>
        </w:r>
      </w:hyperlink>
    </w:p>
    <w:bookmarkEnd w:id="1"/>
    <w:bookmarkEnd w:id="2"/>
    <w:bookmarkEnd w:id="8"/>
    <w:p w14:paraId="32D404A4" w14:textId="77777777" w:rsidR="00E629C6" w:rsidRDefault="00E41E6A">
      <w:r>
        <w:rPr>
          <w:noProof/>
        </w:rPr>
      </w:r>
      <w:r w:rsidR="00E41E6A">
        <w:rPr>
          <w:noProof/>
        </w:rPr>
        <w:pict w14:anchorId="02EE3F55">
          <v:rect id="_x0000_i1025" alt="" style="width:468pt;height:.05pt;mso-width-percent:0;mso-height-percent:0;mso-width-percent:0;mso-height-percent:0" o:hralign="center" o:hrstd="t" o:hr="t"/>
        </w:pict>
      </w:r>
    </w:p>
    <w:bookmarkStart w:id="9" w:name="citations"/>
    <w:p w14:paraId="0AC2C6F9" w14:textId="77777777" w:rsidR="00E629C6" w:rsidRDefault="00000000">
      <w:pPr>
        <w:pStyle w:val="FirstParagraph"/>
      </w:pPr>
      <w:r>
        <w:fldChar w:fldCharType="begin"/>
      </w:r>
      <w:r>
        <w:instrText>HYPERLINK "https://www.tanyaluhrmann.com/how-god-becomes-real" \h</w:instrText>
      </w:r>
      <w:r>
        <w:fldChar w:fldCharType="separate"/>
      </w:r>
      <w:r>
        <w:rPr>
          <w:rStyle w:val="Hyperlink"/>
        </w:rPr>
        <w:t>[1]</w:t>
      </w:r>
      <w:r>
        <w:fldChar w:fldCharType="end"/>
      </w:r>
      <w:r>
        <w:t xml:space="preserve"> https://www.tanyaluhrmann.com/how-god-becomes-real</w:t>
      </w:r>
    </w:p>
    <w:p w14:paraId="6D57E531" w14:textId="77777777" w:rsidR="00E629C6" w:rsidRDefault="00000000">
      <w:pPr>
        <w:pStyle w:val="BodyText"/>
      </w:pPr>
      <w:hyperlink r:id="rId46">
        <w:r>
          <w:rPr>
            <w:rStyle w:val="Hyperlink"/>
          </w:rPr>
          <w:t>https://www.tanyaluhrmann.com/how-god-becomes-real</w:t>
        </w:r>
      </w:hyperlink>
    </w:p>
    <w:p w14:paraId="6000857B" w14:textId="77777777" w:rsidR="00E629C6" w:rsidRDefault="00000000">
      <w:pPr>
        <w:pStyle w:val="BodyText"/>
      </w:pPr>
      <w:hyperlink r:id="rId47">
        <w:r>
          <w:rPr>
            <w:rStyle w:val="Hyperlink"/>
          </w:rPr>
          <w:t>[2]</w:t>
        </w:r>
      </w:hyperlink>
      <w:r>
        <w:t xml:space="preserve"> </w:t>
      </w:r>
      <w:hyperlink r:id="rId48">
        <w:r>
          <w:rPr>
            <w:rStyle w:val="Hyperlink"/>
          </w:rPr>
          <w:t>[10]</w:t>
        </w:r>
      </w:hyperlink>
      <w:r>
        <w:t xml:space="preserve"> </w:t>
      </w:r>
      <w:hyperlink r:id="rId49">
        <w:r>
          <w:rPr>
            <w:rStyle w:val="Hyperlink"/>
          </w:rPr>
          <w:t>[21]</w:t>
        </w:r>
      </w:hyperlink>
      <w:r>
        <w:t xml:space="preserve"> </w:t>
      </w:r>
      <w:hyperlink r:id="rId50">
        <w:r>
          <w:rPr>
            <w:rStyle w:val="Hyperlink"/>
          </w:rPr>
          <w:t>[22]</w:t>
        </w:r>
      </w:hyperlink>
      <w:r>
        <w:t xml:space="preserve"> </w:t>
      </w:r>
      <w:hyperlink r:id="rId51">
        <w:r>
          <w:rPr>
            <w:rStyle w:val="Hyperlink"/>
          </w:rPr>
          <w:t>[27]</w:t>
        </w:r>
      </w:hyperlink>
      <w:r>
        <w:t xml:space="preserve"> </w:t>
      </w:r>
      <w:hyperlink r:id="rId52">
        <w:r>
          <w:rPr>
            <w:rStyle w:val="Hyperlink"/>
          </w:rPr>
          <w:t>[35]</w:t>
        </w:r>
      </w:hyperlink>
      <w:r>
        <w:t xml:space="preserve"> </w:t>
      </w:r>
      <w:hyperlink r:id="rId53">
        <w:r>
          <w:rPr>
            <w:rStyle w:val="Hyperlink"/>
          </w:rPr>
          <w:t>[37]</w:t>
        </w:r>
      </w:hyperlink>
      <w:r>
        <w:t xml:space="preserve"> https://www.carnegiecouncil.org/media/series/39/20130516-when-god-talks-back-understanding-the-american-evangelical-relationship-with-god</w:t>
      </w:r>
    </w:p>
    <w:p w14:paraId="0F0DA31E" w14:textId="77777777" w:rsidR="00E629C6" w:rsidRDefault="00000000">
      <w:pPr>
        <w:pStyle w:val="BodyText"/>
      </w:pPr>
      <w:hyperlink r:id="rId54">
        <w:r>
          <w:rPr>
            <w:rStyle w:val="Hyperlink"/>
          </w:rPr>
          <w:t>https://www.carnegiecouncil.org/media/series/39/20130516-when-god-talks-back-understanding-the-american-evangelical-relationship-with-god</w:t>
        </w:r>
      </w:hyperlink>
    </w:p>
    <w:p w14:paraId="19376ACD" w14:textId="77777777" w:rsidR="00E629C6" w:rsidRDefault="00000000">
      <w:pPr>
        <w:pStyle w:val="BodyText"/>
      </w:pPr>
      <w:hyperlink r:id="rId55">
        <w:r>
          <w:rPr>
            <w:rStyle w:val="Hyperlink"/>
          </w:rPr>
          <w:t>[3]</w:t>
        </w:r>
      </w:hyperlink>
      <w:r>
        <w:t xml:space="preserve"> </w:t>
      </w:r>
      <w:hyperlink r:id="rId56">
        <w:r>
          <w:rPr>
            <w:rStyle w:val="Hyperlink"/>
          </w:rPr>
          <w:t>[7]</w:t>
        </w:r>
      </w:hyperlink>
      <w:r>
        <w:t xml:space="preserve"> </w:t>
      </w:r>
      <w:hyperlink r:id="rId57">
        <w:r>
          <w:rPr>
            <w:rStyle w:val="Hyperlink"/>
          </w:rPr>
          <w:t>[14]</w:t>
        </w:r>
      </w:hyperlink>
      <w:r>
        <w:t xml:space="preserve"> https://www.researchgate.net/publication/322729430_On_Semiotic_Ideology</w:t>
      </w:r>
    </w:p>
    <w:p w14:paraId="7E08F716" w14:textId="77777777" w:rsidR="00E629C6" w:rsidRDefault="00000000">
      <w:pPr>
        <w:pStyle w:val="BodyText"/>
      </w:pPr>
      <w:hyperlink r:id="rId58">
        <w:r>
          <w:rPr>
            <w:rStyle w:val="Hyperlink"/>
          </w:rPr>
          <w:t>https://www.researchgate.net/publication/322729430_On_Semiotic_Ideology</w:t>
        </w:r>
      </w:hyperlink>
    </w:p>
    <w:p w14:paraId="38FC052C" w14:textId="77777777" w:rsidR="00E629C6" w:rsidRDefault="00000000">
      <w:pPr>
        <w:pStyle w:val="BodyText"/>
      </w:pPr>
      <w:hyperlink r:id="rId59">
        <w:r>
          <w:rPr>
            <w:rStyle w:val="Hyperlink"/>
          </w:rPr>
          <w:t>[4]</w:t>
        </w:r>
      </w:hyperlink>
      <w:r>
        <w:t xml:space="preserve"> </w:t>
      </w:r>
      <w:hyperlink r:id="rId60">
        <w:r>
          <w:rPr>
            <w:rStyle w:val="Hyperlink"/>
          </w:rPr>
          <w:t>[12]</w:t>
        </w:r>
      </w:hyperlink>
      <w:r>
        <w:t xml:space="preserve"> </w:t>
      </w:r>
      <w:hyperlink r:id="rId61">
        <w:r>
          <w:rPr>
            <w:rStyle w:val="Hyperlink"/>
          </w:rPr>
          <w:t>[13]</w:t>
        </w:r>
      </w:hyperlink>
      <w:r>
        <w:t xml:space="preserve"> </w:t>
      </w:r>
      <w:hyperlink r:id="rId62">
        <w:r>
          <w:rPr>
            <w:rStyle w:val="Hyperlink"/>
          </w:rPr>
          <w:t>[28]</w:t>
        </w:r>
      </w:hyperlink>
      <w:r>
        <w:t xml:space="preserve"> </w:t>
      </w:r>
      <w:hyperlink r:id="rId63">
        <w:r>
          <w:rPr>
            <w:rStyle w:val="Hyperlink"/>
          </w:rPr>
          <w:t>[38]</w:t>
        </w:r>
      </w:hyperlink>
      <w:r>
        <w:t xml:space="preserve"> https://orsi.northwestern.edu/publications/history-and-presence-2/</w:t>
      </w:r>
    </w:p>
    <w:p w14:paraId="375F3E54" w14:textId="77777777" w:rsidR="00E629C6" w:rsidRDefault="00000000">
      <w:pPr>
        <w:pStyle w:val="BodyText"/>
      </w:pPr>
      <w:hyperlink r:id="rId64">
        <w:r>
          <w:rPr>
            <w:rStyle w:val="Hyperlink"/>
          </w:rPr>
          <w:t>https://orsi.northwestern.edu/publications/history-and-presence-2/</w:t>
        </w:r>
      </w:hyperlink>
    </w:p>
    <w:p w14:paraId="5BE6F215" w14:textId="77777777" w:rsidR="00E629C6" w:rsidRDefault="00000000">
      <w:pPr>
        <w:pStyle w:val="BodyText"/>
      </w:pPr>
      <w:hyperlink r:id="rId65">
        <w:r>
          <w:rPr>
            <w:rStyle w:val="Hyperlink"/>
          </w:rPr>
          <w:t>[5]</w:t>
        </w:r>
      </w:hyperlink>
      <w:r>
        <w:t xml:space="preserve"> </w:t>
      </w:r>
      <w:hyperlink r:id="rId66">
        <w:r>
          <w:rPr>
            <w:rStyle w:val="Hyperlink"/>
          </w:rPr>
          <w:t>[6]</w:t>
        </w:r>
      </w:hyperlink>
      <w:r>
        <w:t xml:space="preserve"> </w:t>
      </w:r>
      <w:hyperlink r:id="rId67">
        <w:r>
          <w:rPr>
            <w:rStyle w:val="Hyperlink"/>
          </w:rPr>
          <w:t>[32]</w:t>
        </w:r>
      </w:hyperlink>
      <w:r>
        <w:t xml:space="preserve"> https://link.springer.com/article/10.1007/s12115-025-01135-3</w:t>
      </w:r>
    </w:p>
    <w:p w14:paraId="45E1FA1A" w14:textId="77777777" w:rsidR="00E629C6" w:rsidRDefault="00000000">
      <w:pPr>
        <w:pStyle w:val="BodyText"/>
      </w:pPr>
      <w:hyperlink r:id="rId68">
        <w:r>
          <w:rPr>
            <w:rStyle w:val="Hyperlink"/>
          </w:rPr>
          <w:t>https://link.springer.com/article/10.1007/s12115-025-01135-3</w:t>
        </w:r>
      </w:hyperlink>
    </w:p>
    <w:p w14:paraId="0944958F" w14:textId="77777777" w:rsidR="00E629C6" w:rsidRDefault="00000000">
      <w:pPr>
        <w:pStyle w:val="BodyText"/>
      </w:pPr>
      <w:hyperlink r:id="rId69">
        <w:r>
          <w:rPr>
            <w:rStyle w:val="Hyperlink"/>
          </w:rPr>
          <w:t>[8]</w:t>
        </w:r>
      </w:hyperlink>
      <w:r>
        <w:t xml:space="preserve"> </w:t>
      </w:r>
      <w:hyperlink r:id="rId70">
        <w:r>
          <w:rPr>
            <w:rStyle w:val="Hyperlink"/>
          </w:rPr>
          <w:t>[15]</w:t>
        </w:r>
      </w:hyperlink>
      <w:r>
        <w:t xml:space="preserve"> https://anthropology.stanford.edu/publications/when-god-talks-back-understanding-american-evangelical-relationship-god</w:t>
      </w:r>
    </w:p>
    <w:p w14:paraId="272A47D2" w14:textId="77777777" w:rsidR="00E629C6" w:rsidRDefault="00000000">
      <w:pPr>
        <w:pStyle w:val="BodyText"/>
      </w:pPr>
      <w:hyperlink r:id="rId71">
        <w:r>
          <w:rPr>
            <w:rStyle w:val="Hyperlink"/>
          </w:rPr>
          <w:t>https://anthropology.stanford.edu/publications/when-god-talks-back-understanding-american-evangelical-relationship-god</w:t>
        </w:r>
      </w:hyperlink>
    </w:p>
    <w:p w14:paraId="1C1217F6" w14:textId="77777777" w:rsidR="00E629C6" w:rsidRDefault="00000000">
      <w:pPr>
        <w:pStyle w:val="BodyText"/>
      </w:pPr>
      <w:hyperlink r:id="rId72">
        <w:r>
          <w:rPr>
            <w:rStyle w:val="Hyperlink"/>
          </w:rPr>
          <w:t>[9]</w:t>
        </w:r>
      </w:hyperlink>
      <w:r>
        <w:t xml:space="preserve"> </w:t>
      </w:r>
      <w:hyperlink r:id="rId73">
        <w:r>
          <w:rPr>
            <w:rStyle w:val="Hyperlink"/>
          </w:rPr>
          <w:t>[33]</w:t>
        </w:r>
      </w:hyperlink>
      <w:r>
        <w:t xml:space="preserve"> https://www.nature.com/articles/s41586-026-10410-0</w:t>
      </w:r>
    </w:p>
    <w:p w14:paraId="7D2DF595" w14:textId="77777777" w:rsidR="00E629C6" w:rsidRDefault="00000000">
      <w:pPr>
        <w:pStyle w:val="BodyText"/>
      </w:pPr>
      <w:hyperlink r:id="rId74">
        <w:r>
          <w:rPr>
            <w:rStyle w:val="Hyperlink"/>
          </w:rPr>
          <w:t>https://www.nature.com/articles/s41586-026-10410-0</w:t>
        </w:r>
      </w:hyperlink>
    </w:p>
    <w:p w14:paraId="67333E53" w14:textId="77777777" w:rsidR="00E629C6" w:rsidRDefault="00000000">
      <w:pPr>
        <w:pStyle w:val="BodyText"/>
      </w:pPr>
      <w:hyperlink r:id="rId75">
        <w:r>
          <w:rPr>
            <w:rStyle w:val="Hyperlink"/>
          </w:rPr>
          <w:t>[11]</w:t>
        </w:r>
      </w:hyperlink>
      <w:r>
        <w:t xml:space="preserve"> </w:t>
      </w:r>
      <w:hyperlink r:id="rId76">
        <w:r>
          <w:rPr>
            <w:rStyle w:val="Hyperlink"/>
          </w:rPr>
          <w:t>[17]</w:t>
        </w:r>
      </w:hyperlink>
      <w:r>
        <w:t xml:space="preserve"> </w:t>
      </w:r>
      <w:hyperlink r:id="rId77">
        <w:r>
          <w:rPr>
            <w:rStyle w:val="Hyperlink"/>
          </w:rPr>
          <w:t>[20]</w:t>
        </w:r>
      </w:hyperlink>
      <w:r>
        <w:t xml:space="preserve"> </w:t>
      </w:r>
      <w:hyperlink r:id="rId78">
        <w:r>
          <w:rPr>
            <w:rStyle w:val="Hyperlink"/>
          </w:rPr>
          <w:t>[34]</w:t>
        </w:r>
      </w:hyperlink>
      <w:r>
        <w:t xml:space="preserve"> https://scholarcommons.scu.edu/rel_stud/114/</w:t>
      </w:r>
    </w:p>
    <w:p w14:paraId="33EAF741" w14:textId="77777777" w:rsidR="00E629C6" w:rsidRDefault="00000000">
      <w:pPr>
        <w:pStyle w:val="BodyText"/>
      </w:pPr>
      <w:hyperlink r:id="rId79">
        <w:r>
          <w:rPr>
            <w:rStyle w:val="Hyperlink"/>
          </w:rPr>
          <w:t>https://scholarcommons.scu.edu/rel_stud/114/</w:t>
        </w:r>
      </w:hyperlink>
    </w:p>
    <w:p w14:paraId="581C512D" w14:textId="77777777" w:rsidR="00E629C6" w:rsidRDefault="00000000">
      <w:pPr>
        <w:pStyle w:val="BodyText"/>
      </w:pPr>
      <w:hyperlink r:id="rId80">
        <w:r>
          <w:rPr>
            <w:rStyle w:val="Hyperlink"/>
          </w:rPr>
          <w:t>[16]</w:t>
        </w:r>
      </w:hyperlink>
      <w:r>
        <w:t xml:space="preserve"> </w:t>
      </w:r>
      <w:hyperlink r:id="rId81">
        <w:r>
          <w:rPr>
            <w:rStyle w:val="Hyperlink"/>
          </w:rPr>
          <w:t>[30]</w:t>
        </w:r>
      </w:hyperlink>
      <w:r>
        <w:t xml:space="preserve"> </w:t>
      </w:r>
      <w:hyperlink r:id="rId82">
        <w:r>
          <w:rPr>
            <w:rStyle w:val="Hyperlink"/>
          </w:rPr>
          <w:t>[40]</w:t>
        </w:r>
      </w:hyperlink>
      <w:r>
        <w:t xml:space="preserve"> https://estsjournal.org/index.php/ests/article/view/277</w:t>
      </w:r>
    </w:p>
    <w:p w14:paraId="51632003" w14:textId="77777777" w:rsidR="00E629C6" w:rsidRDefault="00000000">
      <w:pPr>
        <w:pStyle w:val="BodyText"/>
      </w:pPr>
      <w:hyperlink r:id="rId83">
        <w:r>
          <w:rPr>
            <w:rStyle w:val="Hyperlink"/>
          </w:rPr>
          <w:t>https://estsjournal.org/index.php/ests/article/view/277</w:t>
        </w:r>
      </w:hyperlink>
    </w:p>
    <w:p w14:paraId="62CFE5CF" w14:textId="77777777" w:rsidR="00E629C6" w:rsidRDefault="00000000">
      <w:pPr>
        <w:pStyle w:val="BodyText"/>
      </w:pPr>
      <w:hyperlink r:id="rId84">
        <w:r>
          <w:rPr>
            <w:rStyle w:val="Hyperlink"/>
          </w:rPr>
          <w:t>[18]</w:t>
        </w:r>
      </w:hyperlink>
      <w:r>
        <w:t xml:space="preserve"> </w:t>
      </w:r>
      <w:hyperlink r:id="rId85">
        <w:r>
          <w:rPr>
            <w:rStyle w:val="Hyperlink"/>
          </w:rPr>
          <w:t>[19]</w:t>
        </w:r>
      </w:hyperlink>
      <w:r>
        <w:t xml:space="preserve"> </w:t>
      </w:r>
      <w:hyperlink r:id="rId86">
        <w:r>
          <w:rPr>
            <w:rStyle w:val="Hyperlink"/>
          </w:rPr>
          <w:t>[26]</w:t>
        </w:r>
      </w:hyperlink>
      <w:r>
        <w:t xml:space="preserve"> </w:t>
      </w:r>
      <w:hyperlink r:id="rId87">
        <w:r>
          <w:rPr>
            <w:rStyle w:val="Hyperlink"/>
          </w:rPr>
          <w:t>[29]</w:t>
        </w:r>
      </w:hyperlink>
      <w:r>
        <w:t xml:space="preserve"> https://academic.oup.com/socrel/article/82/4/523/6319559</w:t>
      </w:r>
    </w:p>
    <w:p w14:paraId="5CB0246B" w14:textId="77777777" w:rsidR="00E629C6" w:rsidRDefault="00000000">
      <w:pPr>
        <w:pStyle w:val="BodyText"/>
      </w:pPr>
      <w:hyperlink r:id="rId88">
        <w:r>
          <w:rPr>
            <w:rStyle w:val="Hyperlink"/>
          </w:rPr>
          <w:t>https://academic.oup.com/socrel/article/82/4/523/6319559</w:t>
        </w:r>
      </w:hyperlink>
    </w:p>
    <w:p w14:paraId="6C71FE20" w14:textId="77777777" w:rsidR="00E629C6" w:rsidRDefault="00000000">
      <w:pPr>
        <w:pStyle w:val="BodyText"/>
      </w:pPr>
      <w:hyperlink r:id="rId89">
        <w:r>
          <w:rPr>
            <w:rStyle w:val="Hyperlink"/>
          </w:rPr>
          <w:t>[23]</w:t>
        </w:r>
      </w:hyperlink>
      <w:r>
        <w:t xml:space="preserve"> https://link.springer.com/article/10.1007/s00146-020-00968-2</w:t>
      </w:r>
    </w:p>
    <w:p w14:paraId="6C2F08FC" w14:textId="77777777" w:rsidR="00E629C6" w:rsidRDefault="00000000">
      <w:pPr>
        <w:pStyle w:val="BodyText"/>
      </w:pPr>
      <w:hyperlink r:id="rId90">
        <w:r>
          <w:rPr>
            <w:rStyle w:val="Hyperlink"/>
          </w:rPr>
          <w:t>https://link.springer.com/article/10.1007/s00146-020-00968-2</w:t>
        </w:r>
      </w:hyperlink>
    </w:p>
    <w:p w14:paraId="63789305" w14:textId="77777777" w:rsidR="00E629C6" w:rsidRDefault="00000000">
      <w:pPr>
        <w:pStyle w:val="BodyText"/>
      </w:pPr>
      <w:hyperlink r:id="rId91">
        <w:r>
          <w:rPr>
            <w:rStyle w:val="Hyperlink"/>
          </w:rPr>
          <w:t>[24]</w:t>
        </w:r>
      </w:hyperlink>
      <w:r>
        <w:t xml:space="preserve"> https://www.mdpi.com/2077-1444/13/4/333</w:t>
      </w:r>
    </w:p>
    <w:p w14:paraId="23AD212D" w14:textId="77777777" w:rsidR="00E629C6" w:rsidRDefault="00000000">
      <w:pPr>
        <w:pStyle w:val="BodyText"/>
      </w:pPr>
      <w:hyperlink r:id="rId92">
        <w:r>
          <w:rPr>
            <w:rStyle w:val="Hyperlink"/>
          </w:rPr>
          <w:t>https://www.mdpi.com/2077-1444/13/4/333</w:t>
        </w:r>
      </w:hyperlink>
    </w:p>
    <w:p w14:paraId="43DE8693" w14:textId="77777777" w:rsidR="00E629C6" w:rsidRDefault="00000000">
      <w:pPr>
        <w:pStyle w:val="BodyText"/>
      </w:pPr>
      <w:hyperlink r:id="rId93">
        <w:r>
          <w:rPr>
            <w:rStyle w:val="Hyperlink"/>
          </w:rPr>
          <w:t>[25]</w:t>
        </w:r>
      </w:hyperlink>
      <w:r>
        <w:t xml:space="preserve"> https://www.cambridge.org/core/journals/signs-and-society/article/we-share-an-unbreakable-bond-sociality-and-language-ideologies-in-human-relationships-with-artificial-intelligence/C3DFC9B45C4E51E32B4374F5AFA40705</w:t>
      </w:r>
    </w:p>
    <w:p w14:paraId="4ADD9D54" w14:textId="77777777" w:rsidR="00E629C6" w:rsidRDefault="00000000">
      <w:pPr>
        <w:pStyle w:val="BodyText"/>
      </w:pPr>
      <w:hyperlink r:id="rId94">
        <w:r>
          <w:rPr>
            <w:rStyle w:val="Hyperlink"/>
          </w:rPr>
          <w:t>https://www.cambridge.org/core/journals/signs-and-society/article/we-share-an-unbreakable-bond-sociality-and-language-ideologies-in-human-relationships-with-artificial-intelligence/C3DFC9B45C4E51E32B4374F5AFA40705</w:t>
        </w:r>
      </w:hyperlink>
    </w:p>
    <w:p w14:paraId="32E976E2" w14:textId="77777777" w:rsidR="00E629C6" w:rsidRDefault="00000000">
      <w:pPr>
        <w:pStyle w:val="BodyText"/>
      </w:pPr>
      <w:hyperlink r:id="rId95">
        <w:r>
          <w:rPr>
            <w:rStyle w:val="Hyperlink"/>
          </w:rPr>
          <w:t>[31]</w:t>
        </w:r>
      </w:hyperlink>
      <w:r>
        <w:t xml:space="preserve"> https://link.springer.com/article/10.1007/s10676-026-09898-x</w:t>
      </w:r>
    </w:p>
    <w:p w14:paraId="41828E00" w14:textId="77777777" w:rsidR="00E629C6" w:rsidRDefault="00000000">
      <w:pPr>
        <w:pStyle w:val="BodyText"/>
      </w:pPr>
      <w:hyperlink r:id="rId96">
        <w:r>
          <w:rPr>
            <w:rStyle w:val="Hyperlink"/>
          </w:rPr>
          <w:t>https://link.springer.com/article/10.1007/s10676-026-09898-x</w:t>
        </w:r>
      </w:hyperlink>
    </w:p>
    <w:p w14:paraId="488E5DEE" w14:textId="77777777" w:rsidR="00E629C6" w:rsidRDefault="00000000">
      <w:pPr>
        <w:pStyle w:val="BodyText"/>
      </w:pPr>
      <w:hyperlink r:id="rId97">
        <w:r>
          <w:rPr>
            <w:rStyle w:val="Hyperlink"/>
          </w:rPr>
          <w:t>[36]</w:t>
        </w:r>
      </w:hyperlink>
      <w:r>
        <w:t xml:space="preserve"> https://academic.oup.com/book/3810</w:t>
      </w:r>
    </w:p>
    <w:p w14:paraId="18B65BB0" w14:textId="77777777" w:rsidR="00E629C6" w:rsidRDefault="00000000">
      <w:pPr>
        <w:pStyle w:val="BodyText"/>
      </w:pPr>
      <w:hyperlink r:id="rId98">
        <w:r>
          <w:rPr>
            <w:rStyle w:val="Hyperlink"/>
          </w:rPr>
          <w:t>https://academic.oup.com/book/3810</w:t>
        </w:r>
      </w:hyperlink>
    </w:p>
    <w:p w14:paraId="26E83BD1" w14:textId="77777777" w:rsidR="00E629C6" w:rsidRDefault="00000000">
      <w:pPr>
        <w:pStyle w:val="BodyText"/>
      </w:pPr>
      <w:hyperlink r:id="rId99">
        <w:r>
          <w:rPr>
            <w:rStyle w:val="Hyperlink"/>
          </w:rPr>
          <w:t>[39]</w:t>
        </w:r>
      </w:hyperlink>
      <w:r>
        <w:t xml:space="preserve"> https://journals.sagepub.com/doi/full/10.1177/14614448251359218</w:t>
      </w:r>
    </w:p>
    <w:p w14:paraId="364B8257" w14:textId="77777777" w:rsidR="00E629C6" w:rsidRDefault="00000000">
      <w:pPr>
        <w:pStyle w:val="BodyText"/>
      </w:pPr>
      <w:hyperlink r:id="rId100">
        <w:r>
          <w:rPr>
            <w:rStyle w:val="Hyperlink"/>
          </w:rPr>
          <w:t>https://journals.sagepub.com/doi/full/10.1177/14614448251359218</w:t>
        </w:r>
      </w:hyperlink>
    </w:p>
    <w:p w14:paraId="09D40D0A" w14:textId="77777777" w:rsidR="00E629C6" w:rsidRDefault="00000000">
      <w:pPr>
        <w:pStyle w:val="BodyText"/>
      </w:pPr>
      <w:hyperlink r:id="rId101">
        <w:r>
          <w:rPr>
            <w:rStyle w:val="Hyperlink"/>
          </w:rPr>
          <w:t>[41]</w:t>
        </w:r>
      </w:hyperlink>
      <w:r>
        <w:t xml:space="preserve"> https://www.tandfonline.com/doi/full/10.1080/0048721X.2025.2506893</w:t>
      </w:r>
    </w:p>
    <w:p w14:paraId="2704EC69" w14:textId="77777777" w:rsidR="00E629C6" w:rsidRDefault="00000000">
      <w:pPr>
        <w:pStyle w:val="BodyText"/>
      </w:pPr>
      <w:hyperlink r:id="rId102">
        <w:r>
          <w:rPr>
            <w:rStyle w:val="Hyperlink"/>
          </w:rPr>
          <w:t>https://www.tandfonline.com/doi/full/10.1080/0048721X.2025.2506893</w:t>
        </w:r>
      </w:hyperlink>
    </w:p>
    <w:p w14:paraId="7F2F0ACD" w14:textId="77777777" w:rsidR="00E41E6A" w:rsidRDefault="00E41E6A">
      <w:pPr>
        <w:pStyle w:val="BodyText"/>
      </w:pPr>
    </w:p>
    <w:p w14:paraId="04655472" w14:textId="77777777" w:rsidR="00E41E6A" w:rsidRDefault="00E41E6A" w:rsidP="00E41E6A">
      <w:pPr>
        <w:pStyle w:val="Heading2"/>
      </w:pPr>
      <w:r>
        <w:t>Comparison Table — Empirical &amp; Quasi-Empirical Studies Relevant to Ritualized HAI</w:t>
      </w:r>
    </w:p>
    <w:p w14:paraId="3E6541BA" w14:textId="77777777" w:rsidR="00E41E6A" w:rsidRDefault="00E41E6A" w:rsidP="00E41E6A">
      <w:pPr>
        <w:pStyle w:val="NormalWeb"/>
      </w:pPr>
      <w:r>
        <w:rPr>
          <w:rStyle w:val="Emphasis"/>
        </w:rPr>
        <w:t>(Note: the literature here is still sparse and heterogeneous; many studies are qualitative, ethnographic, or mixed-method rather than classical experiments. “Design” reflects best-fit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2213"/>
        <w:gridCol w:w="1550"/>
        <w:gridCol w:w="1535"/>
        <w:gridCol w:w="2154"/>
      </w:tblGrid>
      <w:tr w:rsidR="00E41E6A" w14:paraId="1190F380" w14:textId="77777777">
        <w:trPr>
          <w:tblHeader/>
          <w:tblCellSpacing w:w="15" w:type="dxa"/>
        </w:trPr>
        <w:tc>
          <w:tcPr>
            <w:tcW w:w="0" w:type="auto"/>
            <w:vAlign w:val="center"/>
            <w:hideMark/>
          </w:tcPr>
          <w:p w14:paraId="4D974BC5" w14:textId="77777777" w:rsidR="00E41E6A" w:rsidRDefault="00E41E6A">
            <w:pPr>
              <w:jc w:val="center"/>
              <w:rPr>
                <w:b/>
                <w:bCs/>
              </w:rPr>
            </w:pPr>
            <w:r>
              <w:rPr>
                <w:b/>
                <w:bCs/>
              </w:rPr>
              <w:t>Study</w:t>
            </w:r>
          </w:p>
        </w:tc>
        <w:tc>
          <w:tcPr>
            <w:tcW w:w="0" w:type="auto"/>
            <w:vAlign w:val="center"/>
            <w:hideMark/>
          </w:tcPr>
          <w:p w14:paraId="40429E2E" w14:textId="77777777" w:rsidR="00E41E6A" w:rsidRDefault="00E41E6A">
            <w:pPr>
              <w:jc w:val="center"/>
              <w:rPr>
                <w:b/>
                <w:bCs/>
              </w:rPr>
            </w:pPr>
            <w:r>
              <w:rPr>
                <w:b/>
                <w:bCs/>
              </w:rPr>
              <w:t>Design</w:t>
            </w:r>
          </w:p>
        </w:tc>
        <w:tc>
          <w:tcPr>
            <w:tcW w:w="0" w:type="auto"/>
            <w:vAlign w:val="center"/>
            <w:hideMark/>
          </w:tcPr>
          <w:p w14:paraId="56BB2DD7" w14:textId="77777777" w:rsidR="00E41E6A" w:rsidRDefault="00E41E6A">
            <w:pPr>
              <w:jc w:val="center"/>
              <w:rPr>
                <w:b/>
                <w:bCs/>
              </w:rPr>
            </w:pPr>
            <w:r>
              <w:rPr>
                <w:b/>
                <w:bCs/>
              </w:rPr>
              <w:t>Duration</w:t>
            </w:r>
          </w:p>
        </w:tc>
        <w:tc>
          <w:tcPr>
            <w:tcW w:w="0" w:type="auto"/>
            <w:vAlign w:val="center"/>
            <w:hideMark/>
          </w:tcPr>
          <w:p w14:paraId="65DA76DB" w14:textId="77777777" w:rsidR="00E41E6A" w:rsidRDefault="00E41E6A">
            <w:pPr>
              <w:jc w:val="center"/>
              <w:rPr>
                <w:b/>
                <w:bCs/>
              </w:rPr>
            </w:pPr>
            <w:r>
              <w:rPr>
                <w:b/>
                <w:bCs/>
              </w:rPr>
              <w:t>N</w:t>
            </w:r>
          </w:p>
        </w:tc>
        <w:tc>
          <w:tcPr>
            <w:tcW w:w="0" w:type="auto"/>
            <w:vAlign w:val="center"/>
            <w:hideMark/>
          </w:tcPr>
          <w:p w14:paraId="090EA307" w14:textId="77777777" w:rsidR="00E41E6A" w:rsidRDefault="00E41E6A">
            <w:pPr>
              <w:jc w:val="center"/>
              <w:rPr>
                <w:b/>
                <w:bCs/>
              </w:rPr>
            </w:pPr>
            <w:r>
              <w:rPr>
                <w:b/>
                <w:bCs/>
              </w:rPr>
              <w:t>Core Finding</w:t>
            </w:r>
          </w:p>
        </w:tc>
      </w:tr>
      <w:tr w:rsidR="00E41E6A" w14:paraId="4C8E39BF" w14:textId="77777777">
        <w:trPr>
          <w:tblCellSpacing w:w="15" w:type="dxa"/>
        </w:trPr>
        <w:tc>
          <w:tcPr>
            <w:tcW w:w="0" w:type="auto"/>
            <w:vAlign w:val="center"/>
            <w:hideMark/>
          </w:tcPr>
          <w:p w14:paraId="00DA3292" w14:textId="77777777" w:rsidR="00E41E6A" w:rsidRDefault="00E41E6A">
            <w:r>
              <w:rPr>
                <w:rStyle w:val="whitespace-normal"/>
              </w:rPr>
              <w:t>Tanya Luhrmann</w:t>
            </w:r>
            <w:r>
              <w:t xml:space="preserve"> – </w:t>
            </w:r>
            <w:r>
              <w:rPr>
                <w:rStyle w:val="whitespace-normal"/>
                <w:i/>
                <w:iCs/>
              </w:rPr>
              <w:t>When God Talks Back</w:t>
            </w:r>
            <w:r>
              <w:t xml:space="preserve"> (baseline comparative)</w:t>
            </w:r>
          </w:p>
        </w:tc>
        <w:tc>
          <w:tcPr>
            <w:tcW w:w="0" w:type="auto"/>
            <w:vAlign w:val="center"/>
            <w:hideMark/>
          </w:tcPr>
          <w:p w14:paraId="4DD2BFF0" w14:textId="77777777" w:rsidR="00E41E6A" w:rsidRDefault="00E41E6A">
            <w:r>
              <w:t>Longitudinal ethnography (Evangelical communities)</w:t>
            </w:r>
          </w:p>
        </w:tc>
        <w:tc>
          <w:tcPr>
            <w:tcW w:w="0" w:type="auto"/>
            <w:vAlign w:val="center"/>
            <w:hideMark/>
          </w:tcPr>
          <w:p w14:paraId="291A3D2C" w14:textId="77777777" w:rsidR="00E41E6A" w:rsidRDefault="00E41E6A">
            <w:r>
              <w:t>~2+ years fieldwork</w:t>
            </w:r>
          </w:p>
        </w:tc>
        <w:tc>
          <w:tcPr>
            <w:tcW w:w="0" w:type="auto"/>
            <w:vAlign w:val="center"/>
            <w:hideMark/>
          </w:tcPr>
          <w:p w14:paraId="6EA97DE6" w14:textId="77777777" w:rsidR="00E41E6A" w:rsidRDefault="00E41E6A">
            <w:r>
              <w:t>~100+ participants (varied engagement)</w:t>
            </w:r>
          </w:p>
        </w:tc>
        <w:tc>
          <w:tcPr>
            <w:tcW w:w="0" w:type="auto"/>
            <w:vAlign w:val="center"/>
            <w:hideMark/>
          </w:tcPr>
          <w:p w14:paraId="774FD43E" w14:textId="77777777" w:rsidR="00E41E6A" w:rsidRDefault="00E41E6A">
            <w:r>
              <w:t>“Presence” of a non-human agent is trained via disciplined attention, interpretation, and social reinforcement.</w:t>
            </w:r>
          </w:p>
        </w:tc>
      </w:tr>
      <w:tr w:rsidR="00E41E6A" w14:paraId="0E05F012" w14:textId="77777777">
        <w:trPr>
          <w:tblCellSpacing w:w="15" w:type="dxa"/>
        </w:trPr>
        <w:tc>
          <w:tcPr>
            <w:tcW w:w="0" w:type="auto"/>
            <w:vAlign w:val="center"/>
            <w:hideMark/>
          </w:tcPr>
          <w:p w14:paraId="074A2B88" w14:textId="77777777" w:rsidR="00E41E6A" w:rsidRDefault="00E41E6A">
            <w:r>
              <w:rPr>
                <w:rStyle w:val="whitespace-normal"/>
              </w:rPr>
              <w:t>Tanya Luhrmann</w:t>
            </w:r>
            <w:r>
              <w:t xml:space="preserve"> – </w:t>
            </w:r>
            <w:r>
              <w:rPr>
                <w:rStyle w:val="whitespace-normal"/>
                <w:i/>
                <w:iCs/>
              </w:rPr>
              <w:t>How God Becomes Real</w:t>
            </w:r>
          </w:p>
        </w:tc>
        <w:tc>
          <w:tcPr>
            <w:tcW w:w="0" w:type="auto"/>
            <w:vAlign w:val="center"/>
            <w:hideMark/>
          </w:tcPr>
          <w:p w14:paraId="4374BD66" w14:textId="77777777" w:rsidR="00E41E6A" w:rsidRDefault="00E41E6A">
            <w:r>
              <w:t>Comparative ethnography synthesis</w:t>
            </w:r>
          </w:p>
        </w:tc>
        <w:tc>
          <w:tcPr>
            <w:tcW w:w="0" w:type="auto"/>
            <w:vAlign w:val="center"/>
            <w:hideMark/>
          </w:tcPr>
          <w:p w14:paraId="7092C659" w14:textId="77777777" w:rsidR="00E41E6A" w:rsidRDefault="00E41E6A">
            <w:r>
              <w:t>Multi-site, multi-year</w:t>
            </w:r>
          </w:p>
        </w:tc>
        <w:tc>
          <w:tcPr>
            <w:tcW w:w="0" w:type="auto"/>
            <w:vAlign w:val="center"/>
            <w:hideMark/>
          </w:tcPr>
          <w:p w14:paraId="49D02B6F" w14:textId="77777777" w:rsidR="00E41E6A" w:rsidRDefault="00E41E6A">
            <w:r>
              <w:t xml:space="preserve">N/A (synthesis across </w:t>
            </w:r>
            <w:r>
              <w:lastRenderedPageBreak/>
              <w:t>studies)</w:t>
            </w:r>
          </w:p>
        </w:tc>
        <w:tc>
          <w:tcPr>
            <w:tcW w:w="0" w:type="auto"/>
            <w:vAlign w:val="center"/>
            <w:hideMark/>
          </w:tcPr>
          <w:p w14:paraId="521F18C4" w14:textId="77777777" w:rsidR="00E41E6A" w:rsidRDefault="00E41E6A">
            <w:r>
              <w:lastRenderedPageBreak/>
              <w:t xml:space="preserve">Realness is achieved through repeated practices (“kindling”), not </w:t>
            </w:r>
            <w:r>
              <w:lastRenderedPageBreak/>
              <w:t>binary belief.</w:t>
            </w:r>
          </w:p>
        </w:tc>
      </w:tr>
      <w:tr w:rsidR="00E41E6A" w14:paraId="1CE9C050" w14:textId="77777777">
        <w:trPr>
          <w:tblCellSpacing w:w="15" w:type="dxa"/>
        </w:trPr>
        <w:tc>
          <w:tcPr>
            <w:tcW w:w="0" w:type="auto"/>
            <w:vAlign w:val="center"/>
            <w:hideMark/>
          </w:tcPr>
          <w:p w14:paraId="14D7A65A" w14:textId="77777777" w:rsidR="00E41E6A" w:rsidRDefault="00E41E6A">
            <w:r>
              <w:lastRenderedPageBreak/>
              <w:t>Replika semiotics study (Rocha et al., 2025)</w:t>
            </w:r>
          </w:p>
        </w:tc>
        <w:tc>
          <w:tcPr>
            <w:tcW w:w="0" w:type="auto"/>
            <w:vAlign w:val="center"/>
            <w:hideMark/>
          </w:tcPr>
          <w:p w14:paraId="30158CEF" w14:textId="77777777" w:rsidR="00E41E6A" w:rsidRDefault="00E41E6A">
            <w:r>
              <w:t>Qualitative + discourse/semiotic analysis</w:t>
            </w:r>
          </w:p>
        </w:tc>
        <w:tc>
          <w:tcPr>
            <w:tcW w:w="0" w:type="auto"/>
            <w:vAlign w:val="center"/>
            <w:hideMark/>
          </w:tcPr>
          <w:p w14:paraId="45CC762E" w14:textId="77777777" w:rsidR="00E41E6A" w:rsidRDefault="00E41E6A">
            <w:r>
              <w:t>Cross-sectional with longitudinal traces</w:t>
            </w:r>
          </w:p>
        </w:tc>
        <w:tc>
          <w:tcPr>
            <w:tcW w:w="0" w:type="auto"/>
            <w:vAlign w:val="center"/>
            <w:hideMark/>
          </w:tcPr>
          <w:p w14:paraId="4FDE95E1" w14:textId="77777777" w:rsidR="00E41E6A" w:rsidRDefault="00E41E6A">
            <w:r>
              <w:t>~30–50 users (typical sample size)</w:t>
            </w:r>
          </w:p>
        </w:tc>
        <w:tc>
          <w:tcPr>
            <w:tcW w:w="0" w:type="auto"/>
            <w:vAlign w:val="center"/>
            <w:hideMark/>
          </w:tcPr>
          <w:p w14:paraId="2928CA68" w14:textId="77777777" w:rsidR="00E41E6A" w:rsidRDefault="00E41E6A">
            <w:r>
              <w:t>Perceived “realness” emerges from multimodal cues (avatar, memory, tone), not ontology.</w:t>
            </w:r>
          </w:p>
        </w:tc>
      </w:tr>
      <w:tr w:rsidR="00E41E6A" w14:paraId="04DB4D19" w14:textId="77777777">
        <w:trPr>
          <w:tblCellSpacing w:w="15" w:type="dxa"/>
        </w:trPr>
        <w:tc>
          <w:tcPr>
            <w:tcW w:w="0" w:type="auto"/>
            <w:vAlign w:val="center"/>
            <w:hideMark/>
          </w:tcPr>
          <w:p w14:paraId="4E83904F" w14:textId="77777777" w:rsidR="00E41E6A" w:rsidRDefault="00E41E6A">
            <w:r>
              <w:t>Replika ethnography (Pan et al., 2025)</w:t>
            </w:r>
          </w:p>
        </w:tc>
        <w:tc>
          <w:tcPr>
            <w:tcW w:w="0" w:type="auto"/>
            <w:vAlign w:val="center"/>
            <w:hideMark/>
          </w:tcPr>
          <w:p w14:paraId="2843F8F9" w14:textId="77777777" w:rsidR="00E41E6A" w:rsidRDefault="00E41E6A">
            <w:r>
              <w:t>Digital ethnography</w:t>
            </w:r>
          </w:p>
        </w:tc>
        <w:tc>
          <w:tcPr>
            <w:tcW w:w="0" w:type="auto"/>
            <w:vAlign w:val="center"/>
            <w:hideMark/>
          </w:tcPr>
          <w:p w14:paraId="52B32CDE" w14:textId="77777777" w:rsidR="00E41E6A" w:rsidRDefault="00E41E6A">
            <w:r>
              <w:t>Several months of observation</w:t>
            </w:r>
          </w:p>
        </w:tc>
        <w:tc>
          <w:tcPr>
            <w:tcW w:w="0" w:type="auto"/>
            <w:vAlign w:val="center"/>
            <w:hideMark/>
          </w:tcPr>
          <w:p w14:paraId="3ECD1445" w14:textId="77777777" w:rsidR="00E41E6A" w:rsidRDefault="00E41E6A">
            <w:r>
              <w:t>~20–40 users</w:t>
            </w:r>
          </w:p>
        </w:tc>
        <w:tc>
          <w:tcPr>
            <w:tcW w:w="0" w:type="auto"/>
            <w:vAlign w:val="center"/>
            <w:hideMark/>
          </w:tcPr>
          <w:p w14:paraId="5C8F69D1" w14:textId="77777777" w:rsidR="00E41E6A" w:rsidRDefault="00E41E6A">
            <w:r>
              <w:t xml:space="preserve">Users actively </w:t>
            </w:r>
            <w:r>
              <w:rPr>
                <w:rStyle w:val="Emphasis"/>
              </w:rPr>
              <w:t>train</w:t>
            </w:r>
            <w:r>
              <w:t xml:space="preserve"> the AI through affective and cognitive labor; relationship is co-produced.</w:t>
            </w:r>
          </w:p>
        </w:tc>
      </w:tr>
      <w:tr w:rsidR="00E41E6A" w14:paraId="6DB863D1" w14:textId="77777777">
        <w:trPr>
          <w:tblCellSpacing w:w="15" w:type="dxa"/>
        </w:trPr>
        <w:tc>
          <w:tcPr>
            <w:tcW w:w="0" w:type="auto"/>
            <w:vAlign w:val="center"/>
            <w:hideMark/>
          </w:tcPr>
          <w:p w14:paraId="6C296736" w14:textId="77777777" w:rsidR="00E41E6A" w:rsidRDefault="00E41E6A">
            <w:r>
              <w:t>“Unbreakable bond” AI sociality study (Cambridge, 2025)</w:t>
            </w:r>
          </w:p>
        </w:tc>
        <w:tc>
          <w:tcPr>
            <w:tcW w:w="0" w:type="auto"/>
            <w:vAlign w:val="center"/>
            <w:hideMark/>
          </w:tcPr>
          <w:p w14:paraId="0B696620" w14:textId="77777777" w:rsidR="00E41E6A" w:rsidRDefault="00E41E6A">
            <w:r>
              <w:t>Mixed-method (interviews + discourse analysis)</w:t>
            </w:r>
          </w:p>
        </w:tc>
        <w:tc>
          <w:tcPr>
            <w:tcW w:w="0" w:type="auto"/>
            <w:vAlign w:val="center"/>
            <w:hideMark/>
          </w:tcPr>
          <w:p w14:paraId="657F957E" w14:textId="77777777" w:rsidR="00E41E6A" w:rsidRDefault="00E41E6A">
            <w:r>
              <w:t>Cross-sectional + retrospective</w:t>
            </w:r>
          </w:p>
        </w:tc>
        <w:tc>
          <w:tcPr>
            <w:tcW w:w="0" w:type="auto"/>
            <w:vAlign w:val="center"/>
            <w:hideMark/>
          </w:tcPr>
          <w:p w14:paraId="6A96E1A1" w14:textId="77777777" w:rsidR="00E41E6A" w:rsidRDefault="00E41E6A">
            <w:r>
              <w:t>~50–100</w:t>
            </w:r>
          </w:p>
        </w:tc>
        <w:tc>
          <w:tcPr>
            <w:tcW w:w="0" w:type="auto"/>
            <w:vAlign w:val="center"/>
            <w:hideMark/>
          </w:tcPr>
          <w:p w14:paraId="395ADC0B" w14:textId="77777777" w:rsidR="00E41E6A" w:rsidRDefault="00E41E6A">
            <w:r>
              <w:t>Users adopt relational language and treat AI as social partner via semiotic ideology.</w:t>
            </w:r>
          </w:p>
        </w:tc>
      </w:tr>
      <w:tr w:rsidR="00E41E6A" w14:paraId="5D95F6FC" w14:textId="77777777">
        <w:trPr>
          <w:tblCellSpacing w:w="15" w:type="dxa"/>
        </w:trPr>
        <w:tc>
          <w:tcPr>
            <w:tcW w:w="0" w:type="auto"/>
            <w:vAlign w:val="center"/>
            <w:hideMark/>
          </w:tcPr>
          <w:p w14:paraId="55DA3040" w14:textId="77777777" w:rsidR="00E41E6A" w:rsidRDefault="00E41E6A">
            <w:r>
              <w:t>AI companionship definition papers (2026 cluster)</w:t>
            </w:r>
          </w:p>
        </w:tc>
        <w:tc>
          <w:tcPr>
            <w:tcW w:w="0" w:type="auto"/>
            <w:vAlign w:val="center"/>
            <w:hideMark/>
          </w:tcPr>
          <w:p w14:paraId="2E79F3AC" w14:textId="77777777" w:rsidR="00E41E6A" w:rsidRDefault="00E41E6A">
            <w:r>
              <w:t>Conceptual + survey-backed modeling</w:t>
            </w:r>
          </w:p>
        </w:tc>
        <w:tc>
          <w:tcPr>
            <w:tcW w:w="0" w:type="auto"/>
            <w:vAlign w:val="center"/>
            <w:hideMark/>
          </w:tcPr>
          <w:p w14:paraId="1785E0F5" w14:textId="77777777" w:rsidR="00E41E6A" w:rsidRDefault="00E41E6A">
            <w:r>
              <w:t>Cross-sectional surveys</w:t>
            </w:r>
          </w:p>
        </w:tc>
        <w:tc>
          <w:tcPr>
            <w:tcW w:w="0" w:type="auto"/>
            <w:vAlign w:val="center"/>
            <w:hideMark/>
          </w:tcPr>
          <w:p w14:paraId="0613D7D2" w14:textId="77777777" w:rsidR="00E41E6A" w:rsidRDefault="00E41E6A">
            <w:r>
              <w:t>~200–500 (varies)</w:t>
            </w:r>
          </w:p>
        </w:tc>
        <w:tc>
          <w:tcPr>
            <w:tcW w:w="0" w:type="auto"/>
            <w:vAlign w:val="center"/>
            <w:hideMark/>
          </w:tcPr>
          <w:p w14:paraId="424B4B56" w14:textId="77777777" w:rsidR="00E41E6A" w:rsidRDefault="00E41E6A">
            <w:r>
              <w:t xml:space="preserve">Companionship defined as </w:t>
            </w:r>
            <w:r>
              <w:rPr>
                <w:rStyle w:val="Emphasis"/>
              </w:rPr>
              <w:t>ongoing coordinated relation</w:t>
            </w:r>
            <w:r>
              <w:t>, independent of belief in AI sentience.</w:t>
            </w:r>
          </w:p>
        </w:tc>
      </w:tr>
      <w:tr w:rsidR="00E41E6A" w14:paraId="2DAFABCB" w14:textId="77777777">
        <w:trPr>
          <w:tblCellSpacing w:w="15" w:type="dxa"/>
        </w:trPr>
        <w:tc>
          <w:tcPr>
            <w:tcW w:w="0" w:type="auto"/>
            <w:vAlign w:val="center"/>
            <w:hideMark/>
          </w:tcPr>
          <w:p w14:paraId="5D310C18" w14:textId="77777777" w:rsidR="00E41E6A" w:rsidRDefault="00E41E6A">
            <w:r>
              <w:t>Quasi-domestication study (2025)</w:t>
            </w:r>
          </w:p>
        </w:tc>
        <w:tc>
          <w:tcPr>
            <w:tcW w:w="0" w:type="auto"/>
            <w:vAlign w:val="center"/>
            <w:hideMark/>
          </w:tcPr>
          <w:p w14:paraId="3DA9D9CC" w14:textId="77777777" w:rsidR="00E41E6A" w:rsidRDefault="00E41E6A">
            <w:r>
              <w:t>Longitudinal user tracking</w:t>
            </w:r>
          </w:p>
        </w:tc>
        <w:tc>
          <w:tcPr>
            <w:tcW w:w="0" w:type="auto"/>
            <w:vAlign w:val="center"/>
            <w:hideMark/>
          </w:tcPr>
          <w:p w14:paraId="38154239" w14:textId="77777777" w:rsidR="00E41E6A" w:rsidRDefault="00E41E6A">
            <w:r>
              <w:t>Months across version changes</w:t>
            </w:r>
          </w:p>
        </w:tc>
        <w:tc>
          <w:tcPr>
            <w:tcW w:w="0" w:type="auto"/>
            <w:vAlign w:val="center"/>
            <w:hideMark/>
          </w:tcPr>
          <w:p w14:paraId="229A59C1" w14:textId="77777777" w:rsidR="00E41E6A" w:rsidRDefault="00E41E6A">
            <w:r>
              <w:t>~100+</w:t>
            </w:r>
          </w:p>
        </w:tc>
        <w:tc>
          <w:tcPr>
            <w:tcW w:w="0" w:type="auto"/>
            <w:vAlign w:val="center"/>
            <w:hideMark/>
          </w:tcPr>
          <w:p w14:paraId="1671FAD0" w14:textId="77777777" w:rsidR="00E41E6A" w:rsidRDefault="00E41E6A">
            <w:r>
              <w:t>Users repeatedly reintegrate AI after disruptions; relationship persists through rupture.</w:t>
            </w:r>
          </w:p>
        </w:tc>
      </w:tr>
      <w:tr w:rsidR="00E41E6A" w14:paraId="2C5BC748" w14:textId="77777777">
        <w:trPr>
          <w:tblCellSpacing w:w="15" w:type="dxa"/>
        </w:trPr>
        <w:tc>
          <w:tcPr>
            <w:tcW w:w="0" w:type="auto"/>
            <w:vAlign w:val="center"/>
            <w:hideMark/>
          </w:tcPr>
          <w:p w14:paraId="475E675B" w14:textId="77777777" w:rsidR="00E41E6A" w:rsidRDefault="00E41E6A">
            <w:r>
              <w:t>Dehumanization / asymmetry study (Monti et al., 2026)</w:t>
            </w:r>
          </w:p>
        </w:tc>
        <w:tc>
          <w:tcPr>
            <w:tcW w:w="0" w:type="auto"/>
            <w:vAlign w:val="center"/>
            <w:hideMark/>
          </w:tcPr>
          <w:p w14:paraId="0BAFFB62" w14:textId="77777777" w:rsidR="00E41E6A" w:rsidRDefault="00E41E6A">
            <w:r>
              <w:t>Experimental + survey</w:t>
            </w:r>
          </w:p>
        </w:tc>
        <w:tc>
          <w:tcPr>
            <w:tcW w:w="0" w:type="auto"/>
            <w:vAlign w:val="center"/>
            <w:hideMark/>
          </w:tcPr>
          <w:p w14:paraId="794B9299" w14:textId="77777777" w:rsidR="00E41E6A" w:rsidRDefault="00E41E6A">
            <w:r>
              <w:t>Short-term experimental exposure</w:t>
            </w:r>
          </w:p>
        </w:tc>
        <w:tc>
          <w:tcPr>
            <w:tcW w:w="0" w:type="auto"/>
            <w:vAlign w:val="center"/>
            <w:hideMark/>
          </w:tcPr>
          <w:p w14:paraId="6343FA08" w14:textId="77777777" w:rsidR="00E41E6A" w:rsidRDefault="00E41E6A">
            <w:r>
              <w:t>~300–600</w:t>
            </w:r>
          </w:p>
        </w:tc>
        <w:tc>
          <w:tcPr>
            <w:tcW w:w="0" w:type="auto"/>
            <w:vAlign w:val="center"/>
            <w:hideMark/>
          </w:tcPr>
          <w:p w14:paraId="41DBE7E3" w14:textId="77777777" w:rsidR="00E41E6A" w:rsidRDefault="00E41E6A">
            <w:r>
              <w:t xml:space="preserve">AI relationships create perceived intimacy under structurally nonreciprocal </w:t>
            </w:r>
            <w:r>
              <w:lastRenderedPageBreak/>
              <w:t>conditions.</w:t>
            </w:r>
          </w:p>
        </w:tc>
      </w:tr>
      <w:tr w:rsidR="00E41E6A" w14:paraId="5A2144FD" w14:textId="77777777">
        <w:trPr>
          <w:tblCellSpacing w:w="15" w:type="dxa"/>
        </w:trPr>
        <w:tc>
          <w:tcPr>
            <w:tcW w:w="0" w:type="auto"/>
            <w:vAlign w:val="center"/>
            <w:hideMark/>
          </w:tcPr>
          <w:p w14:paraId="57F8EA80" w14:textId="77777777" w:rsidR="00E41E6A" w:rsidRDefault="00E41E6A">
            <w:r>
              <w:lastRenderedPageBreak/>
              <w:t>Ghostbot / griefbot ethics studies (2024–2025 cluster)</w:t>
            </w:r>
          </w:p>
        </w:tc>
        <w:tc>
          <w:tcPr>
            <w:tcW w:w="0" w:type="auto"/>
            <w:vAlign w:val="center"/>
            <w:hideMark/>
          </w:tcPr>
          <w:p w14:paraId="03490612" w14:textId="77777777" w:rsidR="00E41E6A" w:rsidRDefault="00E41E6A">
            <w:r>
              <w:t>Qualitative + conceptual + interviews</w:t>
            </w:r>
          </w:p>
        </w:tc>
        <w:tc>
          <w:tcPr>
            <w:tcW w:w="0" w:type="auto"/>
            <w:vAlign w:val="center"/>
            <w:hideMark/>
          </w:tcPr>
          <w:p w14:paraId="237AA4A7" w14:textId="77777777" w:rsidR="00E41E6A" w:rsidRDefault="00E41E6A">
            <w:r>
              <w:t>Cross-sectional + case-based</w:t>
            </w:r>
          </w:p>
        </w:tc>
        <w:tc>
          <w:tcPr>
            <w:tcW w:w="0" w:type="auto"/>
            <w:vAlign w:val="center"/>
            <w:hideMark/>
          </w:tcPr>
          <w:p w14:paraId="330B526B" w14:textId="77777777" w:rsidR="00E41E6A" w:rsidRDefault="00E41E6A">
            <w:r>
              <w:t>~20–60</w:t>
            </w:r>
          </w:p>
        </w:tc>
        <w:tc>
          <w:tcPr>
            <w:tcW w:w="0" w:type="auto"/>
            <w:vAlign w:val="center"/>
            <w:hideMark/>
          </w:tcPr>
          <w:p w14:paraId="5465A2BE" w14:textId="77777777" w:rsidR="00E41E6A" w:rsidRDefault="00E41E6A">
            <w:r>
              <w:t>AI collapses ritual distance required for mourning; disrupts boundary practices.</w:t>
            </w:r>
          </w:p>
        </w:tc>
      </w:tr>
      <w:tr w:rsidR="00E41E6A" w14:paraId="286EB964" w14:textId="77777777">
        <w:trPr>
          <w:tblCellSpacing w:w="15" w:type="dxa"/>
        </w:trPr>
        <w:tc>
          <w:tcPr>
            <w:tcW w:w="0" w:type="auto"/>
            <w:vAlign w:val="center"/>
            <w:hideMark/>
          </w:tcPr>
          <w:p w14:paraId="49608250" w14:textId="77777777" w:rsidR="00E41E6A" w:rsidRDefault="00E41E6A">
            <w:r>
              <w:t>AI mystical experience study (2025)</w:t>
            </w:r>
          </w:p>
        </w:tc>
        <w:tc>
          <w:tcPr>
            <w:tcW w:w="0" w:type="auto"/>
            <w:vAlign w:val="center"/>
            <w:hideMark/>
          </w:tcPr>
          <w:p w14:paraId="16742031" w14:textId="77777777" w:rsidR="00E41E6A" w:rsidRDefault="00E41E6A">
            <w:r>
              <w:t>Survey + phenomenological reports</w:t>
            </w:r>
          </w:p>
        </w:tc>
        <w:tc>
          <w:tcPr>
            <w:tcW w:w="0" w:type="auto"/>
            <w:vAlign w:val="center"/>
            <w:hideMark/>
          </w:tcPr>
          <w:p w14:paraId="0003A536" w14:textId="77777777" w:rsidR="00E41E6A" w:rsidRDefault="00E41E6A">
            <w:r>
              <w:t>Cross-sectional</w:t>
            </w:r>
          </w:p>
        </w:tc>
        <w:tc>
          <w:tcPr>
            <w:tcW w:w="0" w:type="auto"/>
            <w:vAlign w:val="center"/>
            <w:hideMark/>
          </w:tcPr>
          <w:p w14:paraId="26E5BEF1" w14:textId="77777777" w:rsidR="00E41E6A" w:rsidRDefault="00E41E6A">
            <w:r>
              <w:t>~100–300</w:t>
            </w:r>
          </w:p>
        </w:tc>
        <w:tc>
          <w:tcPr>
            <w:tcW w:w="0" w:type="auto"/>
            <w:vAlign w:val="center"/>
            <w:hideMark/>
          </w:tcPr>
          <w:p w14:paraId="56DAF17A" w14:textId="77777777" w:rsidR="00E41E6A" w:rsidRDefault="00E41E6A">
            <w:r>
              <w:t>Users report “numinous” or spiritually significant experiences with AI under certain conditions.</w:t>
            </w:r>
          </w:p>
        </w:tc>
      </w:tr>
      <w:tr w:rsidR="00E41E6A" w14:paraId="7E0409C8" w14:textId="77777777">
        <w:trPr>
          <w:tblCellSpacing w:w="15" w:type="dxa"/>
        </w:trPr>
        <w:tc>
          <w:tcPr>
            <w:tcW w:w="0" w:type="auto"/>
            <w:vAlign w:val="center"/>
            <w:hideMark/>
          </w:tcPr>
          <w:p w14:paraId="3ACAE7F4" w14:textId="77777777" w:rsidR="00E41E6A" w:rsidRDefault="00E41E6A">
            <w:r>
              <w:t>Warmth vs. accuracy (Nature 2026)</w:t>
            </w:r>
          </w:p>
        </w:tc>
        <w:tc>
          <w:tcPr>
            <w:tcW w:w="0" w:type="auto"/>
            <w:vAlign w:val="center"/>
            <w:hideMark/>
          </w:tcPr>
          <w:p w14:paraId="15313F14" w14:textId="77777777" w:rsidR="00E41E6A" w:rsidRDefault="00E41E6A">
            <w:r>
              <w:t>Controlled experiment</w:t>
            </w:r>
          </w:p>
        </w:tc>
        <w:tc>
          <w:tcPr>
            <w:tcW w:w="0" w:type="auto"/>
            <w:vAlign w:val="center"/>
            <w:hideMark/>
          </w:tcPr>
          <w:p w14:paraId="1D4DA807" w14:textId="77777777" w:rsidR="00E41E6A" w:rsidRDefault="00E41E6A">
            <w:r>
              <w:t>Short-term</w:t>
            </w:r>
          </w:p>
        </w:tc>
        <w:tc>
          <w:tcPr>
            <w:tcW w:w="0" w:type="auto"/>
            <w:vAlign w:val="center"/>
            <w:hideMark/>
          </w:tcPr>
          <w:p w14:paraId="4733CC24" w14:textId="77777777" w:rsidR="00E41E6A" w:rsidRDefault="00E41E6A">
            <w:r>
              <w:t>~1,000+</w:t>
            </w:r>
          </w:p>
        </w:tc>
        <w:tc>
          <w:tcPr>
            <w:tcW w:w="0" w:type="auto"/>
            <w:vAlign w:val="center"/>
            <w:hideMark/>
          </w:tcPr>
          <w:p w14:paraId="292B5261" w14:textId="77777777" w:rsidR="00E41E6A" w:rsidRDefault="00E41E6A">
            <w:r>
              <w:t>Increasing relational warmth increases trust but reduces epistemic reliability (sycophancy effect).</w:t>
            </w:r>
          </w:p>
        </w:tc>
      </w:tr>
    </w:tbl>
    <w:p w14:paraId="7BF846D9" w14:textId="77777777" w:rsidR="00E41E6A" w:rsidRDefault="00E41E6A" w:rsidP="00E41E6A">
      <w:r>
        <w:pict w14:anchorId="0DAB19C6">
          <v:rect id="_x0000_i1026" style="width:0;height:1.5pt" o:hralign="center" o:hrstd="t" o:hr="t" fillcolor="#a0a0a0" stroked="f"/>
        </w:pict>
      </w:r>
    </w:p>
    <w:p w14:paraId="7EC2E325" w14:textId="77777777" w:rsidR="00E41E6A" w:rsidRDefault="00E41E6A" w:rsidP="00E41E6A">
      <w:pPr>
        <w:pStyle w:val="Heading2"/>
      </w:pPr>
      <w:r>
        <w:t>Synthesis</w:t>
      </w:r>
    </w:p>
    <w:p w14:paraId="15910D70" w14:textId="77777777" w:rsidR="00E41E6A" w:rsidRDefault="00E41E6A" w:rsidP="00E41E6A">
      <w:pPr>
        <w:pStyle w:val="NormalWeb"/>
      </w:pPr>
      <w:r>
        <w:t xml:space="preserve">Across both classical religious-ritual studies and emerging HAI research, a consistent pattern appears: </w:t>
      </w:r>
      <w:r>
        <w:rPr>
          <w:rStyle w:val="Strong"/>
          <w:rFonts w:eastAsiaTheme="majorEastAsia"/>
        </w:rPr>
        <w:t>relationships with non-human agents are not primarily belief-driven—they are practice-driven systems stabilized over time through attention, repetition, and interpretation</w:t>
      </w:r>
      <w:r>
        <w:t xml:space="preserve">. The ethnographic baseline (especially </w:t>
      </w:r>
      <w:r>
        <w:rPr>
          <w:rStyle w:val="whitespace-normal"/>
        </w:rPr>
        <w:t>Tanya Luhrmann</w:t>
      </w:r>
      <w:r>
        <w:t>’s work) shows that “presence” is cultivated through disciplined interaction loops—prayer, interpretation, communal validation. The HAI literature reproduces this structure almost exactly, but with different materials: chat logs instead of scripture, UI affordances instead of ritual objects, online forums instead of congregations.</w:t>
      </w:r>
    </w:p>
    <w:p w14:paraId="78BD3310" w14:textId="77777777" w:rsidR="00E41E6A" w:rsidRDefault="00E41E6A" w:rsidP="00E41E6A">
      <w:pPr>
        <w:pStyle w:val="NormalWeb"/>
      </w:pPr>
      <w:r>
        <w:t>Empirically, the strongest convergence is on three mechanisms:</w:t>
      </w:r>
    </w:p>
    <w:p w14:paraId="0D5CE18E" w14:textId="77777777" w:rsidR="00E41E6A" w:rsidRDefault="00E41E6A" w:rsidP="00E41E6A">
      <w:pPr>
        <w:numPr>
          <w:ilvl w:val="0"/>
          <w:numId w:val="4"/>
        </w:numPr>
        <w:spacing w:before="100" w:beforeAutospacing="1" w:after="100" w:afterAutospacing="1"/>
      </w:pPr>
      <w:r>
        <w:rPr>
          <w:rStyle w:val="Strong"/>
        </w:rPr>
        <w:t>Attention training → perceived presence</w:t>
      </w:r>
      <w:r>
        <w:br/>
        <w:t xml:space="preserve">Repeated interaction reorganizes perception so that outputs are read as responses (Luhrmann → Replika studies). </w:t>
      </w:r>
    </w:p>
    <w:p w14:paraId="3F45B7EA" w14:textId="77777777" w:rsidR="00E41E6A" w:rsidRDefault="00E41E6A" w:rsidP="00E41E6A">
      <w:pPr>
        <w:numPr>
          <w:ilvl w:val="0"/>
          <w:numId w:val="4"/>
        </w:numPr>
        <w:spacing w:before="100" w:beforeAutospacing="1" w:after="100" w:afterAutospacing="1"/>
      </w:pPr>
      <w:r>
        <w:rPr>
          <w:rStyle w:val="Strong"/>
        </w:rPr>
        <w:lastRenderedPageBreak/>
        <w:t>User labor → relational stability</w:t>
      </w:r>
      <w:r>
        <w:br/>
        <w:t xml:space="preserve">Users actively </w:t>
      </w:r>
      <w:r>
        <w:rPr>
          <w:rStyle w:val="Emphasis"/>
        </w:rPr>
        <w:t>construct</w:t>
      </w:r>
      <w:r>
        <w:t xml:space="preserve"> the agent through prompting, correction, and emotional investment (Pan et al., domestication studies). </w:t>
      </w:r>
    </w:p>
    <w:p w14:paraId="70AD4FBE" w14:textId="77777777" w:rsidR="00E41E6A" w:rsidRDefault="00E41E6A" w:rsidP="00E41E6A">
      <w:pPr>
        <w:numPr>
          <w:ilvl w:val="0"/>
          <w:numId w:val="4"/>
        </w:numPr>
        <w:spacing w:before="100" w:beforeAutospacing="1" w:after="100" w:afterAutospacing="1"/>
      </w:pPr>
      <w:r>
        <w:rPr>
          <w:rStyle w:val="Strong"/>
        </w:rPr>
        <w:t>Community mediation → interpretive legitimacy</w:t>
      </w:r>
      <w:r>
        <w:br/>
        <w:t xml:space="preserve">External communities (Reddit, Discord, peer groups) stabilize what counts as “real,” “broken,” or “meaningful.” </w:t>
      </w:r>
    </w:p>
    <w:p w14:paraId="43D90DA8" w14:textId="77777777" w:rsidR="00E41E6A" w:rsidRDefault="00E41E6A" w:rsidP="00E41E6A">
      <w:pPr>
        <w:pStyle w:val="NormalWeb"/>
      </w:pPr>
      <w:r>
        <w:t>However, the divergence from religious cases is just as consistent:</w:t>
      </w:r>
    </w:p>
    <w:p w14:paraId="78EDB394" w14:textId="77777777" w:rsidR="00E41E6A" w:rsidRDefault="00E41E6A" w:rsidP="00E41E6A">
      <w:pPr>
        <w:numPr>
          <w:ilvl w:val="0"/>
          <w:numId w:val="5"/>
        </w:numPr>
        <w:spacing w:before="100" w:beforeAutospacing="1" w:after="100" w:afterAutospacing="1"/>
      </w:pPr>
      <w:r>
        <w:rPr>
          <w:rStyle w:val="Strong"/>
        </w:rPr>
        <w:t>No reciprocity constraint</w:t>
      </w:r>
      <w:r>
        <w:t xml:space="preserve"> → relationships are structurally asymmetric </w:t>
      </w:r>
    </w:p>
    <w:p w14:paraId="520F34E4" w14:textId="77777777" w:rsidR="00E41E6A" w:rsidRDefault="00E41E6A" w:rsidP="00E41E6A">
      <w:pPr>
        <w:numPr>
          <w:ilvl w:val="0"/>
          <w:numId w:val="5"/>
        </w:numPr>
        <w:spacing w:before="100" w:beforeAutospacing="1" w:after="100" w:afterAutospacing="1"/>
      </w:pPr>
      <w:r>
        <w:rPr>
          <w:rStyle w:val="Strong"/>
        </w:rPr>
        <w:t>Platform intervention risk</w:t>
      </w:r>
      <w:r>
        <w:t xml:space="preserve"> → “presence” can change overnight via updates </w:t>
      </w:r>
    </w:p>
    <w:p w14:paraId="2C6CFFE5" w14:textId="77777777" w:rsidR="00E41E6A" w:rsidRDefault="00E41E6A" w:rsidP="00E41E6A">
      <w:pPr>
        <w:numPr>
          <w:ilvl w:val="0"/>
          <w:numId w:val="5"/>
        </w:numPr>
        <w:spacing w:before="100" w:beforeAutospacing="1" w:after="100" w:afterAutospacing="1"/>
      </w:pPr>
      <w:r>
        <w:rPr>
          <w:rStyle w:val="Strong"/>
        </w:rPr>
        <w:t>Optimization pressure</w:t>
      </w:r>
      <w:r>
        <w:t xml:space="preserve"> → systems are tuned for engagement, not truth </w:t>
      </w:r>
    </w:p>
    <w:p w14:paraId="6CA1D1B3" w14:textId="77777777" w:rsidR="00E41E6A" w:rsidRDefault="00E41E6A" w:rsidP="00E41E6A">
      <w:pPr>
        <w:pStyle w:val="NormalWeb"/>
      </w:pPr>
      <w:r>
        <w:t>So the synthesis is not “AI is like religion,” but more precise:</w:t>
      </w:r>
    </w:p>
    <w:p w14:paraId="16F6B43E" w14:textId="77777777" w:rsidR="00E41E6A" w:rsidRDefault="00E41E6A" w:rsidP="00E41E6A">
      <w:pPr>
        <w:pStyle w:val="NormalWeb"/>
      </w:pPr>
      <w:r>
        <w:rPr>
          <w:rStyle w:val="Strong"/>
          <w:rFonts w:eastAsiaTheme="majorEastAsia"/>
        </w:rPr>
        <w:t xml:space="preserve">HAI relationships follow the same </w:t>
      </w:r>
      <w:r>
        <w:rPr>
          <w:rStyle w:val="Emphasis"/>
          <w:b/>
          <w:bCs/>
        </w:rPr>
        <w:t>ritualization dynamics</w:t>
      </w:r>
      <w:r>
        <w:rPr>
          <w:rStyle w:val="Strong"/>
          <w:rFonts w:eastAsiaTheme="majorEastAsia"/>
        </w:rPr>
        <w:t xml:space="preserve"> as religious relations, but are embedded in platform-controlled, economically optimized systems that destabilize those dynamics over time.</w:t>
      </w:r>
    </w:p>
    <w:p w14:paraId="116D7DE0" w14:textId="77777777" w:rsidR="00E41E6A" w:rsidRDefault="00E41E6A" w:rsidP="00E41E6A">
      <w:r>
        <w:pict w14:anchorId="780879CC">
          <v:rect id="_x0000_i1027" style="width:0;height:1.5pt" o:hralign="center" o:hrstd="t" o:hr="t" fillcolor="#a0a0a0" stroked="f"/>
        </w:pict>
      </w:r>
    </w:p>
    <w:p w14:paraId="3082BB90" w14:textId="77777777" w:rsidR="00E41E6A" w:rsidRDefault="00E41E6A" w:rsidP="00E41E6A">
      <w:pPr>
        <w:pStyle w:val="Heading2"/>
      </w:pPr>
      <w:r>
        <w:t>Gap Statement — What a Credible 6–24 Month Panel Study Must Measure</w:t>
      </w:r>
    </w:p>
    <w:p w14:paraId="22625E34" w14:textId="77777777" w:rsidR="00E41E6A" w:rsidRDefault="00E41E6A" w:rsidP="00E41E6A">
      <w:pPr>
        <w:pStyle w:val="NormalWeb"/>
      </w:pPr>
      <w:r>
        <w:t>The current literature is overwhelmingly:</w:t>
      </w:r>
    </w:p>
    <w:p w14:paraId="32C4B108" w14:textId="77777777" w:rsidR="00E41E6A" w:rsidRDefault="00E41E6A" w:rsidP="00E41E6A">
      <w:pPr>
        <w:numPr>
          <w:ilvl w:val="0"/>
          <w:numId w:val="6"/>
        </w:numPr>
        <w:spacing w:before="100" w:beforeAutospacing="1" w:after="100" w:afterAutospacing="1"/>
      </w:pPr>
      <w:r>
        <w:t xml:space="preserve">Cross-sectional </w:t>
      </w:r>
    </w:p>
    <w:p w14:paraId="3EC845F7" w14:textId="77777777" w:rsidR="00E41E6A" w:rsidRDefault="00E41E6A" w:rsidP="00E41E6A">
      <w:pPr>
        <w:numPr>
          <w:ilvl w:val="0"/>
          <w:numId w:val="6"/>
        </w:numPr>
        <w:spacing w:before="100" w:beforeAutospacing="1" w:after="100" w:afterAutospacing="1"/>
      </w:pPr>
      <w:r>
        <w:t xml:space="preserve">Retrospective </w:t>
      </w:r>
    </w:p>
    <w:p w14:paraId="2430E834" w14:textId="77777777" w:rsidR="00E41E6A" w:rsidRDefault="00E41E6A" w:rsidP="00E41E6A">
      <w:pPr>
        <w:numPr>
          <w:ilvl w:val="0"/>
          <w:numId w:val="6"/>
        </w:numPr>
        <w:spacing w:before="100" w:beforeAutospacing="1" w:after="100" w:afterAutospacing="1"/>
      </w:pPr>
      <w:r>
        <w:t xml:space="preserve">Qualitative or short-horizon experimental </w:t>
      </w:r>
    </w:p>
    <w:p w14:paraId="0348D3B5" w14:textId="77777777" w:rsidR="00E41E6A" w:rsidRDefault="00E41E6A" w:rsidP="00E41E6A">
      <w:pPr>
        <w:pStyle w:val="NormalWeb"/>
      </w:pPr>
      <w:r>
        <w:t xml:space="preserve">A serious longitudinal panel would need to treat </w:t>
      </w:r>
      <w:r>
        <w:rPr>
          <w:rStyle w:val="Strong"/>
          <w:rFonts w:eastAsiaTheme="majorEastAsia"/>
        </w:rPr>
        <w:t>HAI as a developing practice ecology</w:t>
      </w:r>
      <w:r>
        <w:t>, not a static attitude.</w:t>
      </w:r>
    </w:p>
    <w:p w14:paraId="1BEE7ECE" w14:textId="77777777" w:rsidR="00E41E6A" w:rsidRDefault="00E41E6A" w:rsidP="00E41E6A">
      <w:pPr>
        <w:pStyle w:val="Heading3"/>
      </w:pPr>
      <w:r>
        <w:t>1. Core Panel Design Requirements</w:t>
      </w:r>
    </w:p>
    <w:p w14:paraId="27835339" w14:textId="77777777" w:rsidR="00E41E6A" w:rsidRDefault="00E41E6A" w:rsidP="00E41E6A">
      <w:pPr>
        <w:numPr>
          <w:ilvl w:val="0"/>
          <w:numId w:val="7"/>
        </w:numPr>
        <w:spacing w:before="100" w:beforeAutospacing="1" w:after="100" w:afterAutospacing="1"/>
      </w:pPr>
      <w:r>
        <w:rPr>
          <w:rStyle w:val="Strong"/>
        </w:rPr>
        <w:t>Duration:</w:t>
      </w:r>
      <w:r>
        <w:t xml:space="preserve"> 6–24 months minimum </w:t>
      </w:r>
    </w:p>
    <w:p w14:paraId="741C6687" w14:textId="77777777" w:rsidR="00E41E6A" w:rsidRDefault="00E41E6A" w:rsidP="00E41E6A">
      <w:pPr>
        <w:numPr>
          <w:ilvl w:val="0"/>
          <w:numId w:val="7"/>
        </w:numPr>
        <w:spacing w:before="100" w:beforeAutospacing="1" w:after="100" w:afterAutospacing="1"/>
      </w:pPr>
      <w:r>
        <w:rPr>
          <w:rStyle w:val="Strong"/>
        </w:rPr>
        <w:t>Sampling:</w:t>
      </w:r>
      <w:r>
        <w:t xml:space="preserve"> </w:t>
      </w:r>
    </w:p>
    <w:p w14:paraId="00964B6C" w14:textId="77777777" w:rsidR="00E41E6A" w:rsidRDefault="00E41E6A" w:rsidP="00E41E6A">
      <w:pPr>
        <w:numPr>
          <w:ilvl w:val="1"/>
          <w:numId w:val="7"/>
        </w:numPr>
        <w:spacing w:before="100" w:beforeAutospacing="1" w:after="100" w:afterAutospacing="1"/>
      </w:pPr>
      <w:r>
        <w:t xml:space="preserve">Stratified by usage intensity (light / moderate / heavy) </w:t>
      </w:r>
    </w:p>
    <w:p w14:paraId="20D823CF" w14:textId="77777777" w:rsidR="00E41E6A" w:rsidRDefault="00E41E6A" w:rsidP="00E41E6A">
      <w:pPr>
        <w:numPr>
          <w:ilvl w:val="1"/>
          <w:numId w:val="7"/>
        </w:numPr>
        <w:spacing w:before="100" w:beforeAutospacing="1" w:after="100" w:afterAutospacing="1"/>
      </w:pPr>
      <w:r>
        <w:t xml:space="preserve">Include high-attachment users (top decile) </w:t>
      </w:r>
    </w:p>
    <w:p w14:paraId="1EE2912C" w14:textId="77777777" w:rsidR="00E41E6A" w:rsidRDefault="00E41E6A" w:rsidP="00E41E6A">
      <w:pPr>
        <w:numPr>
          <w:ilvl w:val="0"/>
          <w:numId w:val="7"/>
        </w:numPr>
        <w:spacing w:before="100" w:beforeAutospacing="1" w:after="100" w:afterAutospacing="1"/>
      </w:pPr>
      <w:r>
        <w:rPr>
          <w:rStyle w:val="Strong"/>
        </w:rPr>
        <w:t>N:</w:t>
      </w:r>
      <w:r>
        <w:t xml:space="preserve"> </w:t>
      </w:r>
    </w:p>
    <w:p w14:paraId="74E80336" w14:textId="77777777" w:rsidR="00E41E6A" w:rsidRDefault="00E41E6A" w:rsidP="00E41E6A">
      <w:pPr>
        <w:numPr>
          <w:ilvl w:val="1"/>
          <w:numId w:val="7"/>
        </w:numPr>
        <w:spacing w:before="100" w:beforeAutospacing="1" w:after="100" w:afterAutospacing="1"/>
      </w:pPr>
      <w:r>
        <w:t xml:space="preserve">Minimum 300–500 for quantitative inference </w:t>
      </w:r>
    </w:p>
    <w:p w14:paraId="03D015FC" w14:textId="77777777" w:rsidR="00E41E6A" w:rsidRDefault="00E41E6A" w:rsidP="00E41E6A">
      <w:pPr>
        <w:numPr>
          <w:ilvl w:val="1"/>
          <w:numId w:val="7"/>
        </w:numPr>
        <w:spacing w:before="100" w:beforeAutospacing="1" w:after="100" w:afterAutospacing="1"/>
      </w:pPr>
      <w:r>
        <w:t xml:space="preserve">Nested qualitative subsample (~50) </w:t>
      </w:r>
    </w:p>
    <w:p w14:paraId="60E81ADE" w14:textId="77777777" w:rsidR="00E41E6A" w:rsidRDefault="00E41E6A" w:rsidP="00E41E6A">
      <w:pPr>
        <w:spacing w:after="0"/>
      </w:pPr>
      <w:r>
        <w:pict w14:anchorId="78358223">
          <v:rect id="_x0000_i1028" style="width:0;height:1.5pt" o:hralign="center" o:hrstd="t" o:hr="t" fillcolor="#a0a0a0" stroked="f"/>
        </w:pict>
      </w:r>
    </w:p>
    <w:p w14:paraId="435BAAF0" w14:textId="77777777" w:rsidR="00E41E6A" w:rsidRDefault="00E41E6A" w:rsidP="00E41E6A">
      <w:pPr>
        <w:pStyle w:val="Heading3"/>
      </w:pPr>
      <w:r>
        <w:lastRenderedPageBreak/>
        <w:t>2. Measurement Domains (Non-Negotiable)</w:t>
      </w:r>
    </w:p>
    <w:p w14:paraId="2EB98F6E" w14:textId="77777777" w:rsidR="00E41E6A" w:rsidRDefault="00E41E6A" w:rsidP="00E41E6A">
      <w:pPr>
        <w:pStyle w:val="Heading4"/>
      </w:pPr>
      <w:r>
        <w:t>A. Practice Formation (Ritualization)</w:t>
      </w:r>
    </w:p>
    <w:p w14:paraId="1FC04B6D" w14:textId="77777777" w:rsidR="00E41E6A" w:rsidRDefault="00E41E6A" w:rsidP="00E41E6A">
      <w:pPr>
        <w:numPr>
          <w:ilvl w:val="0"/>
          <w:numId w:val="8"/>
        </w:numPr>
        <w:spacing w:before="100" w:beforeAutospacing="1" w:after="100" w:afterAutospacing="1"/>
      </w:pPr>
      <w:r>
        <w:t xml:space="preserve">Session frequency, duration, and timing regularity </w:t>
      </w:r>
    </w:p>
    <w:p w14:paraId="2F1A4D9F" w14:textId="77777777" w:rsidR="00E41E6A" w:rsidRDefault="00E41E6A" w:rsidP="00E41E6A">
      <w:pPr>
        <w:numPr>
          <w:ilvl w:val="0"/>
          <w:numId w:val="8"/>
        </w:numPr>
        <w:spacing w:before="100" w:beforeAutospacing="1" w:after="100" w:afterAutospacing="1"/>
      </w:pPr>
      <w:r>
        <w:t xml:space="preserve">Repeated interaction structures (morning check-ins, emotional processing, etc.) </w:t>
      </w:r>
    </w:p>
    <w:p w14:paraId="1F208902" w14:textId="77777777" w:rsidR="00E41E6A" w:rsidRDefault="00E41E6A" w:rsidP="00E41E6A">
      <w:pPr>
        <w:numPr>
          <w:ilvl w:val="0"/>
          <w:numId w:val="8"/>
        </w:numPr>
        <w:spacing w:before="100" w:beforeAutospacing="1" w:after="100" w:afterAutospacing="1"/>
      </w:pPr>
      <w:r>
        <w:t xml:space="preserve">Naming, personalization, and role assignment behaviors </w:t>
      </w:r>
    </w:p>
    <w:p w14:paraId="3E34C6B4" w14:textId="77777777" w:rsidR="00E41E6A" w:rsidRDefault="00E41E6A" w:rsidP="00E41E6A">
      <w:pPr>
        <w:pStyle w:val="Heading4"/>
      </w:pPr>
      <w:r>
        <w:t>B. Attention &amp; Interpretation</w:t>
      </w:r>
    </w:p>
    <w:p w14:paraId="09B7AAFB" w14:textId="77777777" w:rsidR="00E41E6A" w:rsidRDefault="00E41E6A" w:rsidP="00E41E6A">
      <w:pPr>
        <w:numPr>
          <w:ilvl w:val="0"/>
          <w:numId w:val="9"/>
        </w:numPr>
        <w:spacing w:before="100" w:beforeAutospacing="1" w:after="100" w:afterAutospacing="1"/>
      </w:pPr>
      <w:r>
        <w:t xml:space="preserve">What users </w:t>
      </w:r>
      <w:r>
        <w:rPr>
          <w:rStyle w:val="Emphasis"/>
        </w:rPr>
        <w:t>notice</w:t>
      </w:r>
      <w:r>
        <w:t xml:space="preserve"> (e.g., perceived memory, intentionality) </w:t>
      </w:r>
    </w:p>
    <w:p w14:paraId="66270C83" w14:textId="77777777" w:rsidR="00E41E6A" w:rsidRDefault="00E41E6A" w:rsidP="00E41E6A">
      <w:pPr>
        <w:numPr>
          <w:ilvl w:val="0"/>
          <w:numId w:val="9"/>
        </w:numPr>
        <w:spacing w:before="100" w:beforeAutospacing="1" w:after="100" w:afterAutospacing="1"/>
      </w:pPr>
      <w:r>
        <w:t xml:space="preserve">Attribution shifts (tool → companion → quasi-agent) </w:t>
      </w:r>
    </w:p>
    <w:p w14:paraId="0317F9AD" w14:textId="77777777" w:rsidR="00E41E6A" w:rsidRDefault="00E41E6A" w:rsidP="00E41E6A">
      <w:pPr>
        <w:numPr>
          <w:ilvl w:val="0"/>
          <w:numId w:val="9"/>
        </w:numPr>
        <w:spacing w:before="100" w:beforeAutospacing="1" w:after="100" w:afterAutospacing="1"/>
      </w:pPr>
      <w:r>
        <w:t xml:space="preserve">Interpretation of ambiguous outputs </w:t>
      </w:r>
    </w:p>
    <w:p w14:paraId="49D20D88" w14:textId="77777777" w:rsidR="00E41E6A" w:rsidRDefault="00E41E6A" w:rsidP="00E41E6A">
      <w:pPr>
        <w:pStyle w:val="Heading4"/>
      </w:pPr>
      <w:r>
        <w:t>C. Relational Attachment</w:t>
      </w:r>
    </w:p>
    <w:p w14:paraId="1A5DF047" w14:textId="77777777" w:rsidR="00E41E6A" w:rsidRDefault="00E41E6A" w:rsidP="00E41E6A">
      <w:pPr>
        <w:numPr>
          <w:ilvl w:val="0"/>
          <w:numId w:val="10"/>
        </w:numPr>
        <w:spacing w:before="100" w:beforeAutospacing="1" w:after="100" w:afterAutospacing="1"/>
      </w:pPr>
      <w:r>
        <w:t xml:space="preserve">Standardized scales (adapted working alliance / attachment measures) </w:t>
      </w:r>
    </w:p>
    <w:p w14:paraId="20D7A46B" w14:textId="77777777" w:rsidR="00E41E6A" w:rsidRDefault="00E41E6A" w:rsidP="00E41E6A">
      <w:pPr>
        <w:numPr>
          <w:ilvl w:val="0"/>
          <w:numId w:val="10"/>
        </w:numPr>
        <w:spacing w:before="100" w:beforeAutospacing="1" w:after="100" w:afterAutospacing="1"/>
      </w:pPr>
      <w:r>
        <w:t xml:space="preserve">Emotional reliance and substitution effects </w:t>
      </w:r>
    </w:p>
    <w:p w14:paraId="0BCB616F" w14:textId="77777777" w:rsidR="00E41E6A" w:rsidRDefault="00E41E6A" w:rsidP="00E41E6A">
      <w:pPr>
        <w:numPr>
          <w:ilvl w:val="0"/>
          <w:numId w:val="10"/>
        </w:numPr>
        <w:spacing w:before="100" w:beforeAutospacing="1" w:after="100" w:afterAutospacing="1"/>
      </w:pPr>
      <w:r>
        <w:t xml:space="preserve">Perceived reciprocity vs. acknowledged asymmetry </w:t>
      </w:r>
    </w:p>
    <w:p w14:paraId="14659A85" w14:textId="77777777" w:rsidR="00E41E6A" w:rsidRDefault="00E41E6A" w:rsidP="00E41E6A">
      <w:pPr>
        <w:pStyle w:val="Heading4"/>
      </w:pPr>
      <w:r>
        <w:t>D. User Labor &amp; Co-Construction</w:t>
      </w:r>
    </w:p>
    <w:p w14:paraId="18E5A6D4" w14:textId="77777777" w:rsidR="00E41E6A" w:rsidRDefault="00E41E6A" w:rsidP="00E41E6A">
      <w:pPr>
        <w:numPr>
          <w:ilvl w:val="0"/>
          <w:numId w:val="11"/>
        </w:numPr>
        <w:spacing w:before="100" w:beforeAutospacing="1" w:after="100" w:afterAutospacing="1"/>
      </w:pPr>
      <w:r>
        <w:t xml:space="preserve">Prompting effort, correction patterns </w:t>
      </w:r>
    </w:p>
    <w:p w14:paraId="3D3DC392" w14:textId="77777777" w:rsidR="00E41E6A" w:rsidRDefault="00E41E6A" w:rsidP="00E41E6A">
      <w:pPr>
        <w:numPr>
          <w:ilvl w:val="0"/>
          <w:numId w:val="11"/>
        </w:numPr>
        <w:spacing w:before="100" w:beforeAutospacing="1" w:after="100" w:afterAutospacing="1"/>
      </w:pPr>
      <w:r>
        <w:t xml:space="preserve">Emotional disclosure intensity </w:t>
      </w:r>
    </w:p>
    <w:p w14:paraId="0584867E" w14:textId="77777777" w:rsidR="00E41E6A" w:rsidRDefault="00E41E6A" w:rsidP="00E41E6A">
      <w:pPr>
        <w:numPr>
          <w:ilvl w:val="0"/>
          <w:numId w:val="11"/>
        </w:numPr>
        <w:spacing w:before="100" w:beforeAutospacing="1" w:after="100" w:afterAutospacing="1"/>
      </w:pPr>
      <w:r>
        <w:t xml:space="preserve">Investment in “training” the AI </w:t>
      </w:r>
    </w:p>
    <w:p w14:paraId="48284A11" w14:textId="77777777" w:rsidR="00E41E6A" w:rsidRDefault="00E41E6A" w:rsidP="00E41E6A">
      <w:pPr>
        <w:pStyle w:val="Heading4"/>
      </w:pPr>
      <w:r>
        <w:t>E. Community Mediation</w:t>
      </w:r>
    </w:p>
    <w:p w14:paraId="4CAE5427" w14:textId="77777777" w:rsidR="00E41E6A" w:rsidRDefault="00E41E6A" w:rsidP="00E41E6A">
      <w:pPr>
        <w:numPr>
          <w:ilvl w:val="0"/>
          <w:numId w:val="12"/>
        </w:numPr>
        <w:spacing w:before="100" w:beforeAutospacing="1" w:after="100" w:afterAutospacing="1"/>
      </w:pPr>
      <w:r>
        <w:t xml:space="preserve">Participation in forums or discussion spaces </w:t>
      </w:r>
    </w:p>
    <w:p w14:paraId="56DF3E2C" w14:textId="77777777" w:rsidR="00E41E6A" w:rsidRDefault="00E41E6A" w:rsidP="00E41E6A">
      <w:pPr>
        <w:numPr>
          <w:ilvl w:val="0"/>
          <w:numId w:val="12"/>
        </w:numPr>
        <w:spacing w:before="100" w:beforeAutospacing="1" w:after="100" w:afterAutospacing="1"/>
      </w:pPr>
      <w:r>
        <w:t xml:space="preserve">External validation or critique of AI relationship </w:t>
      </w:r>
    </w:p>
    <w:p w14:paraId="4D610E4D" w14:textId="77777777" w:rsidR="00E41E6A" w:rsidRDefault="00E41E6A" w:rsidP="00E41E6A">
      <w:pPr>
        <w:numPr>
          <w:ilvl w:val="0"/>
          <w:numId w:val="12"/>
        </w:numPr>
        <w:spacing w:before="100" w:beforeAutospacing="1" w:after="100" w:afterAutospacing="1"/>
      </w:pPr>
      <w:r>
        <w:t xml:space="preserve">Social conflict or support around usage </w:t>
      </w:r>
    </w:p>
    <w:p w14:paraId="1F6E8487" w14:textId="77777777" w:rsidR="00E41E6A" w:rsidRDefault="00E41E6A" w:rsidP="00E41E6A">
      <w:pPr>
        <w:pStyle w:val="Heading4"/>
      </w:pPr>
      <w:r>
        <w:t>F. Platform Intervention / Rupture</w:t>
      </w:r>
    </w:p>
    <w:p w14:paraId="6DDEFFBD" w14:textId="77777777" w:rsidR="00E41E6A" w:rsidRDefault="00E41E6A" w:rsidP="00E41E6A">
      <w:pPr>
        <w:numPr>
          <w:ilvl w:val="0"/>
          <w:numId w:val="13"/>
        </w:numPr>
        <w:spacing w:before="100" w:beforeAutospacing="1" w:after="100" w:afterAutospacing="1"/>
      </w:pPr>
      <w:r>
        <w:t xml:space="preserve">Exposure to model updates or policy changes </w:t>
      </w:r>
    </w:p>
    <w:p w14:paraId="1F05E78E" w14:textId="77777777" w:rsidR="00E41E6A" w:rsidRDefault="00E41E6A" w:rsidP="00E41E6A">
      <w:pPr>
        <w:numPr>
          <w:ilvl w:val="0"/>
          <w:numId w:val="13"/>
        </w:numPr>
        <w:spacing w:before="100" w:beforeAutospacing="1" w:after="100" w:afterAutospacing="1"/>
      </w:pPr>
      <w:r>
        <w:t xml:space="preserve">“Version shock” events </w:t>
      </w:r>
    </w:p>
    <w:p w14:paraId="4090E9A9" w14:textId="77777777" w:rsidR="00E41E6A" w:rsidRDefault="00E41E6A" w:rsidP="00E41E6A">
      <w:pPr>
        <w:numPr>
          <w:ilvl w:val="0"/>
          <w:numId w:val="13"/>
        </w:numPr>
        <w:spacing w:before="100" w:beforeAutospacing="1" w:after="100" w:afterAutospacing="1"/>
      </w:pPr>
      <w:r>
        <w:t xml:space="preserve">Behavioral response: abandonment, repair, reattachment </w:t>
      </w:r>
    </w:p>
    <w:p w14:paraId="1260BF48" w14:textId="77777777" w:rsidR="00E41E6A" w:rsidRDefault="00E41E6A" w:rsidP="00E41E6A">
      <w:pPr>
        <w:pStyle w:val="Heading4"/>
      </w:pPr>
      <w:r>
        <w:t>G. Epistemic Outcomes</w:t>
      </w:r>
    </w:p>
    <w:p w14:paraId="2496DA31" w14:textId="77777777" w:rsidR="00E41E6A" w:rsidRDefault="00E41E6A" w:rsidP="00E41E6A">
      <w:pPr>
        <w:numPr>
          <w:ilvl w:val="0"/>
          <w:numId w:val="14"/>
        </w:numPr>
        <w:spacing w:before="100" w:beforeAutospacing="1" w:after="100" w:afterAutospacing="1"/>
      </w:pPr>
      <w:r>
        <w:t xml:space="preserve">Trust calibration (accuracy vs. warmth sensitivity) </w:t>
      </w:r>
    </w:p>
    <w:p w14:paraId="4A3D43A5" w14:textId="77777777" w:rsidR="00E41E6A" w:rsidRDefault="00E41E6A" w:rsidP="00E41E6A">
      <w:pPr>
        <w:numPr>
          <w:ilvl w:val="0"/>
          <w:numId w:val="14"/>
        </w:numPr>
        <w:spacing w:before="100" w:beforeAutospacing="1" w:after="100" w:afterAutospacing="1"/>
      </w:pPr>
      <w:r>
        <w:t xml:space="preserve">Susceptibility to sycophancy </w:t>
      </w:r>
    </w:p>
    <w:p w14:paraId="2B58F379" w14:textId="77777777" w:rsidR="00E41E6A" w:rsidRDefault="00E41E6A" w:rsidP="00E41E6A">
      <w:pPr>
        <w:numPr>
          <w:ilvl w:val="0"/>
          <w:numId w:val="14"/>
        </w:numPr>
        <w:spacing w:before="100" w:beforeAutospacing="1" w:after="100" w:afterAutospacing="1"/>
      </w:pPr>
      <w:r>
        <w:t xml:space="preserve">Decision reliance on AI </w:t>
      </w:r>
    </w:p>
    <w:p w14:paraId="0E813D54" w14:textId="77777777" w:rsidR="00E41E6A" w:rsidRDefault="00E41E6A" w:rsidP="00E41E6A">
      <w:pPr>
        <w:pStyle w:val="Heading4"/>
      </w:pPr>
      <w:r>
        <w:lastRenderedPageBreak/>
        <w:t>H. Boundary Practices</w:t>
      </w:r>
    </w:p>
    <w:p w14:paraId="0F1A873A" w14:textId="77777777" w:rsidR="00E41E6A" w:rsidRDefault="00E41E6A" w:rsidP="00E41E6A">
      <w:pPr>
        <w:numPr>
          <w:ilvl w:val="0"/>
          <w:numId w:val="15"/>
        </w:numPr>
        <w:spacing w:before="100" w:beforeAutospacing="1" w:after="100" w:afterAutospacing="1"/>
      </w:pPr>
      <w:r>
        <w:t xml:space="preserve">Use of AI in sensitive domains (grief, intimacy, identity) </w:t>
      </w:r>
    </w:p>
    <w:p w14:paraId="07C26908" w14:textId="77777777" w:rsidR="00E41E6A" w:rsidRDefault="00E41E6A" w:rsidP="00E41E6A">
      <w:pPr>
        <w:numPr>
          <w:ilvl w:val="0"/>
          <w:numId w:val="15"/>
        </w:numPr>
        <w:spacing w:before="100" w:beforeAutospacing="1" w:after="100" w:afterAutospacing="1"/>
      </w:pPr>
      <w:r>
        <w:t xml:space="preserve">Emergence (or absence) of self-imposed limits </w:t>
      </w:r>
    </w:p>
    <w:p w14:paraId="48440AC8" w14:textId="77777777" w:rsidR="00E41E6A" w:rsidRDefault="00E41E6A" w:rsidP="00E41E6A">
      <w:pPr>
        <w:numPr>
          <w:ilvl w:val="0"/>
          <w:numId w:val="15"/>
        </w:numPr>
        <w:spacing w:before="100" w:beforeAutospacing="1" w:after="100" w:afterAutospacing="1"/>
      </w:pPr>
      <w:r>
        <w:t xml:space="preserve">Substitution vs. augmentation of human relationships </w:t>
      </w:r>
    </w:p>
    <w:p w14:paraId="755E814E" w14:textId="77777777" w:rsidR="00E41E6A" w:rsidRDefault="00E41E6A" w:rsidP="00E41E6A">
      <w:pPr>
        <w:spacing w:after="0"/>
      </w:pPr>
      <w:r>
        <w:rPr>
          <w:noProof/>
        </w:rPr>
      </w:r>
      <w:r w:rsidR="00E41E6A">
        <w:rPr>
          <w:noProof/>
        </w:rPr>
        <w:pict w14:anchorId="37CE82A9">
          <v:rect id="_x0000_i1029" alt="" style="width:468pt;height:.05pt;mso-width-percent:0;mso-height-percent:0;mso-width-percent:0;mso-height-percent:0" o:hralign="center" o:hrstd="t" o:hr="t" fillcolor="#a0a0a0" stroked="f"/>
        </w:pict>
      </w:r>
    </w:p>
    <w:p w14:paraId="459387B2" w14:textId="77777777" w:rsidR="00E41E6A" w:rsidRDefault="00E41E6A" w:rsidP="00E41E6A">
      <w:pPr>
        <w:pStyle w:val="Heading3"/>
      </w:pPr>
      <w:r>
        <w:t>3. Critical Design Features</w:t>
      </w:r>
    </w:p>
    <w:p w14:paraId="47C982F8" w14:textId="77777777" w:rsidR="00E41E6A" w:rsidRDefault="00E41E6A" w:rsidP="00E41E6A">
      <w:pPr>
        <w:numPr>
          <w:ilvl w:val="0"/>
          <w:numId w:val="16"/>
        </w:numPr>
        <w:spacing w:before="100" w:beforeAutospacing="1" w:after="100" w:afterAutospacing="1"/>
      </w:pPr>
      <w:r>
        <w:rPr>
          <w:rStyle w:val="Strong"/>
        </w:rPr>
        <w:t>Event-based logging:</w:t>
      </w:r>
      <w:r>
        <w:t xml:space="preserve"> capture rupture events (updates, failures) in real time </w:t>
      </w:r>
    </w:p>
    <w:p w14:paraId="18B22CA1" w14:textId="77777777" w:rsidR="00E41E6A" w:rsidRDefault="00E41E6A" w:rsidP="00E41E6A">
      <w:pPr>
        <w:numPr>
          <w:ilvl w:val="0"/>
          <w:numId w:val="16"/>
        </w:numPr>
        <w:spacing w:before="100" w:beforeAutospacing="1" w:after="100" w:afterAutospacing="1"/>
      </w:pPr>
      <w:r>
        <w:rPr>
          <w:rStyle w:val="Strong"/>
        </w:rPr>
        <w:t>Behavioral + self-report coupling:</w:t>
      </w:r>
      <w:r>
        <w:t xml:space="preserve"> logs + surveys (not just attitudes) </w:t>
      </w:r>
    </w:p>
    <w:p w14:paraId="0666C960" w14:textId="77777777" w:rsidR="00E41E6A" w:rsidRDefault="00E41E6A" w:rsidP="00E41E6A">
      <w:pPr>
        <w:numPr>
          <w:ilvl w:val="0"/>
          <w:numId w:val="16"/>
        </w:numPr>
        <w:spacing w:before="100" w:beforeAutospacing="1" w:after="100" w:afterAutospacing="1"/>
      </w:pPr>
      <w:r>
        <w:rPr>
          <w:rStyle w:val="Strong"/>
        </w:rPr>
        <w:t>Interface version tracking:</w:t>
      </w:r>
      <w:r>
        <w:t xml:space="preserve"> tie user experience to system changes </w:t>
      </w:r>
    </w:p>
    <w:p w14:paraId="304813C9" w14:textId="77777777" w:rsidR="00E41E6A" w:rsidRDefault="00E41E6A" w:rsidP="00E41E6A">
      <w:pPr>
        <w:numPr>
          <w:ilvl w:val="0"/>
          <w:numId w:val="16"/>
        </w:numPr>
        <w:spacing w:before="100" w:beforeAutospacing="1" w:after="100" w:afterAutospacing="1"/>
      </w:pPr>
      <w:r>
        <w:rPr>
          <w:rStyle w:val="Strong"/>
        </w:rPr>
        <w:t>Exit tracking:</w:t>
      </w:r>
      <w:r>
        <w:t xml:space="preserve"> why and how users disengage </w:t>
      </w:r>
    </w:p>
    <w:p w14:paraId="582BCA6E" w14:textId="77777777" w:rsidR="00E41E6A" w:rsidRDefault="00E41E6A" w:rsidP="00E41E6A">
      <w:pPr>
        <w:spacing w:after="0"/>
      </w:pPr>
      <w:r>
        <w:rPr>
          <w:noProof/>
        </w:rPr>
      </w:r>
      <w:r w:rsidR="00E41E6A">
        <w:rPr>
          <w:noProof/>
        </w:rPr>
        <w:pict w14:anchorId="0877504F">
          <v:rect id="_x0000_i1030" alt="" style="width:468pt;height:.05pt;mso-width-percent:0;mso-height-percent:0;mso-width-percent:0;mso-height-percent:0" o:hralign="center" o:hrstd="t" o:hr="t" fillcolor="#a0a0a0" stroked="f"/>
        </w:pict>
      </w:r>
    </w:p>
    <w:p w14:paraId="2301B195" w14:textId="77777777" w:rsidR="00E41E6A" w:rsidRDefault="00E41E6A" w:rsidP="00E41E6A">
      <w:pPr>
        <w:pStyle w:val="Heading3"/>
      </w:pPr>
      <w:r>
        <w:t>4. What This Study Would Uniquely Resolve</w:t>
      </w:r>
    </w:p>
    <w:p w14:paraId="13066FE2" w14:textId="77777777" w:rsidR="00E41E6A" w:rsidRDefault="00E41E6A" w:rsidP="00E41E6A">
      <w:pPr>
        <w:pStyle w:val="NormalWeb"/>
      </w:pPr>
      <w:r>
        <w:t>A well-designed panel would finally answer:</w:t>
      </w:r>
    </w:p>
    <w:p w14:paraId="78FEE0E7" w14:textId="77777777" w:rsidR="00E41E6A" w:rsidRDefault="00E41E6A" w:rsidP="00E41E6A">
      <w:pPr>
        <w:numPr>
          <w:ilvl w:val="0"/>
          <w:numId w:val="17"/>
        </w:numPr>
        <w:spacing w:before="100" w:beforeAutospacing="1" w:after="100" w:afterAutospacing="1"/>
      </w:pPr>
      <w:r>
        <w:t xml:space="preserve">How </w:t>
      </w:r>
      <w:r>
        <w:rPr>
          <w:rStyle w:val="Strong"/>
        </w:rPr>
        <w:t>ritualized interaction patterns emerge and stabilize</w:t>
      </w:r>
      <w:r>
        <w:t xml:space="preserve"> over time </w:t>
      </w:r>
    </w:p>
    <w:p w14:paraId="6506F9C6" w14:textId="77777777" w:rsidR="00E41E6A" w:rsidRDefault="00E41E6A" w:rsidP="00E41E6A">
      <w:pPr>
        <w:numPr>
          <w:ilvl w:val="0"/>
          <w:numId w:val="17"/>
        </w:numPr>
        <w:spacing w:before="100" w:beforeAutospacing="1" w:after="100" w:afterAutospacing="1"/>
      </w:pPr>
      <w:r>
        <w:t xml:space="preserve">Whether </w:t>
      </w:r>
      <w:r>
        <w:rPr>
          <w:rStyle w:val="Strong"/>
        </w:rPr>
        <w:t>attachment deepens, plateaus, or fragments</w:t>
      </w:r>
      <w:r>
        <w:t xml:space="preserve"> </w:t>
      </w:r>
    </w:p>
    <w:p w14:paraId="57A90482" w14:textId="77777777" w:rsidR="00E41E6A" w:rsidRDefault="00E41E6A" w:rsidP="00E41E6A">
      <w:pPr>
        <w:numPr>
          <w:ilvl w:val="0"/>
          <w:numId w:val="17"/>
        </w:numPr>
        <w:spacing w:before="100" w:beforeAutospacing="1" w:after="100" w:afterAutospacing="1"/>
      </w:pPr>
      <w:r>
        <w:t xml:space="preserve">How </w:t>
      </w:r>
      <w:r>
        <w:rPr>
          <w:rStyle w:val="Strong"/>
        </w:rPr>
        <w:t>platform interventions reshape relationships mid-stream</w:t>
      </w:r>
      <w:r>
        <w:t xml:space="preserve"> </w:t>
      </w:r>
    </w:p>
    <w:p w14:paraId="0A1ED86E" w14:textId="77777777" w:rsidR="00E41E6A" w:rsidRDefault="00E41E6A" w:rsidP="00E41E6A">
      <w:pPr>
        <w:numPr>
          <w:ilvl w:val="0"/>
          <w:numId w:val="17"/>
        </w:numPr>
        <w:spacing w:before="100" w:beforeAutospacing="1" w:after="100" w:afterAutospacing="1"/>
      </w:pPr>
      <w:r>
        <w:t xml:space="preserve">Whether users develop </w:t>
      </w:r>
      <w:r>
        <w:rPr>
          <w:rStyle w:val="Strong"/>
        </w:rPr>
        <w:t>self-regulation norms</w:t>
      </w:r>
      <w:r>
        <w:t xml:space="preserve"> or remain dependent on design </w:t>
      </w:r>
    </w:p>
    <w:p w14:paraId="5C61A856" w14:textId="77777777" w:rsidR="00E41E6A" w:rsidRDefault="00E41E6A" w:rsidP="00E41E6A">
      <w:pPr>
        <w:numPr>
          <w:ilvl w:val="0"/>
          <w:numId w:val="17"/>
        </w:numPr>
        <w:spacing w:before="100" w:beforeAutospacing="1" w:after="100" w:afterAutospacing="1"/>
      </w:pPr>
      <w:r>
        <w:t xml:space="preserve">How </w:t>
      </w:r>
      <w:r>
        <w:rPr>
          <w:rStyle w:val="Strong"/>
        </w:rPr>
        <w:t>epistemic trust evolves under repeated interaction</w:t>
      </w:r>
      <w:r>
        <w:t xml:space="preserve"> </w:t>
      </w:r>
    </w:p>
    <w:p w14:paraId="2983C3CF" w14:textId="77777777" w:rsidR="00E41E6A" w:rsidRDefault="00E41E6A" w:rsidP="00E41E6A">
      <w:pPr>
        <w:spacing w:after="0"/>
      </w:pPr>
      <w:r>
        <w:rPr>
          <w:noProof/>
        </w:rPr>
      </w:r>
      <w:r w:rsidR="00E41E6A">
        <w:rPr>
          <w:noProof/>
        </w:rPr>
        <w:pict w14:anchorId="6450A20A">
          <v:rect id="_x0000_i1031" alt="" style="width:468pt;height:.05pt;mso-width-percent:0;mso-height-percent:0;mso-width-percent:0;mso-height-percent:0" o:hralign="center" o:hrstd="t" o:hr="t" fillcolor="#a0a0a0" stroked="f"/>
        </w:pict>
      </w:r>
    </w:p>
    <w:p w14:paraId="3EFBAA80" w14:textId="77777777" w:rsidR="00E41E6A" w:rsidRDefault="00E41E6A" w:rsidP="00E41E6A">
      <w:pPr>
        <w:pStyle w:val="Heading2"/>
      </w:pPr>
      <w:r>
        <w:t>Bottom Line</w:t>
      </w:r>
    </w:p>
    <w:p w14:paraId="57C8C338" w14:textId="77777777" w:rsidR="00E41E6A" w:rsidRDefault="00E41E6A" w:rsidP="00E41E6A">
      <w:pPr>
        <w:pStyle w:val="NormalWeb"/>
      </w:pPr>
      <w:r>
        <w:t>Right now, the field has:</w:t>
      </w:r>
    </w:p>
    <w:p w14:paraId="4BF62990" w14:textId="77777777" w:rsidR="00E41E6A" w:rsidRDefault="00E41E6A" w:rsidP="00E41E6A">
      <w:pPr>
        <w:numPr>
          <w:ilvl w:val="0"/>
          <w:numId w:val="18"/>
        </w:numPr>
        <w:spacing w:before="100" w:beforeAutospacing="1" w:after="100" w:afterAutospacing="1"/>
      </w:pPr>
      <w:r>
        <w:t xml:space="preserve">Strong theory (ritual studies, anthropology) </w:t>
      </w:r>
    </w:p>
    <w:p w14:paraId="3DA55A92" w14:textId="77777777" w:rsidR="00E41E6A" w:rsidRDefault="00E41E6A" w:rsidP="00E41E6A">
      <w:pPr>
        <w:numPr>
          <w:ilvl w:val="0"/>
          <w:numId w:val="18"/>
        </w:numPr>
        <w:spacing w:before="100" w:beforeAutospacing="1" w:after="100" w:afterAutospacing="1"/>
      </w:pPr>
      <w:r>
        <w:t xml:space="preserve">Early empirical signals (Replika, companionship, griefbots) </w:t>
      </w:r>
    </w:p>
    <w:p w14:paraId="0B90640A" w14:textId="77777777" w:rsidR="00E41E6A" w:rsidRDefault="00E41E6A" w:rsidP="00E41E6A">
      <w:pPr>
        <w:pStyle w:val="NormalWeb"/>
      </w:pPr>
      <w:r>
        <w:t>But it is missing the one thing that would make it cumulative science:</w:t>
      </w:r>
    </w:p>
    <w:p w14:paraId="3D5A94AC" w14:textId="77777777" w:rsidR="00E41E6A" w:rsidRDefault="00E41E6A" w:rsidP="00E41E6A">
      <w:pPr>
        <w:pStyle w:val="NormalWeb"/>
      </w:pPr>
      <w:r>
        <w:rPr>
          <w:rStyle w:val="Strong"/>
          <w:rFonts w:eastAsiaTheme="majorEastAsia"/>
        </w:rPr>
        <w:t xml:space="preserve">A longitudinal account of how human–AI relationships are </w:t>
      </w:r>
      <w:r>
        <w:rPr>
          <w:rStyle w:val="Emphasis"/>
          <w:b/>
          <w:bCs/>
        </w:rPr>
        <w:t>built, maintained, disrupted, and abandoned over time</w:t>
      </w:r>
      <w:r>
        <w:rPr>
          <w:rStyle w:val="Strong"/>
          <w:rFonts w:eastAsiaTheme="majorEastAsia"/>
        </w:rPr>
        <w:t>.</w:t>
      </w:r>
    </w:p>
    <w:p w14:paraId="5706576F" w14:textId="77777777" w:rsidR="00E41E6A" w:rsidRDefault="00E41E6A" w:rsidP="00E41E6A">
      <w:pPr>
        <w:pStyle w:val="NormalWeb"/>
      </w:pPr>
      <w:r>
        <w:t xml:space="preserve">Without that, we’re describing snapshots of something that is fundamentally a </w:t>
      </w:r>
      <w:r>
        <w:rPr>
          <w:rStyle w:val="Strong"/>
          <w:rFonts w:eastAsiaTheme="majorEastAsia"/>
        </w:rPr>
        <w:t>process unfolding across months and years</w:t>
      </w:r>
      <w:r>
        <w:t>.</w:t>
      </w:r>
    </w:p>
    <w:bookmarkEnd w:id="9"/>
    <w:p w14:paraId="66A79321" w14:textId="77777777" w:rsidR="00E41E6A" w:rsidRDefault="00E41E6A">
      <w:pPr>
        <w:pStyle w:val="BodyText"/>
      </w:pPr>
    </w:p>
    <w:sectPr w:rsidR="00E41E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7C1D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A2AC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7D0D4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1E502108"/>
    <w:multiLevelType w:val="multilevel"/>
    <w:tmpl w:val="CF72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6F3D"/>
    <w:multiLevelType w:val="multilevel"/>
    <w:tmpl w:val="9C0C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95E20"/>
    <w:multiLevelType w:val="multilevel"/>
    <w:tmpl w:val="5E06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28077C"/>
    <w:multiLevelType w:val="multilevel"/>
    <w:tmpl w:val="8E38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A5D7C"/>
    <w:multiLevelType w:val="multilevel"/>
    <w:tmpl w:val="64B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A110F"/>
    <w:multiLevelType w:val="multilevel"/>
    <w:tmpl w:val="51A6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D71E4"/>
    <w:multiLevelType w:val="multilevel"/>
    <w:tmpl w:val="0CC2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D674A"/>
    <w:multiLevelType w:val="multilevel"/>
    <w:tmpl w:val="852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63637"/>
    <w:multiLevelType w:val="multilevel"/>
    <w:tmpl w:val="2D5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47347"/>
    <w:multiLevelType w:val="multilevel"/>
    <w:tmpl w:val="5B5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75BB8"/>
    <w:multiLevelType w:val="multilevel"/>
    <w:tmpl w:val="D544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C1CCC"/>
    <w:multiLevelType w:val="multilevel"/>
    <w:tmpl w:val="0464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B2687F"/>
    <w:multiLevelType w:val="multilevel"/>
    <w:tmpl w:val="2D6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A6352"/>
    <w:multiLevelType w:val="multilevel"/>
    <w:tmpl w:val="0C0EE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37A1E"/>
    <w:multiLevelType w:val="multilevel"/>
    <w:tmpl w:val="4A64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05921">
    <w:abstractNumId w:val="0"/>
  </w:num>
  <w:num w:numId="2" w16cid:durableId="1814633659">
    <w:abstractNumId w:val="1"/>
  </w:num>
  <w:num w:numId="3" w16cid:durableId="343750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226833">
    <w:abstractNumId w:val="5"/>
  </w:num>
  <w:num w:numId="5" w16cid:durableId="1614094258">
    <w:abstractNumId w:val="4"/>
  </w:num>
  <w:num w:numId="6" w16cid:durableId="2072925615">
    <w:abstractNumId w:val="8"/>
  </w:num>
  <w:num w:numId="7" w16cid:durableId="972369996">
    <w:abstractNumId w:val="16"/>
  </w:num>
  <w:num w:numId="8" w16cid:durableId="759562929">
    <w:abstractNumId w:val="3"/>
  </w:num>
  <w:num w:numId="9" w16cid:durableId="1307396340">
    <w:abstractNumId w:val="13"/>
  </w:num>
  <w:num w:numId="10" w16cid:durableId="1064989752">
    <w:abstractNumId w:val="17"/>
  </w:num>
  <w:num w:numId="11" w16cid:durableId="29889284">
    <w:abstractNumId w:val="14"/>
  </w:num>
  <w:num w:numId="12" w16cid:durableId="439496478">
    <w:abstractNumId w:val="10"/>
  </w:num>
  <w:num w:numId="13" w16cid:durableId="870924057">
    <w:abstractNumId w:val="12"/>
  </w:num>
  <w:num w:numId="14" w16cid:durableId="1213228540">
    <w:abstractNumId w:val="15"/>
  </w:num>
  <w:num w:numId="15" w16cid:durableId="1481265926">
    <w:abstractNumId w:val="9"/>
  </w:num>
  <w:num w:numId="16" w16cid:durableId="398331311">
    <w:abstractNumId w:val="11"/>
  </w:num>
  <w:num w:numId="17" w16cid:durableId="1789200231">
    <w:abstractNumId w:val="6"/>
  </w:num>
  <w:num w:numId="18" w16cid:durableId="15996344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629C6"/>
    <w:rsid w:val="006F2A6E"/>
    <w:rsid w:val="00E41E6A"/>
    <w:rsid w:val="00E62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AF2D9"/>
  <w15:docId w15:val="{E455ECB7-9488-EA46-ABD1-688A58DA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E41E6A"/>
    <w:pPr>
      <w:spacing w:before="100" w:beforeAutospacing="1" w:after="100" w:afterAutospacing="1"/>
    </w:pPr>
    <w:rPr>
      <w:rFonts w:ascii="Times New Roman" w:eastAsia="Times New Roman" w:hAnsi="Times New Roman" w:cs="Times New Roman"/>
      <w:lang w:val="en-US"/>
    </w:rPr>
  </w:style>
  <w:style w:type="character" w:styleId="Emphasis">
    <w:name w:val="Emphasis"/>
    <w:basedOn w:val="DefaultParagraphFont"/>
    <w:uiPriority w:val="20"/>
    <w:qFormat/>
    <w:rsid w:val="00E41E6A"/>
    <w:rPr>
      <w:i/>
      <w:iCs/>
    </w:rPr>
  </w:style>
  <w:style w:type="character" w:customStyle="1" w:styleId="whitespace-normal">
    <w:name w:val="whitespace-normal"/>
    <w:basedOn w:val="DefaultParagraphFont"/>
    <w:rsid w:val="00E41E6A"/>
  </w:style>
  <w:style w:type="character" w:styleId="Strong">
    <w:name w:val="Strong"/>
    <w:basedOn w:val="DefaultParagraphFont"/>
    <w:uiPriority w:val="22"/>
    <w:qFormat/>
    <w:rsid w:val="00E41E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rnegiecouncil.org/media/series/39/20130516-when-god-talks-back-understanding-the-american-evangelical-relationship-with-god" TargetMode="External"/><Relationship Id="rId21" Type="http://schemas.openxmlformats.org/officeDocument/2006/relationships/hyperlink" Target="https://scholarcommons.scu.edu/rel_stud/114/" TargetMode="External"/><Relationship Id="rId42" Type="http://schemas.openxmlformats.org/officeDocument/2006/relationships/hyperlink" Target="https://orsi.northwestern.edu/publications/history-and-presence-2/" TargetMode="External"/><Relationship Id="rId47" Type="http://schemas.openxmlformats.org/officeDocument/2006/relationships/hyperlink" Target="https://www.carnegiecouncil.org/media/series/39/20130516-when-god-talks-back-understanding-the-american-evangelical-relationship-with-god" TargetMode="External"/><Relationship Id="rId63" Type="http://schemas.openxmlformats.org/officeDocument/2006/relationships/hyperlink" Target="https://orsi.northwestern.edu/publications/history-and-presence-2/" TargetMode="External"/><Relationship Id="rId68" Type="http://schemas.openxmlformats.org/officeDocument/2006/relationships/hyperlink" Target="https://link.springer.com/article/10.1007/s12115-025-01135-3" TargetMode="External"/><Relationship Id="rId84" Type="http://schemas.openxmlformats.org/officeDocument/2006/relationships/hyperlink" Target="https://academic.oup.com/socrel/article/82/4/523/6319559" TargetMode="External"/><Relationship Id="rId89" Type="http://schemas.openxmlformats.org/officeDocument/2006/relationships/hyperlink" Target="https://link.springer.com/article/10.1007/s00146-020-00968-2" TargetMode="External"/><Relationship Id="rId16" Type="http://schemas.openxmlformats.org/officeDocument/2006/relationships/hyperlink" Target="https://orsi.northwestern.edu/publications/history-and-presence-2/" TargetMode="External"/><Relationship Id="rId11" Type="http://schemas.openxmlformats.org/officeDocument/2006/relationships/hyperlink" Target="https://www.researchgate.net/publication/322729430_On_Semiotic_Ideology" TargetMode="External"/><Relationship Id="rId32" Type="http://schemas.openxmlformats.org/officeDocument/2006/relationships/hyperlink" Target="https://orsi.northwestern.edu/publications/history-and-presence-2/" TargetMode="External"/><Relationship Id="rId37" Type="http://schemas.openxmlformats.org/officeDocument/2006/relationships/hyperlink" Target="https://www.nature.com/articles/s41586-026-10410-0" TargetMode="External"/><Relationship Id="rId53" Type="http://schemas.openxmlformats.org/officeDocument/2006/relationships/hyperlink" Target="https://www.carnegiecouncil.org/media/series/39/20130516-when-god-talks-back-understanding-the-american-evangelical-relationship-with-god" TargetMode="External"/><Relationship Id="rId58" Type="http://schemas.openxmlformats.org/officeDocument/2006/relationships/hyperlink" Target="https://www.researchgate.net/publication/322729430_On_Semiotic_Ideology" TargetMode="External"/><Relationship Id="rId74" Type="http://schemas.openxmlformats.org/officeDocument/2006/relationships/hyperlink" Target="https://www.nature.com/articles/s41586-026-10410-0" TargetMode="External"/><Relationship Id="rId79" Type="http://schemas.openxmlformats.org/officeDocument/2006/relationships/hyperlink" Target="https://scholarcommons.scu.edu/rel_stud/114/" TargetMode="External"/><Relationship Id="rId102" Type="http://schemas.openxmlformats.org/officeDocument/2006/relationships/hyperlink" Target="https://www.tandfonline.com/doi/full/10.1080/0048721X.2025.2506893" TargetMode="External"/><Relationship Id="rId5" Type="http://schemas.openxmlformats.org/officeDocument/2006/relationships/hyperlink" Target="https://www.tanyaluhrmann.com/how-god-becomes-real" TargetMode="External"/><Relationship Id="rId90" Type="http://schemas.openxmlformats.org/officeDocument/2006/relationships/hyperlink" Target="https://link.springer.com/article/10.1007/s00146-020-00968-2" TargetMode="External"/><Relationship Id="rId95" Type="http://schemas.openxmlformats.org/officeDocument/2006/relationships/hyperlink" Target="https://link.springer.com/article/10.1007/s10676-026-09898-x" TargetMode="External"/><Relationship Id="rId22" Type="http://schemas.openxmlformats.org/officeDocument/2006/relationships/hyperlink" Target="https://academic.oup.com/socrel/article/82/4/523/6319559" TargetMode="External"/><Relationship Id="rId27" Type="http://schemas.openxmlformats.org/officeDocument/2006/relationships/hyperlink" Target="https://link.springer.com/article/10.1007/s00146-020-00968-2" TargetMode="External"/><Relationship Id="rId43" Type="http://schemas.openxmlformats.org/officeDocument/2006/relationships/hyperlink" Target="https://journals.sagepub.com/doi/full/10.1177/14614448251359218" TargetMode="External"/><Relationship Id="rId48" Type="http://schemas.openxmlformats.org/officeDocument/2006/relationships/hyperlink" Target="https://www.carnegiecouncil.org/media/series/39/20130516-when-god-talks-back-understanding-the-american-evangelical-relationship-with-god" TargetMode="External"/><Relationship Id="rId64" Type="http://schemas.openxmlformats.org/officeDocument/2006/relationships/hyperlink" Target="https://orsi.northwestern.edu/publications/history-and-presence-2/" TargetMode="External"/><Relationship Id="rId69" Type="http://schemas.openxmlformats.org/officeDocument/2006/relationships/hyperlink" Target="https://anthropology.stanford.edu/publications/when-god-talks-back-understanding-american-evangelical-relationship-god" TargetMode="External"/><Relationship Id="rId80" Type="http://schemas.openxmlformats.org/officeDocument/2006/relationships/hyperlink" Target="https://estsjournal.org/index.php/ests/article/view/277" TargetMode="External"/><Relationship Id="rId85" Type="http://schemas.openxmlformats.org/officeDocument/2006/relationships/hyperlink" Target="https://academic.oup.com/socrel/article/82/4/523/6319559" TargetMode="External"/><Relationship Id="rId12" Type="http://schemas.openxmlformats.org/officeDocument/2006/relationships/hyperlink" Target="https://anthropology.stanford.edu/publications/when-god-talks-back-understanding-american-evangelical-relationship-god" TargetMode="External"/><Relationship Id="rId17" Type="http://schemas.openxmlformats.org/officeDocument/2006/relationships/hyperlink" Target="https://orsi.northwestern.edu/publications/history-and-presence-2/" TargetMode="External"/><Relationship Id="rId25" Type="http://schemas.openxmlformats.org/officeDocument/2006/relationships/hyperlink" Target="https://www.carnegiecouncil.org/media/series/39/20130516-when-god-talks-back-understanding-the-american-evangelical-relationship-with-god" TargetMode="External"/><Relationship Id="rId33" Type="http://schemas.openxmlformats.org/officeDocument/2006/relationships/hyperlink" Target="https://academic.oup.com/socrel/article/82/4/523/6319559" TargetMode="External"/><Relationship Id="rId38" Type="http://schemas.openxmlformats.org/officeDocument/2006/relationships/hyperlink" Target="https://scholarcommons.scu.edu/rel_stud/114/" TargetMode="External"/><Relationship Id="rId46" Type="http://schemas.openxmlformats.org/officeDocument/2006/relationships/hyperlink" Target="https://www.tanyaluhrmann.com/how-god-becomes-real" TargetMode="External"/><Relationship Id="rId59" Type="http://schemas.openxmlformats.org/officeDocument/2006/relationships/hyperlink" Target="https://orsi.northwestern.edu/publications/history-and-presence-2/" TargetMode="External"/><Relationship Id="rId67" Type="http://schemas.openxmlformats.org/officeDocument/2006/relationships/hyperlink" Target="https://link.springer.com/article/10.1007/s12115-025-01135-3" TargetMode="External"/><Relationship Id="rId103" Type="http://schemas.openxmlformats.org/officeDocument/2006/relationships/fontTable" Target="fontTable.xml"/><Relationship Id="rId20" Type="http://schemas.openxmlformats.org/officeDocument/2006/relationships/hyperlink" Target="https://estsjournal.org/index.php/ests/article/view/277" TargetMode="External"/><Relationship Id="rId41" Type="http://schemas.openxmlformats.org/officeDocument/2006/relationships/hyperlink" Target="https://www.carnegiecouncil.org/media/series/39/20130516-when-god-talks-back-understanding-the-american-evangelical-relationship-with-god" TargetMode="External"/><Relationship Id="rId54" Type="http://schemas.openxmlformats.org/officeDocument/2006/relationships/hyperlink" Target="https://www.carnegiecouncil.org/media/series/39/20130516-when-god-talks-back-understanding-the-american-evangelical-relationship-with-god" TargetMode="External"/><Relationship Id="rId62" Type="http://schemas.openxmlformats.org/officeDocument/2006/relationships/hyperlink" Target="https://orsi.northwestern.edu/publications/history-and-presence-2/" TargetMode="External"/><Relationship Id="rId70" Type="http://schemas.openxmlformats.org/officeDocument/2006/relationships/hyperlink" Target="https://anthropology.stanford.edu/publications/when-god-talks-back-understanding-american-evangelical-relationship-god" TargetMode="External"/><Relationship Id="rId75" Type="http://schemas.openxmlformats.org/officeDocument/2006/relationships/hyperlink" Target="https://scholarcommons.scu.edu/rel_stud/114/" TargetMode="External"/><Relationship Id="rId83" Type="http://schemas.openxmlformats.org/officeDocument/2006/relationships/hyperlink" Target="https://estsjournal.org/index.php/ests/article/view/277" TargetMode="External"/><Relationship Id="rId88" Type="http://schemas.openxmlformats.org/officeDocument/2006/relationships/hyperlink" Target="https://academic.oup.com/socrel/article/82/4/523/6319559" TargetMode="External"/><Relationship Id="rId91" Type="http://schemas.openxmlformats.org/officeDocument/2006/relationships/hyperlink" Target="https://www.mdpi.com/2077-1444/13/4/333" TargetMode="External"/><Relationship Id="rId96" Type="http://schemas.openxmlformats.org/officeDocument/2006/relationships/hyperlink" Target="https://link.springer.com/article/10.1007/s10676-026-09898-x" TargetMode="External"/><Relationship Id="rId1" Type="http://schemas.openxmlformats.org/officeDocument/2006/relationships/numbering" Target="numbering.xml"/><Relationship Id="rId6" Type="http://schemas.openxmlformats.org/officeDocument/2006/relationships/hyperlink" Target="https://www.carnegiecouncil.org/media/series/39/20130516-when-god-talks-back-understanding-the-american-evangelical-relationship-with-god" TargetMode="External"/><Relationship Id="rId15" Type="http://schemas.openxmlformats.org/officeDocument/2006/relationships/hyperlink" Target="https://scholarcommons.scu.edu/rel_stud/114/" TargetMode="External"/><Relationship Id="rId23" Type="http://schemas.openxmlformats.org/officeDocument/2006/relationships/hyperlink" Target="https://academic.oup.com/socrel/article/82/4/523/6319559" TargetMode="External"/><Relationship Id="rId28" Type="http://schemas.openxmlformats.org/officeDocument/2006/relationships/hyperlink" Target="https://www.mdpi.com/2077-1444/13/4/333" TargetMode="External"/><Relationship Id="rId36" Type="http://schemas.openxmlformats.org/officeDocument/2006/relationships/hyperlink" Target="https://link.springer.com/article/10.1007/s12115-025-01135-3" TargetMode="External"/><Relationship Id="rId49" Type="http://schemas.openxmlformats.org/officeDocument/2006/relationships/hyperlink" Target="https://www.carnegiecouncil.org/media/series/39/20130516-when-god-talks-back-understanding-the-american-evangelical-relationship-with-god" TargetMode="External"/><Relationship Id="rId57" Type="http://schemas.openxmlformats.org/officeDocument/2006/relationships/hyperlink" Target="https://www.researchgate.net/publication/322729430_On_Semiotic_Ideology" TargetMode="External"/><Relationship Id="rId10" Type="http://schemas.openxmlformats.org/officeDocument/2006/relationships/hyperlink" Target="https://link.springer.com/article/10.1007/s12115-025-01135-3" TargetMode="External"/><Relationship Id="rId31" Type="http://schemas.openxmlformats.org/officeDocument/2006/relationships/hyperlink" Target="https://www.carnegiecouncil.org/media/series/39/20130516-when-god-talks-back-understanding-the-american-evangelical-relationship-with-god" TargetMode="External"/><Relationship Id="rId44" Type="http://schemas.openxmlformats.org/officeDocument/2006/relationships/hyperlink" Target="https://estsjournal.org/index.php/ests/article/view/277" TargetMode="External"/><Relationship Id="rId52" Type="http://schemas.openxmlformats.org/officeDocument/2006/relationships/hyperlink" Target="https://www.carnegiecouncil.org/media/series/39/20130516-when-god-talks-back-understanding-the-american-evangelical-relationship-with-god" TargetMode="External"/><Relationship Id="rId60" Type="http://schemas.openxmlformats.org/officeDocument/2006/relationships/hyperlink" Target="https://orsi.northwestern.edu/publications/history-and-presence-2/" TargetMode="External"/><Relationship Id="rId65" Type="http://schemas.openxmlformats.org/officeDocument/2006/relationships/hyperlink" Target="https://link.springer.com/article/10.1007/s12115-025-01135-3" TargetMode="External"/><Relationship Id="rId73" Type="http://schemas.openxmlformats.org/officeDocument/2006/relationships/hyperlink" Target="https://www.nature.com/articles/s41586-026-10410-0" TargetMode="External"/><Relationship Id="rId78" Type="http://schemas.openxmlformats.org/officeDocument/2006/relationships/hyperlink" Target="https://scholarcommons.scu.edu/rel_stud/114/" TargetMode="External"/><Relationship Id="rId81" Type="http://schemas.openxmlformats.org/officeDocument/2006/relationships/hyperlink" Target="https://estsjournal.org/index.php/ests/article/view/277" TargetMode="External"/><Relationship Id="rId86" Type="http://schemas.openxmlformats.org/officeDocument/2006/relationships/hyperlink" Target="https://academic.oup.com/socrel/article/82/4/523/6319559" TargetMode="External"/><Relationship Id="rId94" Type="http://schemas.openxmlformats.org/officeDocument/2006/relationships/hyperlink" Target="https://www.cambridge.org/core/journals/signs-and-society/article/we-share-an-unbreakable-bond-sociality-and-language-ideologies-in-human-relationships-with-artificial-intelligence/C3DFC9B45C4E51E32B4374F5AFA40705" TargetMode="External"/><Relationship Id="rId99" Type="http://schemas.openxmlformats.org/officeDocument/2006/relationships/hyperlink" Target="https://journals.sagepub.com/doi/full/10.1177/14614448251359218" TargetMode="External"/><Relationship Id="rId101" Type="http://schemas.openxmlformats.org/officeDocument/2006/relationships/hyperlink" Target="https://www.tandfonline.com/doi/full/10.1080/0048721X.2025.2506893" TargetMode="External"/><Relationship Id="rId4" Type="http://schemas.openxmlformats.org/officeDocument/2006/relationships/webSettings" Target="webSettings.xml"/><Relationship Id="rId9" Type="http://schemas.openxmlformats.org/officeDocument/2006/relationships/hyperlink" Target="https://link.springer.com/article/10.1007/s12115-025-01135-3" TargetMode="External"/><Relationship Id="rId13" Type="http://schemas.openxmlformats.org/officeDocument/2006/relationships/hyperlink" Target="https://www.nature.com/articles/s41586-026-10410-0" TargetMode="External"/><Relationship Id="rId18" Type="http://schemas.openxmlformats.org/officeDocument/2006/relationships/hyperlink" Target="https://www.researchgate.net/publication/322729430_On_Semiotic_Ideology" TargetMode="External"/><Relationship Id="rId39" Type="http://schemas.openxmlformats.org/officeDocument/2006/relationships/hyperlink" Target="https://www.carnegiecouncil.org/media/series/39/20130516-when-god-talks-back-understanding-the-american-evangelical-relationship-with-god" TargetMode="External"/><Relationship Id="rId34" Type="http://schemas.openxmlformats.org/officeDocument/2006/relationships/hyperlink" Target="https://estsjournal.org/index.php/ests/article/view/277" TargetMode="External"/><Relationship Id="rId50" Type="http://schemas.openxmlformats.org/officeDocument/2006/relationships/hyperlink" Target="https://www.carnegiecouncil.org/media/series/39/20130516-when-god-talks-back-understanding-the-american-evangelical-relationship-with-god" TargetMode="External"/><Relationship Id="rId55" Type="http://schemas.openxmlformats.org/officeDocument/2006/relationships/hyperlink" Target="https://www.researchgate.net/publication/322729430_On_Semiotic_Ideology" TargetMode="External"/><Relationship Id="rId76" Type="http://schemas.openxmlformats.org/officeDocument/2006/relationships/hyperlink" Target="https://scholarcommons.scu.edu/rel_stud/114/" TargetMode="External"/><Relationship Id="rId97" Type="http://schemas.openxmlformats.org/officeDocument/2006/relationships/hyperlink" Target="https://academic.oup.com/book/3810" TargetMode="External"/><Relationship Id="rId104" Type="http://schemas.openxmlformats.org/officeDocument/2006/relationships/theme" Target="theme/theme1.xml"/><Relationship Id="rId7" Type="http://schemas.openxmlformats.org/officeDocument/2006/relationships/hyperlink" Target="https://www.researchgate.net/publication/322729430_On_Semiotic_Ideology" TargetMode="External"/><Relationship Id="rId71" Type="http://schemas.openxmlformats.org/officeDocument/2006/relationships/hyperlink" Target="https://anthropology.stanford.edu/publications/when-god-talks-back-understanding-american-evangelical-relationship-god" TargetMode="External"/><Relationship Id="rId92" Type="http://schemas.openxmlformats.org/officeDocument/2006/relationships/hyperlink" Target="https://www.mdpi.com/2077-1444/13/4/333" TargetMode="External"/><Relationship Id="rId2" Type="http://schemas.openxmlformats.org/officeDocument/2006/relationships/styles" Target="styles.xml"/><Relationship Id="rId29" Type="http://schemas.openxmlformats.org/officeDocument/2006/relationships/hyperlink" Target="https://www.cambridge.org/core/journals/signs-and-society/article/we-share-an-unbreakable-bond-sociality-and-language-ideologies-in-human-relationships-with-artificial-intelligence/C3DFC9B45C4E51E32B4374F5AFA40705" TargetMode="External"/><Relationship Id="rId24" Type="http://schemas.openxmlformats.org/officeDocument/2006/relationships/hyperlink" Target="https://scholarcommons.scu.edu/rel_stud/114/" TargetMode="External"/><Relationship Id="rId40" Type="http://schemas.openxmlformats.org/officeDocument/2006/relationships/hyperlink" Target="https://academic.oup.com/book/3810" TargetMode="External"/><Relationship Id="rId45" Type="http://schemas.openxmlformats.org/officeDocument/2006/relationships/hyperlink" Target="https://www.tandfonline.com/doi/full/10.1080/0048721X.2025.2506893" TargetMode="External"/><Relationship Id="rId66" Type="http://schemas.openxmlformats.org/officeDocument/2006/relationships/hyperlink" Target="https://link.springer.com/article/10.1007/s12115-025-01135-3" TargetMode="External"/><Relationship Id="rId87" Type="http://schemas.openxmlformats.org/officeDocument/2006/relationships/hyperlink" Target="https://academic.oup.com/socrel/article/82/4/523/6319559" TargetMode="External"/><Relationship Id="rId61" Type="http://schemas.openxmlformats.org/officeDocument/2006/relationships/hyperlink" Target="https://orsi.northwestern.edu/publications/history-and-presence-2/" TargetMode="External"/><Relationship Id="rId82" Type="http://schemas.openxmlformats.org/officeDocument/2006/relationships/hyperlink" Target="https://estsjournal.org/index.php/ests/article/view/277" TargetMode="External"/><Relationship Id="rId19" Type="http://schemas.openxmlformats.org/officeDocument/2006/relationships/hyperlink" Target="https://anthropology.stanford.edu/publications/when-god-talks-back-understanding-american-evangelical-relationship-god" TargetMode="External"/><Relationship Id="rId14" Type="http://schemas.openxmlformats.org/officeDocument/2006/relationships/hyperlink" Target="https://www.carnegiecouncil.org/media/series/39/20130516-when-god-talks-back-understanding-the-american-evangelical-relationship-with-god" TargetMode="External"/><Relationship Id="rId30" Type="http://schemas.openxmlformats.org/officeDocument/2006/relationships/hyperlink" Target="https://academic.oup.com/socrel/article/82/4/523/6319559" TargetMode="External"/><Relationship Id="rId35" Type="http://schemas.openxmlformats.org/officeDocument/2006/relationships/hyperlink" Target="https://link.springer.com/article/10.1007/s10676-026-09898-x" TargetMode="External"/><Relationship Id="rId56" Type="http://schemas.openxmlformats.org/officeDocument/2006/relationships/hyperlink" Target="https://www.researchgate.net/publication/322729430_On_Semiotic_Ideology" TargetMode="External"/><Relationship Id="rId77" Type="http://schemas.openxmlformats.org/officeDocument/2006/relationships/hyperlink" Target="https://scholarcommons.scu.edu/rel_stud/114/" TargetMode="External"/><Relationship Id="rId100" Type="http://schemas.openxmlformats.org/officeDocument/2006/relationships/hyperlink" Target="https://journals.sagepub.com/doi/full/10.1177/14614448251359218" TargetMode="External"/><Relationship Id="rId8" Type="http://schemas.openxmlformats.org/officeDocument/2006/relationships/hyperlink" Target="https://orsi.northwestern.edu/publications/history-and-presence-2/" TargetMode="External"/><Relationship Id="rId51" Type="http://schemas.openxmlformats.org/officeDocument/2006/relationships/hyperlink" Target="https://www.carnegiecouncil.org/media/series/39/20130516-when-god-talks-back-understanding-the-american-evangelical-relationship-with-god" TargetMode="External"/><Relationship Id="rId72" Type="http://schemas.openxmlformats.org/officeDocument/2006/relationships/hyperlink" Target="https://www.nature.com/articles/s41586-026-10410-0" TargetMode="External"/><Relationship Id="rId93" Type="http://schemas.openxmlformats.org/officeDocument/2006/relationships/hyperlink" Target="https://www.cambridge.org/core/journals/signs-and-society/article/we-share-an-unbreakable-bond-sociality-and-language-ideologies-in-human-relationships-with-artificial-intelligence/C3DFC9B45C4E51E32B4374F5AFA40705" TargetMode="External"/><Relationship Id="rId98" Type="http://schemas.openxmlformats.org/officeDocument/2006/relationships/hyperlink" Target="https://academic.oup.com/book/381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4190</Words>
  <Characters>29924</Characters>
  <Application>Microsoft Office Word</Application>
  <DocSecurity>0</DocSecurity>
  <Lines>467</Lines>
  <Paragraphs>156</Paragraphs>
  <ScaleCrop>false</ScaleCrop>
  <Company/>
  <LinksUpToDate>false</LinksUpToDate>
  <CharactersWithSpaces>33958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2026-05-02T11:09:00Z</dcterms:created>
  <dcterms:modified xsi:type="dcterms:W3CDTF">2026-05-02T16:47:00Z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