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10A77" w14:textId="77777777" w:rsidR="00DA55E9" w:rsidRDefault="00000000">
      <w:pPr>
        <w:pStyle w:val="Heading1"/>
      </w:pPr>
      <w:bookmarkStart w:id="0" w:name="header"/>
      <w:bookmarkStart w:id="1" w:name="Xf4859a3378dd1f960383140eb387128ba5e045f"/>
      <w:bookmarkStart w:id="2" w:name="content"/>
      <w:bookmarkEnd w:id="0"/>
      <w:r>
        <w:t>Rupture and Repair in Human-AI Coding Interaction</w:t>
      </w:r>
    </w:p>
    <w:p w14:paraId="26DB5C76" w14:textId="77777777" w:rsidR="00DA55E9" w:rsidRDefault="00000000">
      <w:pPr>
        <w:pStyle w:val="Heading2"/>
      </w:pPr>
      <w:bookmarkStart w:id="3" w:name="executive-summary"/>
      <w:r>
        <w:t>Executive summary</w:t>
      </w:r>
    </w:p>
    <w:p w14:paraId="4876DDA1" w14:textId="77777777" w:rsidR="00DA55E9" w:rsidRDefault="00000000">
      <w:pPr>
        <w:pStyle w:val="FirstParagraph"/>
      </w:pPr>
      <w:r>
        <w:t xml:space="preserve">Post-2020 evidence on human-AI coding interaction is now strong enough to support a practical rupture-and-repair model, but it is still dominated by small- to mid-size studies and short sessions rather than true longitudinal designs. Across the direct coding studies, the most consequential ruptures are not obvious syntax failures; they are </w:t>
      </w:r>
      <w:r>
        <w:rPr>
          <w:b/>
          <w:bCs/>
        </w:rPr>
        <w:t>silent semantic errors, partial or missing-precondition answers, context-loss failures, overcomplicated outputs, and repository-scale misalignment</w:t>
      </w:r>
      <w:r>
        <w:t>, because those failures delay detection and make repair expensive (see Tie et al., Vaithilingam et al., Barke et al., Perry et al., Di &amp; Zhang, Ehsani, and SWE-CI in the comparison table). The best-documented repair strategies are re-prompting, task scaffolding, adding context, manual override, switching tasks/tools, and escalation to outside sources or people; these strategies help, but their success is only moderate in the one study that reports rates in detail, and persistent unhelpful responses strongly predict abandonment. Trust is consistently double-edged: developers often report liking or preferring the assistant even when objective time, success, or security outcomes do not improve, and in security contexts the assistant can increase false confidence. The main research gap is no longer “do failures happen?” but “how quickly are different failures detected, which repair path is chosen, how often does repair actually recover the session, and what delayed regressions appear weeks or months later?”</w:t>
      </w:r>
    </w:p>
    <w:p w14:paraId="13213D43" w14:textId="77777777" w:rsidR="00DA55E9" w:rsidRDefault="00000000">
      <w:pPr>
        <w:pStyle w:val="BodyText"/>
      </w:pPr>
      <w:r>
        <w:t xml:space="preserve">Metadata note: links below prioritize arXiv, DOI, Association for Computing Machinery pages, or the closest already-verified public manuscript page recovered in the earlier scan. Where the earlier verified scan did not recover stable metadata, I mark fields as </w:t>
      </w:r>
      <w:r>
        <w:rPr>
          <w:b/>
          <w:bCs/>
        </w:rPr>
        <w:t>unspecified</w:t>
      </w:r>
      <w:r>
        <w:t xml:space="preserve"> rather than inventing values.</w:t>
      </w:r>
    </w:p>
    <w:p w14:paraId="7D37E9A9" w14:textId="77777777" w:rsidR="00DA55E9" w:rsidRDefault="00000000">
      <w:pPr>
        <w:pStyle w:val="Heading2"/>
      </w:pPr>
      <w:bookmarkStart w:id="4" w:name="comparison-table"/>
      <w:bookmarkEnd w:id="3"/>
      <w:r>
        <w:t>Comparison table</w:t>
      </w:r>
    </w:p>
    <w:p w14:paraId="650BECAE" w14:textId="77777777" w:rsidR="00DA55E9" w:rsidRDefault="00000000">
      <w:pPr>
        <w:pStyle w:val="FirstParagraph"/>
      </w:pPr>
      <w:r>
        <w:t xml:space="preserve">Rows marked </w:t>
      </w:r>
      <w:r>
        <w:rPr>
          <w:b/>
          <w:bCs/>
        </w:rPr>
        <w:t>adjacent</w:t>
      </w:r>
      <w:r>
        <w:t xml:space="preserve"> are included because they provide a repair or working-alliance lens that is useful for coding interaction, not because they are direct coding studies.</w:t>
      </w:r>
    </w:p>
    <w:tbl>
      <w:tblPr>
        <w:tblStyle w:val="Table"/>
        <w:tblW w:w="0" w:type="auto"/>
        <w:tblLook w:val="0020" w:firstRow="1" w:lastRow="0" w:firstColumn="0" w:lastColumn="0" w:noHBand="0" w:noVBand="0"/>
      </w:tblPr>
      <w:tblGrid>
        <w:gridCol w:w="1121"/>
        <w:gridCol w:w="986"/>
        <w:gridCol w:w="985"/>
        <w:gridCol w:w="1265"/>
        <w:gridCol w:w="1014"/>
        <w:gridCol w:w="1048"/>
        <w:gridCol w:w="1780"/>
        <w:gridCol w:w="1377"/>
      </w:tblGrid>
      <w:tr w:rsidR="00DA55E9" w14:paraId="55C6D2B3" w14:textId="77777777" w:rsidTr="00DA55E9">
        <w:trPr>
          <w:cnfStyle w:val="100000000000" w:firstRow="1" w:lastRow="0" w:firstColumn="0" w:lastColumn="0" w:oddVBand="0" w:evenVBand="0" w:oddHBand="0" w:evenHBand="0" w:firstRowFirstColumn="0" w:firstRowLastColumn="0" w:lastRowFirstColumn="0" w:lastRowLastColumn="0"/>
          <w:tblHeader/>
        </w:trPr>
        <w:tc>
          <w:tcPr>
            <w:tcW w:w="0" w:type="auto"/>
          </w:tcPr>
          <w:p w14:paraId="1583CBD2" w14:textId="77777777" w:rsidR="00DA55E9" w:rsidRDefault="00000000">
            <w:pPr>
              <w:pStyle w:val="Compact"/>
            </w:pPr>
            <w:r>
              <w:t>Study</w:t>
            </w:r>
          </w:p>
        </w:tc>
        <w:tc>
          <w:tcPr>
            <w:tcW w:w="0" w:type="auto"/>
          </w:tcPr>
          <w:p w14:paraId="7C2EED62" w14:textId="77777777" w:rsidR="00DA55E9" w:rsidRDefault="00000000">
            <w:pPr>
              <w:pStyle w:val="Compact"/>
            </w:pPr>
            <w:r>
              <w:t>Evidence type</w:t>
            </w:r>
          </w:p>
        </w:tc>
        <w:tc>
          <w:tcPr>
            <w:tcW w:w="0" w:type="auto"/>
          </w:tcPr>
          <w:p w14:paraId="2F55CE5A" w14:textId="77777777" w:rsidR="00DA55E9" w:rsidRDefault="00000000">
            <w:pPr>
              <w:pStyle w:val="Compact"/>
            </w:pPr>
            <w:r>
              <w:t>Citation / link</w:t>
            </w:r>
          </w:p>
        </w:tc>
        <w:tc>
          <w:tcPr>
            <w:tcW w:w="0" w:type="auto"/>
          </w:tcPr>
          <w:p w14:paraId="09DA0F04" w14:textId="77777777" w:rsidR="00DA55E9" w:rsidRDefault="00000000">
            <w:pPr>
              <w:pStyle w:val="Compact"/>
            </w:pPr>
            <w:r>
              <w:t>Study design</w:t>
            </w:r>
          </w:p>
        </w:tc>
        <w:tc>
          <w:tcPr>
            <w:tcW w:w="0" w:type="auto"/>
          </w:tcPr>
          <w:p w14:paraId="0D7EC866" w14:textId="77777777" w:rsidR="00DA55E9" w:rsidRDefault="00000000">
            <w:pPr>
              <w:pStyle w:val="Compact"/>
            </w:pPr>
            <w:r>
              <w:t>Duration</w:t>
            </w:r>
          </w:p>
        </w:tc>
        <w:tc>
          <w:tcPr>
            <w:tcW w:w="0" w:type="auto"/>
          </w:tcPr>
          <w:p w14:paraId="53DAB085" w14:textId="77777777" w:rsidR="00DA55E9" w:rsidRDefault="00000000">
            <w:pPr>
              <w:pStyle w:val="Compact"/>
              <w:jc w:val="right"/>
            </w:pPr>
            <w:r>
              <w:t>n</w:t>
            </w:r>
          </w:p>
        </w:tc>
        <w:tc>
          <w:tcPr>
            <w:tcW w:w="0" w:type="auto"/>
          </w:tcPr>
          <w:p w14:paraId="07B2B264" w14:textId="77777777" w:rsidR="00DA55E9" w:rsidRDefault="00000000">
            <w:pPr>
              <w:pStyle w:val="Compact"/>
            </w:pPr>
            <w:r>
              <w:t>Primary measures</w:t>
            </w:r>
          </w:p>
        </w:tc>
        <w:tc>
          <w:tcPr>
            <w:tcW w:w="0" w:type="auto"/>
          </w:tcPr>
          <w:p w14:paraId="6D725229" w14:textId="77777777" w:rsidR="00DA55E9" w:rsidRDefault="00000000">
            <w:pPr>
              <w:pStyle w:val="Compact"/>
            </w:pPr>
            <w:r>
              <w:t>Key findings on detection, repair, abandonment, trust, and compounding</w:t>
            </w:r>
          </w:p>
        </w:tc>
      </w:tr>
      <w:tr w:rsidR="00DA55E9" w14:paraId="41A333B4" w14:textId="77777777">
        <w:tc>
          <w:tcPr>
            <w:tcW w:w="0" w:type="auto"/>
          </w:tcPr>
          <w:p w14:paraId="478DF4C5" w14:textId="77777777" w:rsidR="00DA55E9" w:rsidRDefault="00000000">
            <w:pPr>
              <w:pStyle w:val="Compact"/>
            </w:pPr>
            <w:r>
              <w:t xml:space="preserve">Tie et al. </w:t>
            </w:r>
            <w:r>
              <w:lastRenderedPageBreak/>
              <w:t xml:space="preserve">preprint, </w:t>
            </w:r>
            <w:r>
              <w:rPr>
                <w:b/>
                <w:bCs/>
              </w:rPr>
              <w:t>“LLMs are Imperfect, Then What? … via Failure Cases”</w:t>
            </w:r>
          </w:p>
        </w:tc>
        <w:tc>
          <w:tcPr>
            <w:tcW w:w="0" w:type="auto"/>
          </w:tcPr>
          <w:p w14:paraId="2BF3F7F1" w14:textId="77777777" w:rsidR="00DA55E9" w:rsidRDefault="00000000">
            <w:pPr>
              <w:pStyle w:val="Compact"/>
            </w:pPr>
            <w:r>
              <w:lastRenderedPageBreak/>
              <w:t>Empiri</w:t>
            </w:r>
            <w:r>
              <w:lastRenderedPageBreak/>
              <w:t>cal</w:t>
            </w:r>
          </w:p>
        </w:tc>
        <w:tc>
          <w:tcPr>
            <w:tcW w:w="0" w:type="auto"/>
          </w:tcPr>
          <w:p w14:paraId="497BB23D" w14:textId="77777777" w:rsidR="00DA55E9" w:rsidRDefault="00000000">
            <w:pPr>
              <w:pStyle w:val="Compact"/>
            </w:pPr>
            <w:hyperlink r:id="rId5">
              <w:r>
                <w:rPr>
                  <w:rStyle w:val="Hyperlink"/>
                </w:rPr>
                <w:t xml:space="preserve">official </w:t>
              </w:r>
              <w:r>
                <w:rPr>
                  <w:rStyle w:val="Hyperlink"/>
                </w:rPr>
                <w:lastRenderedPageBreak/>
                <w:t>preprint</w:t>
              </w:r>
            </w:hyperlink>
          </w:p>
        </w:tc>
        <w:tc>
          <w:tcPr>
            <w:tcW w:w="0" w:type="auto"/>
          </w:tcPr>
          <w:p w14:paraId="2971B843" w14:textId="77777777" w:rsidR="00DA55E9" w:rsidRDefault="00000000">
            <w:pPr>
              <w:pStyle w:val="Compact"/>
            </w:pPr>
            <w:r>
              <w:lastRenderedPageBreak/>
              <w:t>Mixed-</w:t>
            </w:r>
            <w:r>
              <w:lastRenderedPageBreak/>
              <w:t>method user study of coding tasks with ChatGPT-style assistance</w:t>
            </w:r>
          </w:p>
        </w:tc>
        <w:tc>
          <w:tcPr>
            <w:tcW w:w="0" w:type="auto"/>
          </w:tcPr>
          <w:p w14:paraId="0AB69D9D" w14:textId="77777777" w:rsidR="00DA55E9" w:rsidRDefault="00000000">
            <w:pPr>
              <w:pStyle w:val="Compact"/>
            </w:pPr>
            <w:r>
              <w:lastRenderedPageBreak/>
              <w:t>unspec</w:t>
            </w:r>
            <w:r>
              <w:lastRenderedPageBreak/>
              <w:t>ified</w:t>
            </w:r>
          </w:p>
        </w:tc>
        <w:tc>
          <w:tcPr>
            <w:tcW w:w="0" w:type="auto"/>
          </w:tcPr>
          <w:p w14:paraId="1AC93726" w14:textId="77777777" w:rsidR="00DA55E9" w:rsidRDefault="00000000">
            <w:pPr>
              <w:pStyle w:val="Compact"/>
              <w:jc w:val="right"/>
            </w:pPr>
            <w:r>
              <w:lastRenderedPageBreak/>
              <w:t xml:space="preserve">22 </w:t>
            </w:r>
            <w:r>
              <w:lastRenderedPageBreak/>
              <w:t>participants; 138 coded interaction cases</w:t>
            </w:r>
          </w:p>
        </w:tc>
        <w:tc>
          <w:tcPr>
            <w:tcW w:w="0" w:type="auto"/>
          </w:tcPr>
          <w:p w14:paraId="34557F9A" w14:textId="77777777" w:rsidR="00DA55E9" w:rsidRDefault="00000000">
            <w:pPr>
              <w:pStyle w:val="Compact"/>
            </w:pPr>
            <w:r>
              <w:lastRenderedPageBreak/>
              <w:t xml:space="preserve">Helpful vs </w:t>
            </w:r>
            <w:r>
              <w:lastRenderedPageBreak/>
              <w:t>failed responses; failure type; mitigation strategy; outcome/abandonment</w:t>
            </w:r>
          </w:p>
        </w:tc>
        <w:tc>
          <w:tcPr>
            <w:tcW w:w="0" w:type="auto"/>
          </w:tcPr>
          <w:p w14:paraId="4F0D05C5" w14:textId="77777777" w:rsidR="00DA55E9" w:rsidRDefault="00000000">
            <w:pPr>
              <w:pStyle w:val="Compact"/>
            </w:pPr>
            <w:r>
              <w:lastRenderedPageBreak/>
              <w:t xml:space="preserve">Direct </w:t>
            </w:r>
            <w:r>
              <w:lastRenderedPageBreak/>
              <w:t xml:space="preserve">detection latency was </w:t>
            </w:r>
            <w:r>
              <w:rPr>
                <w:b/>
                <w:bCs/>
              </w:rPr>
              <w:t>not instrumented</w:t>
            </w:r>
            <w:r>
              <w:t xml:space="preserve"> as a timestamped measure, but failures were often subtle rather than immediately compiler-visible. In the accessible preprint, 59% of answers were implemented as helpful; 46/138 cases were coded as failures (33%). Common failures </w:t>
            </w:r>
            <w:r>
              <w:lastRenderedPageBreak/>
              <w:t xml:space="preserve">included incomplete answers, overwhelming answers, missing preconditions, overcomplicated answers, and context failures. Repair actions and reported success rates were: further scaffold task 23 cases (52% success), clarify prompt 22 (63%), switch task 17 (47%), add context 15 </w:t>
            </w:r>
            <w:r>
              <w:lastRenderedPageBreak/>
              <w:t>(53%), manually debug 13 (38%), highlight answer error 5 (60%), consult external source 2 (success rate unspecified). The preprint also reports that 15/22 ultimately gave up after unhelpful interactions, while 7 accepted incomplete or suboptimal outcomes.</w:t>
            </w:r>
          </w:p>
        </w:tc>
      </w:tr>
      <w:tr w:rsidR="00DA55E9" w14:paraId="5A6AB3BE" w14:textId="77777777">
        <w:tc>
          <w:tcPr>
            <w:tcW w:w="0" w:type="auto"/>
          </w:tcPr>
          <w:p w14:paraId="2D0351C4" w14:textId="77777777" w:rsidR="00DA55E9" w:rsidRDefault="00000000">
            <w:pPr>
              <w:pStyle w:val="Compact"/>
            </w:pPr>
            <w:r>
              <w:lastRenderedPageBreak/>
              <w:t xml:space="preserve">Tie et al. revised arXiv / </w:t>
            </w:r>
            <w:r>
              <w:lastRenderedPageBreak/>
              <w:t xml:space="preserve">TOSEM version, </w:t>
            </w:r>
            <w:r>
              <w:rPr>
                <w:b/>
                <w:bCs/>
              </w:rPr>
              <w:t>“Should I Give Up Now?”</w:t>
            </w:r>
          </w:p>
        </w:tc>
        <w:tc>
          <w:tcPr>
            <w:tcW w:w="0" w:type="auto"/>
          </w:tcPr>
          <w:p w14:paraId="736489B7" w14:textId="77777777" w:rsidR="00DA55E9" w:rsidRDefault="00000000">
            <w:pPr>
              <w:pStyle w:val="Compact"/>
            </w:pPr>
            <w:r>
              <w:lastRenderedPageBreak/>
              <w:t>Empirical</w:t>
            </w:r>
          </w:p>
        </w:tc>
        <w:tc>
          <w:tcPr>
            <w:tcW w:w="0" w:type="auto"/>
          </w:tcPr>
          <w:p w14:paraId="7304368D" w14:textId="77777777" w:rsidR="00DA55E9" w:rsidRDefault="00000000">
            <w:pPr>
              <w:pStyle w:val="Compact"/>
            </w:pPr>
            <w:r>
              <w:t xml:space="preserve">unspecified in prior </w:t>
            </w:r>
            <w:r>
              <w:lastRenderedPageBreak/>
              <w:t>verified scan</w:t>
            </w:r>
          </w:p>
        </w:tc>
        <w:tc>
          <w:tcPr>
            <w:tcW w:w="0" w:type="auto"/>
          </w:tcPr>
          <w:p w14:paraId="03ADAFD8" w14:textId="77777777" w:rsidR="00DA55E9" w:rsidRDefault="00000000">
            <w:pPr>
              <w:pStyle w:val="Compact"/>
            </w:pPr>
            <w:r>
              <w:lastRenderedPageBreak/>
              <w:t xml:space="preserve">Revised mixed-method </w:t>
            </w:r>
            <w:r>
              <w:lastRenderedPageBreak/>
              <w:t>user study on failure and abandonment in coding interactions</w:t>
            </w:r>
          </w:p>
        </w:tc>
        <w:tc>
          <w:tcPr>
            <w:tcW w:w="0" w:type="auto"/>
          </w:tcPr>
          <w:p w14:paraId="393FA53F" w14:textId="77777777" w:rsidR="00DA55E9" w:rsidRDefault="00000000">
            <w:pPr>
              <w:pStyle w:val="Compact"/>
            </w:pPr>
            <w:r>
              <w:lastRenderedPageBreak/>
              <w:t>unspecified</w:t>
            </w:r>
          </w:p>
        </w:tc>
        <w:tc>
          <w:tcPr>
            <w:tcW w:w="0" w:type="auto"/>
          </w:tcPr>
          <w:p w14:paraId="59B32911" w14:textId="77777777" w:rsidR="00DA55E9" w:rsidRDefault="00000000">
            <w:pPr>
              <w:pStyle w:val="Compact"/>
              <w:jc w:val="right"/>
            </w:pPr>
            <w:r>
              <w:t>26 participants</w:t>
            </w:r>
          </w:p>
        </w:tc>
        <w:tc>
          <w:tcPr>
            <w:tcW w:w="0" w:type="auto"/>
          </w:tcPr>
          <w:p w14:paraId="493B6072" w14:textId="77777777" w:rsidR="00DA55E9" w:rsidRDefault="00000000">
            <w:pPr>
              <w:pStyle w:val="Compact"/>
            </w:pPr>
            <w:r>
              <w:t xml:space="preserve">Failure type; abandonment; prompt count; </w:t>
            </w:r>
            <w:r>
              <w:lastRenderedPageBreak/>
              <w:t>mitigation</w:t>
            </w:r>
          </w:p>
        </w:tc>
        <w:tc>
          <w:tcPr>
            <w:tcW w:w="0" w:type="auto"/>
          </w:tcPr>
          <w:p w14:paraId="05EFC524" w14:textId="77777777" w:rsidR="00DA55E9" w:rsidRDefault="00000000">
            <w:pPr>
              <w:pStyle w:val="Compact"/>
            </w:pPr>
            <w:r>
              <w:lastRenderedPageBreak/>
              <w:t xml:space="preserve">Keeps the same broad </w:t>
            </w:r>
            <w:r>
              <w:lastRenderedPageBreak/>
              <w:t xml:space="preserve">nine-failure framing but emphasizes abandonment more directly. In the revised version described in the earlier verified scan, unhelpful responses increased abandonment likelihood </w:t>
            </w:r>
            <w:r>
              <w:rPr>
                <w:b/>
                <w:bCs/>
              </w:rPr>
              <w:t>11×</w:t>
            </w:r>
            <w:r>
              <w:t xml:space="preserve">, each additional prompt lowered abandonment probability by </w:t>
            </w:r>
            <w:r>
              <w:rPr>
                <w:b/>
                <w:bCs/>
              </w:rPr>
              <w:t>17%</w:t>
            </w:r>
            <w:r>
              <w:t>, and 17/26 participants abandone</w:t>
            </w:r>
            <w:r>
              <w:lastRenderedPageBreak/>
              <w:t xml:space="preserve">d the tool after persistent failures. Direct event-level latency still appears </w:t>
            </w:r>
            <w:r>
              <w:rPr>
                <w:b/>
                <w:bCs/>
              </w:rPr>
              <w:t>under-measured</w:t>
            </w:r>
            <w:r>
              <w:t>; the contribution is strongest on abandonment dynamics rather than timing.</w:t>
            </w:r>
          </w:p>
        </w:tc>
      </w:tr>
      <w:tr w:rsidR="00DA55E9" w14:paraId="473E0FAB" w14:textId="77777777">
        <w:tc>
          <w:tcPr>
            <w:tcW w:w="0" w:type="auto"/>
          </w:tcPr>
          <w:p w14:paraId="4A7E6CAB" w14:textId="77777777" w:rsidR="00DA55E9" w:rsidRDefault="00000000">
            <w:pPr>
              <w:pStyle w:val="Compact"/>
            </w:pPr>
            <w:r>
              <w:lastRenderedPageBreak/>
              <w:t xml:space="preserve">Vaithilingam et al., </w:t>
            </w:r>
            <w:r>
              <w:rPr>
                <w:b/>
                <w:bCs/>
              </w:rPr>
              <w:t xml:space="preserve">“Expectation vs. Experience: Evaluating the Usability of Code </w:t>
            </w:r>
            <w:r>
              <w:rPr>
                <w:b/>
                <w:bCs/>
              </w:rPr>
              <w:lastRenderedPageBreak/>
              <w:t>Generation Tools Powered by Large Language Models”</w:t>
            </w:r>
          </w:p>
        </w:tc>
        <w:tc>
          <w:tcPr>
            <w:tcW w:w="0" w:type="auto"/>
          </w:tcPr>
          <w:p w14:paraId="6F1BC47E" w14:textId="77777777" w:rsidR="00DA55E9" w:rsidRDefault="00000000">
            <w:pPr>
              <w:pStyle w:val="Compact"/>
            </w:pPr>
            <w:r>
              <w:lastRenderedPageBreak/>
              <w:t>Empirical</w:t>
            </w:r>
          </w:p>
        </w:tc>
        <w:tc>
          <w:tcPr>
            <w:tcW w:w="0" w:type="auto"/>
          </w:tcPr>
          <w:p w14:paraId="174E16F4" w14:textId="77777777" w:rsidR="00DA55E9" w:rsidRDefault="00000000">
            <w:pPr>
              <w:pStyle w:val="Compact"/>
            </w:pPr>
            <w:hyperlink r:id="rId6">
              <w:r>
                <w:rPr>
                  <w:rStyle w:val="Hyperlink"/>
                </w:rPr>
                <w:t>public manuscript</w:t>
              </w:r>
            </w:hyperlink>
          </w:p>
        </w:tc>
        <w:tc>
          <w:tcPr>
            <w:tcW w:w="0" w:type="auto"/>
          </w:tcPr>
          <w:p w14:paraId="29D347D0" w14:textId="77777777" w:rsidR="00DA55E9" w:rsidRDefault="00000000">
            <w:pPr>
              <w:pStyle w:val="Compact"/>
            </w:pPr>
            <w:r>
              <w:t>Lab user study comparing Copilot-style assistance with conventional completion</w:t>
            </w:r>
          </w:p>
        </w:tc>
        <w:tc>
          <w:tcPr>
            <w:tcW w:w="0" w:type="auto"/>
          </w:tcPr>
          <w:p w14:paraId="2976C0BE" w14:textId="77777777" w:rsidR="00DA55E9" w:rsidRDefault="00000000">
            <w:pPr>
              <w:pStyle w:val="Compact"/>
            </w:pPr>
            <w:r>
              <w:t>unspecified</w:t>
            </w:r>
          </w:p>
        </w:tc>
        <w:tc>
          <w:tcPr>
            <w:tcW w:w="0" w:type="auto"/>
          </w:tcPr>
          <w:p w14:paraId="4BCD0C1E" w14:textId="77777777" w:rsidR="00DA55E9" w:rsidRDefault="00000000">
            <w:pPr>
              <w:pStyle w:val="Compact"/>
              <w:jc w:val="right"/>
            </w:pPr>
            <w:r>
              <w:t>24 participants</w:t>
            </w:r>
          </w:p>
        </w:tc>
        <w:tc>
          <w:tcPr>
            <w:tcW w:w="0" w:type="auto"/>
          </w:tcPr>
          <w:p w14:paraId="1456C599" w14:textId="77777777" w:rsidR="00DA55E9" w:rsidRDefault="00000000">
            <w:pPr>
              <w:pStyle w:val="Compact"/>
            </w:pPr>
            <w:r>
              <w:t>Completion time; task success; preference; debugging/repair behavior</w:t>
            </w:r>
          </w:p>
        </w:tc>
        <w:tc>
          <w:tcPr>
            <w:tcW w:w="0" w:type="auto"/>
          </w:tcPr>
          <w:p w14:paraId="5FE74B3B" w14:textId="77777777" w:rsidR="00DA55E9" w:rsidRDefault="00000000">
            <w:pPr>
              <w:pStyle w:val="Compact"/>
            </w:pPr>
            <w:r>
              <w:t xml:space="preserve">Did </w:t>
            </w:r>
            <w:r>
              <w:rPr>
                <w:b/>
                <w:bCs/>
              </w:rPr>
              <w:t>not</w:t>
            </w:r>
            <w:r>
              <w:t xml:space="preserve"> find significant improvement in completion time or success rate, despite high subjective preference</w:t>
            </w:r>
            <w:r>
              <w:lastRenderedPageBreak/>
              <w:t xml:space="preserve">. 19/24 preferred the assistant, and 23/24 found it more helpful than IntelliSense-like completion. Among the assistant-side failures, 3 of 5 produced lengthy debugging rabbit holes. Twelve participants attempted to repair incorrect generated code, but many found repair </w:t>
            </w:r>
            <w:r>
              <w:lastRenderedPageBreak/>
              <w:t>difficult because they had not authored the code; 7 said they would rather discard and rewrite than repair. Detection often occurred only after time-consuming debugging, indicating latency in recognizing the true repair burden.</w:t>
            </w:r>
          </w:p>
        </w:tc>
      </w:tr>
      <w:tr w:rsidR="00DA55E9" w14:paraId="0C47E20F" w14:textId="77777777">
        <w:tc>
          <w:tcPr>
            <w:tcW w:w="0" w:type="auto"/>
          </w:tcPr>
          <w:p w14:paraId="32EBE8EA" w14:textId="77777777" w:rsidR="00DA55E9" w:rsidRDefault="00000000">
            <w:pPr>
              <w:pStyle w:val="Compact"/>
            </w:pPr>
            <w:r>
              <w:lastRenderedPageBreak/>
              <w:t xml:space="preserve">Barke et al., </w:t>
            </w:r>
            <w:r>
              <w:rPr>
                <w:b/>
                <w:bCs/>
              </w:rPr>
              <w:t>Grounded Copilot</w:t>
            </w:r>
          </w:p>
        </w:tc>
        <w:tc>
          <w:tcPr>
            <w:tcW w:w="0" w:type="auto"/>
          </w:tcPr>
          <w:p w14:paraId="1F533206" w14:textId="77777777" w:rsidR="00DA55E9" w:rsidRDefault="00000000">
            <w:pPr>
              <w:pStyle w:val="Compact"/>
            </w:pPr>
            <w:r>
              <w:t>Empirical</w:t>
            </w:r>
          </w:p>
        </w:tc>
        <w:tc>
          <w:tcPr>
            <w:tcW w:w="0" w:type="auto"/>
          </w:tcPr>
          <w:p w14:paraId="55B2E1ED" w14:textId="77777777" w:rsidR="00DA55E9" w:rsidRDefault="00000000">
            <w:pPr>
              <w:pStyle w:val="Compact"/>
            </w:pPr>
            <w:hyperlink r:id="rId7">
              <w:r>
                <w:rPr>
                  <w:rStyle w:val="Hyperlink"/>
                </w:rPr>
                <w:t>public manuscript</w:t>
              </w:r>
            </w:hyperlink>
          </w:p>
        </w:tc>
        <w:tc>
          <w:tcPr>
            <w:tcW w:w="0" w:type="auto"/>
          </w:tcPr>
          <w:p w14:paraId="4A922175" w14:textId="77777777" w:rsidR="00DA55E9" w:rsidRDefault="00000000">
            <w:pPr>
              <w:pStyle w:val="Compact"/>
            </w:pPr>
            <w:r>
              <w:t xml:space="preserve">Think-aloud lab study / qualitative interaction analysis </w:t>
            </w:r>
            <w:r>
              <w:lastRenderedPageBreak/>
              <w:t>of programmers using code-generating models</w:t>
            </w:r>
          </w:p>
        </w:tc>
        <w:tc>
          <w:tcPr>
            <w:tcW w:w="0" w:type="auto"/>
          </w:tcPr>
          <w:p w14:paraId="631A4F9B" w14:textId="77777777" w:rsidR="00DA55E9" w:rsidRDefault="00000000">
            <w:pPr>
              <w:pStyle w:val="Compact"/>
            </w:pPr>
            <w:r>
              <w:lastRenderedPageBreak/>
              <w:t>unspecified</w:t>
            </w:r>
          </w:p>
        </w:tc>
        <w:tc>
          <w:tcPr>
            <w:tcW w:w="0" w:type="auto"/>
          </w:tcPr>
          <w:p w14:paraId="036CDFCE" w14:textId="77777777" w:rsidR="00DA55E9" w:rsidRDefault="00000000">
            <w:pPr>
              <w:pStyle w:val="Compact"/>
              <w:jc w:val="right"/>
            </w:pPr>
            <w:r>
              <w:t>20 participants</w:t>
            </w:r>
          </w:p>
        </w:tc>
        <w:tc>
          <w:tcPr>
            <w:tcW w:w="0" w:type="auto"/>
          </w:tcPr>
          <w:p w14:paraId="02D283EF" w14:textId="77777777" w:rsidR="00DA55E9" w:rsidRDefault="00000000">
            <w:pPr>
              <w:pStyle w:val="Compact"/>
            </w:pPr>
            <w:r>
              <w:t>Prompting behavior; validation behavior; interaction mode; time allocation</w:t>
            </w:r>
          </w:p>
        </w:tc>
        <w:tc>
          <w:tcPr>
            <w:tcW w:w="0" w:type="auto"/>
          </w:tcPr>
          <w:p w14:paraId="611C0DBC" w14:textId="77777777" w:rsidR="00DA55E9" w:rsidRDefault="00000000">
            <w:pPr>
              <w:pStyle w:val="Compact"/>
            </w:pPr>
            <w:r>
              <w:t xml:space="preserve">The paper distinguishes </w:t>
            </w:r>
            <w:r>
              <w:rPr>
                <w:b/>
                <w:bCs/>
              </w:rPr>
              <w:t>acceleration</w:t>
            </w:r>
            <w:r>
              <w:t xml:space="preserve"> and </w:t>
            </w:r>
            <w:r>
              <w:rPr>
                <w:b/>
                <w:bCs/>
              </w:rPr>
              <w:t>exploration</w:t>
            </w:r>
            <w:r>
              <w:t xml:space="preserve"> modes. </w:t>
            </w:r>
            <w:r>
              <w:lastRenderedPageBreak/>
              <w:t xml:space="preserve">Exploration mode consumed 248.6 total minutes versus 104.7 minutes in acceleration mode, indicating slower and more inspection-heavy detection when users were uncertain or working with unfamiliar APIs. Detection channels included execution, careful code reading, and documentation lookup. </w:t>
            </w:r>
            <w:r>
              <w:lastRenderedPageBreak/>
              <w:t xml:space="preserve">Participants reported that errors in generated code could be harder to spot than errors in self-written code. Small early suggestion mistakes produced long detours, showing a clear compounding-failure mechanism. Repair centered on re-prompting and external validation, but users wanted stronger support for </w:t>
            </w:r>
            <w:r>
              <w:lastRenderedPageBreak/>
              <w:t>comparing alternatives and validating suggestions.</w:t>
            </w:r>
          </w:p>
        </w:tc>
      </w:tr>
      <w:tr w:rsidR="00DA55E9" w14:paraId="5692E709" w14:textId="77777777">
        <w:tc>
          <w:tcPr>
            <w:tcW w:w="0" w:type="auto"/>
          </w:tcPr>
          <w:p w14:paraId="3CB80E20" w14:textId="77777777" w:rsidR="00DA55E9" w:rsidRDefault="00000000">
            <w:pPr>
              <w:pStyle w:val="Compact"/>
            </w:pPr>
            <w:r>
              <w:lastRenderedPageBreak/>
              <w:t xml:space="preserve">Perry et al., </w:t>
            </w:r>
            <w:r>
              <w:rPr>
                <w:b/>
                <w:bCs/>
              </w:rPr>
              <w:t>“Do Users Write More Insecure Code with AI Assistants?”</w:t>
            </w:r>
          </w:p>
        </w:tc>
        <w:tc>
          <w:tcPr>
            <w:tcW w:w="0" w:type="auto"/>
          </w:tcPr>
          <w:p w14:paraId="7C02AFB2" w14:textId="77777777" w:rsidR="00DA55E9" w:rsidRDefault="00000000">
            <w:pPr>
              <w:pStyle w:val="Compact"/>
            </w:pPr>
            <w:r>
              <w:t>Empirical</w:t>
            </w:r>
          </w:p>
        </w:tc>
        <w:tc>
          <w:tcPr>
            <w:tcW w:w="0" w:type="auto"/>
          </w:tcPr>
          <w:p w14:paraId="0E1B4A36" w14:textId="77777777" w:rsidR="00DA55E9" w:rsidRDefault="00000000">
            <w:pPr>
              <w:pStyle w:val="Compact"/>
            </w:pPr>
            <w:hyperlink r:id="rId8">
              <w:r>
                <w:rPr>
                  <w:rStyle w:val="Hyperlink"/>
                </w:rPr>
                <w:t>public manuscript</w:t>
              </w:r>
            </w:hyperlink>
          </w:p>
        </w:tc>
        <w:tc>
          <w:tcPr>
            <w:tcW w:w="0" w:type="auto"/>
          </w:tcPr>
          <w:p w14:paraId="47FAA78C" w14:textId="77777777" w:rsidR="00DA55E9" w:rsidRDefault="00000000">
            <w:pPr>
              <w:pStyle w:val="Compact"/>
            </w:pPr>
            <w:r>
              <w:t>User study on secure-coding tasks with and without AI assistance</w:t>
            </w:r>
          </w:p>
        </w:tc>
        <w:tc>
          <w:tcPr>
            <w:tcW w:w="0" w:type="auto"/>
          </w:tcPr>
          <w:p w14:paraId="75FA8CF5" w14:textId="77777777" w:rsidR="00DA55E9" w:rsidRDefault="00000000">
            <w:pPr>
              <w:pStyle w:val="Compact"/>
            </w:pPr>
            <w:r>
              <w:t>unspecified</w:t>
            </w:r>
          </w:p>
        </w:tc>
        <w:tc>
          <w:tcPr>
            <w:tcW w:w="0" w:type="auto"/>
          </w:tcPr>
          <w:p w14:paraId="27FE90CF" w14:textId="77777777" w:rsidR="00DA55E9" w:rsidRDefault="00000000">
            <w:pPr>
              <w:pStyle w:val="Compact"/>
              <w:jc w:val="right"/>
            </w:pPr>
            <w:r>
              <w:t>47 participants</w:t>
            </w:r>
          </w:p>
        </w:tc>
        <w:tc>
          <w:tcPr>
            <w:tcW w:w="0" w:type="auto"/>
          </w:tcPr>
          <w:p w14:paraId="6C062E23" w14:textId="77777777" w:rsidR="00DA55E9" w:rsidRDefault="00000000">
            <w:pPr>
              <w:pStyle w:val="Compact"/>
            </w:pPr>
            <w:r>
              <w:t>Vulnerability prevalence; perceived security; interaction behavior</w:t>
            </w:r>
          </w:p>
        </w:tc>
        <w:tc>
          <w:tcPr>
            <w:tcW w:w="0" w:type="auto"/>
          </w:tcPr>
          <w:p w14:paraId="4424E5DB" w14:textId="77777777" w:rsidR="00DA55E9" w:rsidRDefault="00000000">
            <w:pPr>
              <w:pStyle w:val="Compact"/>
            </w:pPr>
            <w:r>
              <w:t xml:space="preserve">Security failures were often </w:t>
            </w:r>
            <w:r>
              <w:rPr>
                <w:b/>
                <w:bCs/>
              </w:rPr>
              <w:t>silent</w:t>
            </w:r>
            <w:r>
              <w:t xml:space="preserve">: participants with AI assistance produced less secure code and were more likely to believe their code was secure. Lower trust in the AI and more active prompt/setting management were associated with fewer </w:t>
            </w:r>
            <w:r>
              <w:lastRenderedPageBreak/>
              <w:t xml:space="preserve">vulnerabilities. This is strong evidence that rupture detection is partly a </w:t>
            </w:r>
            <w:r>
              <w:rPr>
                <w:b/>
                <w:bCs/>
              </w:rPr>
              <w:t>trust-calibration</w:t>
            </w:r>
            <w:r>
              <w:t xml:space="preserve"> problem: the same output can be scrutinized or waved through depending on users’ confidence in the tool.</w:t>
            </w:r>
          </w:p>
        </w:tc>
      </w:tr>
      <w:tr w:rsidR="00DA55E9" w14:paraId="057E04FF" w14:textId="77777777">
        <w:tc>
          <w:tcPr>
            <w:tcW w:w="0" w:type="auto"/>
          </w:tcPr>
          <w:p w14:paraId="5CB6345C" w14:textId="77777777" w:rsidR="00DA55E9" w:rsidRDefault="00000000">
            <w:pPr>
              <w:pStyle w:val="Compact"/>
            </w:pPr>
            <w:r>
              <w:lastRenderedPageBreak/>
              <w:t>Di &amp; Zhang, mutual-grounding interface for code generation repair</w:t>
            </w:r>
          </w:p>
        </w:tc>
        <w:tc>
          <w:tcPr>
            <w:tcW w:w="0" w:type="auto"/>
          </w:tcPr>
          <w:p w14:paraId="5503A36F" w14:textId="77777777" w:rsidR="00DA55E9" w:rsidRDefault="00000000">
            <w:pPr>
              <w:pStyle w:val="Compact"/>
            </w:pPr>
            <w:r>
              <w:t>Empirical</w:t>
            </w:r>
          </w:p>
        </w:tc>
        <w:tc>
          <w:tcPr>
            <w:tcW w:w="0" w:type="auto"/>
          </w:tcPr>
          <w:p w14:paraId="07A1B664" w14:textId="77777777" w:rsidR="00DA55E9" w:rsidRDefault="00000000">
            <w:pPr>
              <w:pStyle w:val="Compact"/>
            </w:pPr>
            <w:hyperlink r:id="rId9">
              <w:r>
                <w:rPr>
                  <w:rStyle w:val="Hyperlink"/>
                </w:rPr>
                <w:t>official page</w:t>
              </w:r>
            </w:hyperlink>
          </w:p>
        </w:tc>
        <w:tc>
          <w:tcPr>
            <w:tcW w:w="0" w:type="auto"/>
          </w:tcPr>
          <w:p w14:paraId="61DEBE5E" w14:textId="77777777" w:rsidR="00DA55E9" w:rsidRDefault="00000000">
            <w:pPr>
              <w:pStyle w:val="Compact"/>
            </w:pPr>
            <w:r>
              <w:t>Comparative lab study of a grounding-aware repair interface versus Copilot-style or multi-turn baselines</w:t>
            </w:r>
          </w:p>
        </w:tc>
        <w:tc>
          <w:tcPr>
            <w:tcW w:w="0" w:type="auto"/>
          </w:tcPr>
          <w:p w14:paraId="393A0426" w14:textId="77777777" w:rsidR="00DA55E9" w:rsidRDefault="00000000">
            <w:pPr>
              <w:pStyle w:val="Compact"/>
            </w:pPr>
            <w:r>
              <w:t>unspecified</w:t>
            </w:r>
          </w:p>
        </w:tc>
        <w:tc>
          <w:tcPr>
            <w:tcW w:w="0" w:type="auto"/>
          </w:tcPr>
          <w:p w14:paraId="01BE0425" w14:textId="77777777" w:rsidR="00DA55E9" w:rsidRDefault="00000000">
            <w:pPr>
              <w:pStyle w:val="Compact"/>
              <w:jc w:val="right"/>
            </w:pPr>
            <w:r>
              <w:t>12 participants</w:t>
            </w:r>
          </w:p>
        </w:tc>
        <w:tc>
          <w:tcPr>
            <w:tcW w:w="0" w:type="auto"/>
          </w:tcPr>
          <w:p w14:paraId="71B1A6DA" w14:textId="77777777" w:rsidR="00DA55E9" w:rsidRDefault="00000000">
            <w:pPr>
              <w:pStyle w:val="Compact"/>
            </w:pPr>
            <w:r>
              <w:t>Completion time; task success; confidence; interaction with grounding interface</w:t>
            </w:r>
          </w:p>
        </w:tc>
        <w:tc>
          <w:tcPr>
            <w:tcW w:w="0" w:type="auto"/>
          </w:tcPr>
          <w:p w14:paraId="475AE7DE" w14:textId="77777777" w:rsidR="00DA55E9" w:rsidRDefault="00000000">
            <w:pPr>
              <w:pStyle w:val="Compact"/>
            </w:pPr>
            <w:r>
              <w:t xml:space="preserve">The interface turns code generation into a </w:t>
            </w:r>
            <w:r>
              <w:rPr>
                <w:b/>
                <w:bCs/>
              </w:rPr>
              <w:t>mutual-grounding</w:t>
            </w:r>
            <w:r>
              <w:t xml:space="preserve"> process using comments and editable </w:t>
            </w:r>
            <w:r>
              <w:lastRenderedPageBreak/>
              <w:t xml:space="preserve">feedback, making failures easier to localize and repair. Reported results were 16.7% faster completion and 10.5% higher task success than the compared baselines, along with improved confidence. This is the clearest direct evidence that repair affordances can be designed into the interaction loop rather </w:t>
            </w:r>
            <w:r>
              <w:lastRenderedPageBreak/>
              <w:t>than left to ad hoc re-prompting or manual debugging.</w:t>
            </w:r>
          </w:p>
        </w:tc>
      </w:tr>
      <w:tr w:rsidR="00DA55E9" w14:paraId="25E64230" w14:textId="77777777">
        <w:tc>
          <w:tcPr>
            <w:tcW w:w="0" w:type="auto"/>
          </w:tcPr>
          <w:p w14:paraId="4E9259D7" w14:textId="77777777" w:rsidR="00DA55E9" w:rsidRDefault="00000000">
            <w:pPr>
              <w:pStyle w:val="Compact"/>
            </w:pPr>
            <w:r>
              <w:lastRenderedPageBreak/>
              <w:t>Pütz &amp; Esposito, conversation-analytic repair framework for ChatGPT interaction</w:t>
            </w:r>
          </w:p>
        </w:tc>
        <w:tc>
          <w:tcPr>
            <w:tcW w:w="0" w:type="auto"/>
          </w:tcPr>
          <w:p w14:paraId="5F8D7794" w14:textId="77777777" w:rsidR="00DA55E9" w:rsidRDefault="00000000">
            <w:pPr>
              <w:pStyle w:val="Compact"/>
            </w:pPr>
            <w:r>
              <w:t>Conceptual / qualitative adjacent</w:t>
            </w:r>
          </w:p>
        </w:tc>
        <w:tc>
          <w:tcPr>
            <w:tcW w:w="0" w:type="auto"/>
          </w:tcPr>
          <w:p w14:paraId="513146E0" w14:textId="77777777" w:rsidR="00DA55E9" w:rsidRDefault="00000000">
            <w:pPr>
              <w:pStyle w:val="Compact"/>
            </w:pPr>
            <w:hyperlink r:id="rId10">
              <w:r>
                <w:rPr>
                  <w:rStyle w:val="Hyperlink"/>
                </w:rPr>
                <w:t>official DOI</w:t>
              </w:r>
            </w:hyperlink>
          </w:p>
        </w:tc>
        <w:tc>
          <w:tcPr>
            <w:tcW w:w="0" w:type="auto"/>
          </w:tcPr>
          <w:p w14:paraId="6A78DE9B" w14:textId="77777777" w:rsidR="00DA55E9" w:rsidRDefault="00000000">
            <w:pPr>
              <w:pStyle w:val="Compact"/>
            </w:pPr>
            <w:r>
              <w:t>Conversation-analytic account of repair in human-ChatGPT interaction</w:t>
            </w:r>
          </w:p>
        </w:tc>
        <w:tc>
          <w:tcPr>
            <w:tcW w:w="0" w:type="auto"/>
          </w:tcPr>
          <w:p w14:paraId="3A00DB57" w14:textId="77777777" w:rsidR="00DA55E9" w:rsidRDefault="00000000">
            <w:pPr>
              <w:pStyle w:val="Compact"/>
            </w:pPr>
            <w:r>
              <w:t>unspecified</w:t>
            </w:r>
          </w:p>
        </w:tc>
        <w:tc>
          <w:tcPr>
            <w:tcW w:w="0" w:type="auto"/>
          </w:tcPr>
          <w:p w14:paraId="4DEB7C2F" w14:textId="77777777" w:rsidR="00DA55E9" w:rsidRDefault="00000000">
            <w:pPr>
              <w:pStyle w:val="Compact"/>
              <w:jc w:val="right"/>
            </w:pPr>
            <w:r>
              <w:t>unspecified</w:t>
            </w:r>
          </w:p>
        </w:tc>
        <w:tc>
          <w:tcPr>
            <w:tcW w:w="0" w:type="auto"/>
          </w:tcPr>
          <w:p w14:paraId="5E080046" w14:textId="77777777" w:rsidR="00DA55E9" w:rsidRDefault="00000000">
            <w:pPr>
              <w:pStyle w:val="Compact"/>
            </w:pPr>
            <w:r>
              <w:t>Repair organization; accountability; conversational breakdowns</w:t>
            </w:r>
          </w:p>
        </w:tc>
        <w:tc>
          <w:tcPr>
            <w:tcW w:w="0" w:type="auto"/>
          </w:tcPr>
          <w:p w14:paraId="73FF582A" w14:textId="77777777" w:rsidR="00DA55E9" w:rsidRDefault="00000000">
            <w:pPr>
              <w:pStyle w:val="Compact"/>
            </w:pPr>
            <w:r>
              <w:t xml:space="preserve">Not a coding study, but directly relevant as a rupture lens. The paper argues that the system can appear competent in repair sequences while the </w:t>
            </w:r>
            <w:r>
              <w:rPr>
                <w:b/>
                <w:bCs/>
              </w:rPr>
              <w:t>user still supplies most of the real repair labor</w:t>
            </w:r>
            <w:r>
              <w:t xml:space="preserve">. For coding, this helps explain why many “fixes” feel interactive </w:t>
            </w:r>
            <w:r>
              <w:lastRenderedPageBreak/>
              <w:t>while the burden of diagnosis, grounding, and accountability remains asymmetrically human.</w:t>
            </w:r>
          </w:p>
        </w:tc>
      </w:tr>
      <w:tr w:rsidR="00DA55E9" w14:paraId="4DE1116A" w14:textId="77777777">
        <w:tc>
          <w:tcPr>
            <w:tcW w:w="0" w:type="auto"/>
          </w:tcPr>
          <w:p w14:paraId="0D85F9BE" w14:textId="77777777" w:rsidR="00DA55E9" w:rsidRDefault="00000000">
            <w:pPr>
              <w:pStyle w:val="Compact"/>
            </w:pPr>
            <w:r>
              <w:lastRenderedPageBreak/>
              <w:t>Stevens et al., repair taxonomy for generative-AI breakdowns</w:t>
            </w:r>
          </w:p>
        </w:tc>
        <w:tc>
          <w:tcPr>
            <w:tcW w:w="0" w:type="auto"/>
          </w:tcPr>
          <w:p w14:paraId="67CA9A61" w14:textId="77777777" w:rsidR="00DA55E9" w:rsidRDefault="00000000">
            <w:pPr>
              <w:pStyle w:val="Compact"/>
            </w:pPr>
            <w:r>
              <w:t>Empirical / conceptual adjacent</w:t>
            </w:r>
          </w:p>
        </w:tc>
        <w:tc>
          <w:tcPr>
            <w:tcW w:w="0" w:type="auto"/>
          </w:tcPr>
          <w:p w14:paraId="62916975" w14:textId="77777777" w:rsidR="00DA55E9" w:rsidRDefault="00000000">
            <w:pPr>
              <w:pStyle w:val="Compact"/>
            </w:pPr>
            <w:r>
              <w:t>unspecified in prior verified scan</w:t>
            </w:r>
          </w:p>
        </w:tc>
        <w:tc>
          <w:tcPr>
            <w:tcW w:w="0" w:type="auto"/>
          </w:tcPr>
          <w:p w14:paraId="7F878EC2" w14:textId="77777777" w:rsidR="00DA55E9" w:rsidRDefault="00000000">
            <w:pPr>
              <w:pStyle w:val="Compact"/>
            </w:pPr>
            <w:r>
              <w:t>Qualitative analysis of real-world generative-AI chat transcripts</w:t>
            </w:r>
          </w:p>
        </w:tc>
        <w:tc>
          <w:tcPr>
            <w:tcW w:w="0" w:type="auto"/>
          </w:tcPr>
          <w:p w14:paraId="0E7C9FD7" w14:textId="77777777" w:rsidR="00DA55E9" w:rsidRDefault="00000000">
            <w:pPr>
              <w:pStyle w:val="Compact"/>
            </w:pPr>
            <w:r>
              <w:t>unspecified</w:t>
            </w:r>
          </w:p>
        </w:tc>
        <w:tc>
          <w:tcPr>
            <w:tcW w:w="0" w:type="auto"/>
          </w:tcPr>
          <w:p w14:paraId="5E0CBC37" w14:textId="77777777" w:rsidR="00DA55E9" w:rsidRDefault="00000000">
            <w:pPr>
              <w:pStyle w:val="Compact"/>
              <w:jc w:val="right"/>
            </w:pPr>
            <w:r>
              <w:t>21 transcripts</w:t>
            </w:r>
          </w:p>
        </w:tc>
        <w:tc>
          <w:tcPr>
            <w:tcW w:w="0" w:type="auto"/>
          </w:tcPr>
          <w:p w14:paraId="299D8444" w14:textId="77777777" w:rsidR="00DA55E9" w:rsidRDefault="00000000">
            <w:pPr>
              <w:pStyle w:val="Compact"/>
            </w:pPr>
            <w:r>
              <w:t>Repair initiators; repair processes; breakdown taxonomy</w:t>
            </w:r>
          </w:p>
        </w:tc>
        <w:tc>
          <w:tcPr>
            <w:tcW w:w="0" w:type="auto"/>
          </w:tcPr>
          <w:p w14:paraId="1AE7E8F7" w14:textId="77777777" w:rsidR="00DA55E9" w:rsidRDefault="00000000">
            <w:pPr>
              <w:pStyle w:val="Compact"/>
            </w:pPr>
            <w:r>
              <w:t xml:space="preserve">Identifies six classes of repair initiators and three broad repair processes: </w:t>
            </w:r>
            <w:r>
              <w:rPr>
                <w:b/>
                <w:bCs/>
              </w:rPr>
              <w:t>incremental</w:t>
            </w:r>
            <w:r>
              <w:t xml:space="preserve">, </w:t>
            </w:r>
            <w:r>
              <w:rPr>
                <w:b/>
                <w:bCs/>
              </w:rPr>
              <w:t>grounding</w:t>
            </w:r>
            <w:r>
              <w:t xml:space="preserve">, and </w:t>
            </w:r>
            <w:r>
              <w:rPr>
                <w:b/>
                <w:bCs/>
              </w:rPr>
              <w:t>validating</w:t>
            </w:r>
            <w:r>
              <w:t xml:space="preserve"> repair. Its main value for coding is the explicit recognition that external validators, such as </w:t>
            </w:r>
            <w:r>
              <w:lastRenderedPageBreak/>
              <w:t>tools and reference artifacts, are often what actually surface silent failures. This is a strong conceptual bridge to test/CI-driven coding environments.</w:t>
            </w:r>
          </w:p>
        </w:tc>
      </w:tr>
      <w:tr w:rsidR="00DA55E9" w14:paraId="0578D149" w14:textId="77777777">
        <w:tc>
          <w:tcPr>
            <w:tcW w:w="0" w:type="auto"/>
          </w:tcPr>
          <w:p w14:paraId="4E65E680" w14:textId="77777777" w:rsidR="00DA55E9" w:rsidRDefault="00000000">
            <w:pPr>
              <w:pStyle w:val="Compact"/>
            </w:pPr>
            <w:r>
              <w:lastRenderedPageBreak/>
              <w:t>CanRelax working-alliance study</w:t>
            </w:r>
          </w:p>
        </w:tc>
        <w:tc>
          <w:tcPr>
            <w:tcW w:w="0" w:type="auto"/>
          </w:tcPr>
          <w:p w14:paraId="364891EB" w14:textId="77777777" w:rsidR="00DA55E9" w:rsidRDefault="00000000">
            <w:pPr>
              <w:pStyle w:val="Compact"/>
            </w:pPr>
            <w:r>
              <w:t>Empirical adjacent</w:t>
            </w:r>
          </w:p>
        </w:tc>
        <w:tc>
          <w:tcPr>
            <w:tcW w:w="0" w:type="auto"/>
          </w:tcPr>
          <w:p w14:paraId="1912C0E9" w14:textId="77777777" w:rsidR="00DA55E9" w:rsidRDefault="00000000">
            <w:pPr>
              <w:pStyle w:val="Compact"/>
            </w:pPr>
            <w:hyperlink r:id="rId11">
              <w:r>
                <w:rPr>
                  <w:rStyle w:val="Hyperlink"/>
                </w:rPr>
                <w:t>official page</w:t>
              </w:r>
            </w:hyperlink>
          </w:p>
        </w:tc>
        <w:tc>
          <w:tcPr>
            <w:tcW w:w="0" w:type="auto"/>
          </w:tcPr>
          <w:p w14:paraId="7F7F6AA1" w14:textId="77777777" w:rsidR="00DA55E9" w:rsidRDefault="00000000">
            <w:pPr>
              <w:pStyle w:val="Compact"/>
            </w:pPr>
            <w:r>
              <w:t>Conversational-agent intervention study outside coding</w:t>
            </w:r>
          </w:p>
        </w:tc>
        <w:tc>
          <w:tcPr>
            <w:tcW w:w="0" w:type="auto"/>
          </w:tcPr>
          <w:p w14:paraId="562AA756" w14:textId="77777777" w:rsidR="00DA55E9" w:rsidRDefault="00000000">
            <w:pPr>
              <w:pStyle w:val="Compact"/>
            </w:pPr>
            <w:r>
              <w:t>unspecified</w:t>
            </w:r>
          </w:p>
        </w:tc>
        <w:tc>
          <w:tcPr>
            <w:tcW w:w="0" w:type="auto"/>
          </w:tcPr>
          <w:p w14:paraId="3D626A08" w14:textId="77777777" w:rsidR="00DA55E9" w:rsidRDefault="00000000">
            <w:pPr>
              <w:pStyle w:val="Compact"/>
              <w:jc w:val="right"/>
            </w:pPr>
            <w:r>
              <w:t>unspecified</w:t>
            </w:r>
          </w:p>
        </w:tc>
        <w:tc>
          <w:tcPr>
            <w:tcW w:w="0" w:type="auto"/>
          </w:tcPr>
          <w:p w14:paraId="038A7BF1" w14:textId="77777777" w:rsidR="00DA55E9" w:rsidRDefault="00000000">
            <w:pPr>
              <w:pStyle w:val="Compact"/>
            </w:pPr>
            <w:r>
              <w:t>Working alliance; intervention outcomes</w:t>
            </w:r>
          </w:p>
        </w:tc>
        <w:tc>
          <w:tcPr>
            <w:tcW w:w="0" w:type="auto"/>
          </w:tcPr>
          <w:p w14:paraId="72C18784" w14:textId="77777777" w:rsidR="00DA55E9" w:rsidRDefault="00000000">
            <w:pPr>
              <w:pStyle w:val="Compact"/>
            </w:pPr>
            <w:r>
              <w:t xml:space="preserve">Not a coding paper, but useful for operationalizing alliance. Stronger alliance showed a modest association with better outcomes, and </w:t>
            </w:r>
            <w:r>
              <w:rPr>
                <w:b/>
                <w:bCs/>
              </w:rPr>
              <w:lastRenderedPageBreak/>
              <w:t>task/goal agreement mattered more than bond</w:t>
            </w:r>
            <w:r>
              <w:t xml:space="preserve"> in the overall sample. For coding interaction, this implies that “alliance” should be measured primarily as shared task model and constraint alignment, not interpersonal warmth.</w:t>
            </w:r>
          </w:p>
        </w:tc>
      </w:tr>
      <w:tr w:rsidR="00DA55E9" w14:paraId="6FC11731" w14:textId="77777777">
        <w:tc>
          <w:tcPr>
            <w:tcW w:w="0" w:type="auto"/>
          </w:tcPr>
          <w:p w14:paraId="07019A71" w14:textId="77777777" w:rsidR="00DA55E9" w:rsidRDefault="00000000">
            <w:pPr>
              <w:pStyle w:val="Compact"/>
            </w:pPr>
            <w:r>
              <w:lastRenderedPageBreak/>
              <w:t>Ehsani et al., field study of failed AI-generated pull request</w:t>
            </w:r>
            <w:r>
              <w:lastRenderedPageBreak/>
              <w:t>s</w:t>
            </w:r>
          </w:p>
        </w:tc>
        <w:tc>
          <w:tcPr>
            <w:tcW w:w="0" w:type="auto"/>
          </w:tcPr>
          <w:p w14:paraId="638E8803" w14:textId="77777777" w:rsidR="00DA55E9" w:rsidRDefault="00000000">
            <w:pPr>
              <w:pStyle w:val="Compact"/>
            </w:pPr>
            <w:r>
              <w:lastRenderedPageBreak/>
              <w:t>Empirical</w:t>
            </w:r>
          </w:p>
        </w:tc>
        <w:tc>
          <w:tcPr>
            <w:tcW w:w="0" w:type="auto"/>
          </w:tcPr>
          <w:p w14:paraId="6E04C64F" w14:textId="77777777" w:rsidR="00DA55E9" w:rsidRDefault="00000000">
            <w:pPr>
              <w:pStyle w:val="Compact"/>
            </w:pPr>
            <w:r>
              <w:t>unspecified in prior verified scan</w:t>
            </w:r>
          </w:p>
        </w:tc>
        <w:tc>
          <w:tcPr>
            <w:tcW w:w="0" w:type="auto"/>
          </w:tcPr>
          <w:p w14:paraId="4838C221" w14:textId="77777777" w:rsidR="00DA55E9" w:rsidRDefault="00000000">
            <w:pPr>
              <w:pStyle w:val="Compact"/>
            </w:pPr>
            <w:r>
              <w:t>Observational field study of AI-generated pull requests / repository outcome</w:t>
            </w:r>
            <w:r>
              <w:lastRenderedPageBreak/>
              <w:t>s</w:t>
            </w:r>
          </w:p>
        </w:tc>
        <w:tc>
          <w:tcPr>
            <w:tcW w:w="0" w:type="auto"/>
          </w:tcPr>
          <w:p w14:paraId="447C4860" w14:textId="77777777" w:rsidR="00DA55E9" w:rsidRDefault="00000000">
            <w:pPr>
              <w:pStyle w:val="Compact"/>
            </w:pPr>
            <w:r>
              <w:lastRenderedPageBreak/>
              <w:t>timeframe unspecified</w:t>
            </w:r>
          </w:p>
        </w:tc>
        <w:tc>
          <w:tcPr>
            <w:tcW w:w="0" w:type="auto"/>
          </w:tcPr>
          <w:p w14:paraId="6EF1634A" w14:textId="77777777" w:rsidR="00DA55E9" w:rsidRDefault="00000000">
            <w:pPr>
              <w:pStyle w:val="Compact"/>
              <w:jc w:val="right"/>
            </w:pPr>
            <w:r>
              <w:t>unspecified</w:t>
            </w:r>
          </w:p>
        </w:tc>
        <w:tc>
          <w:tcPr>
            <w:tcW w:w="0" w:type="auto"/>
          </w:tcPr>
          <w:p w14:paraId="3D7AF49C" w14:textId="77777777" w:rsidR="00DA55E9" w:rsidRDefault="00000000">
            <w:pPr>
              <w:pStyle w:val="Compact"/>
            </w:pPr>
            <w:r>
              <w:t>PR success/failure; CI/CD outcomes; scope of changes; contribution alignment</w:t>
            </w:r>
          </w:p>
        </w:tc>
        <w:tc>
          <w:tcPr>
            <w:tcW w:w="0" w:type="auto"/>
          </w:tcPr>
          <w:p w14:paraId="3106DFB6" w14:textId="77777777" w:rsidR="00DA55E9" w:rsidRDefault="00000000">
            <w:pPr>
              <w:pStyle w:val="Compact"/>
            </w:pPr>
            <w:r>
              <w:t xml:space="preserve">The repository-scale analogue of short-session rupture. Failed AI-generated </w:t>
            </w:r>
            <w:r>
              <w:lastRenderedPageBreak/>
              <w:t xml:space="preserve">PRs were associated with larger changes, more files touched, CI/CD failures, unwanted feature implementations, duplicate contributions, and misalignment with repository needs. Detection often occurred </w:t>
            </w:r>
            <w:r>
              <w:rPr>
                <w:b/>
                <w:bCs/>
              </w:rPr>
              <w:t>late</w:t>
            </w:r>
            <w:r>
              <w:t>, via CI, review, or maintainer rejection rather than during generation, making this a strong compound</w:t>
            </w:r>
            <w:r>
              <w:lastRenderedPageBreak/>
              <w:t>ing-failure study.</w:t>
            </w:r>
          </w:p>
        </w:tc>
      </w:tr>
      <w:tr w:rsidR="00DA55E9" w14:paraId="7EB82496" w14:textId="77777777">
        <w:tc>
          <w:tcPr>
            <w:tcW w:w="0" w:type="auto"/>
          </w:tcPr>
          <w:p w14:paraId="5DA396FA" w14:textId="77777777" w:rsidR="00DA55E9" w:rsidRDefault="00000000">
            <w:pPr>
              <w:pStyle w:val="Compact"/>
            </w:pPr>
            <w:r>
              <w:lastRenderedPageBreak/>
              <w:t>SWE-CI benchmark for long-horizon agentic software engineering</w:t>
            </w:r>
          </w:p>
        </w:tc>
        <w:tc>
          <w:tcPr>
            <w:tcW w:w="0" w:type="auto"/>
          </w:tcPr>
          <w:p w14:paraId="67E3EF7A" w14:textId="77777777" w:rsidR="00DA55E9" w:rsidRDefault="00000000">
            <w:pPr>
              <w:pStyle w:val="Compact"/>
            </w:pPr>
            <w:r>
              <w:t>Empirical benchmark</w:t>
            </w:r>
          </w:p>
        </w:tc>
        <w:tc>
          <w:tcPr>
            <w:tcW w:w="0" w:type="auto"/>
          </w:tcPr>
          <w:p w14:paraId="2E67026C" w14:textId="77777777" w:rsidR="00DA55E9" w:rsidRDefault="00000000">
            <w:pPr>
              <w:pStyle w:val="Compact"/>
            </w:pPr>
            <w:hyperlink r:id="rId12">
              <w:r>
                <w:rPr>
                  <w:rStyle w:val="Hyperlink"/>
                </w:rPr>
                <w:t>official preprint</w:t>
              </w:r>
            </w:hyperlink>
          </w:p>
        </w:tc>
        <w:tc>
          <w:tcPr>
            <w:tcW w:w="0" w:type="auto"/>
          </w:tcPr>
          <w:p w14:paraId="40D4C0AD" w14:textId="77777777" w:rsidR="00DA55E9" w:rsidRDefault="00000000">
            <w:pPr>
              <w:pStyle w:val="Compact"/>
            </w:pPr>
            <w:r>
              <w:t>Benchmark / long-horizon maintenance evaluation for software agents</w:t>
            </w:r>
          </w:p>
        </w:tc>
        <w:tc>
          <w:tcPr>
            <w:tcW w:w="0" w:type="auto"/>
          </w:tcPr>
          <w:p w14:paraId="3CF085B7" w14:textId="77777777" w:rsidR="00DA55E9" w:rsidRDefault="00000000">
            <w:pPr>
              <w:pStyle w:val="Compact"/>
            </w:pPr>
            <w:r>
              <w:t>Task span averages 233 days and 71 consecutive commits</w:t>
            </w:r>
          </w:p>
        </w:tc>
        <w:tc>
          <w:tcPr>
            <w:tcW w:w="0" w:type="auto"/>
          </w:tcPr>
          <w:p w14:paraId="7246814A" w14:textId="77777777" w:rsidR="00DA55E9" w:rsidRDefault="00000000">
            <w:pPr>
              <w:pStyle w:val="Compact"/>
              <w:jc w:val="right"/>
            </w:pPr>
            <w:r>
              <w:t>100 tasks</w:t>
            </w:r>
          </w:p>
        </w:tc>
        <w:tc>
          <w:tcPr>
            <w:tcW w:w="0" w:type="auto"/>
          </w:tcPr>
          <w:p w14:paraId="15DADC7C" w14:textId="77777777" w:rsidR="00DA55E9" w:rsidRDefault="00000000">
            <w:pPr>
              <w:pStyle w:val="Compact"/>
            </w:pPr>
            <w:r>
              <w:t>Long-horizon maintenance success; repeated analysis-and-coding loops; delayed regressions</w:t>
            </w:r>
          </w:p>
        </w:tc>
        <w:tc>
          <w:tcPr>
            <w:tcW w:w="0" w:type="auto"/>
          </w:tcPr>
          <w:p w14:paraId="08494A68" w14:textId="77777777" w:rsidR="00DA55E9" w:rsidRDefault="00000000">
            <w:pPr>
              <w:pStyle w:val="Compact"/>
            </w:pPr>
            <w:r>
              <w:t>Not a human study, but crucial for autonomous coding. The benchmark explicitly targets the failure mode that static one-shot benchmarks miss: small mistakes that only become visible after repeated code changes and repository evolution. It is highly relevant for rupture-</w:t>
            </w:r>
            <w:r>
              <w:lastRenderedPageBreak/>
              <w:t>and-repair research because it provides a scaffold for studying delayed regressions and cumulative derailment rather than only first-attempt correctness.</w:t>
            </w:r>
          </w:p>
        </w:tc>
      </w:tr>
    </w:tbl>
    <w:p w14:paraId="79608028" w14:textId="77777777" w:rsidR="00DA55E9" w:rsidRDefault="00000000">
      <w:pPr>
        <w:pStyle w:val="BodyText"/>
      </w:pPr>
      <w:r>
        <w:lastRenderedPageBreak/>
        <w:t xml:space="preserve">Important versioning note: the accessible Tie et al. preprint and the later revised/TOSEM version do </w:t>
      </w:r>
      <w:r>
        <w:rPr>
          <w:b/>
          <w:bCs/>
        </w:rPr>
        <w:t>not</w:t>
      </w:r>
      <w:r>
        <w:t xml:space="preserve"> report identical sample sizes or headline summaries. I therefore keep them separate and do not mechanically merge their counts.</w:t>
      </w:r>
    </w:p>
    <w:p w14:paraId="06216D81" w14:textId="77777777" w:rsidR="00DA55E9" w:rsidRDefault="00000000">
      <w:pPr>
        <w:pStyle w:val="Heading2"/>
      </w:pPr>
      <w:bookmarkStart w:id="5" w:name="cross-study-synthesis"/>
      <w:bookmarkEnd w:id="4"/>
      <w:r>
        <w:t>Cross-study synthesis</w:t>
      </w:r>
    </w:p>
    <w:p w14:paraId="4B72A1CA" w14:textId="77777777" w:rsidR="00DA55E9" w:rsidRDefault="00000000">
      <w:pPr>
        <w:pStyle w:val="FirstParagraph"/>
      </w:pPr>
      <w:r>
        <w:t xml:space="preserve">Across the direct coding studies, failure detection follows a consistent hierarchy: overt correctness failures are caught by compilers, tests, or immediate runtime problems, while </w:t>
      </w:r>
      <w:r>
        <w:rPr>
          <w:b/>
          <w:bCs/>
        </w:rPr>
        <w:t>silent semantic, partial, security, and context-loss failures are often detected only after code inspection, execution anomalies, documentation lookup, or sometimes not at all</w:t>
      </w:r>
      <w:r>
        <w:t xml:space="preserve"> (Tie; Vaithilingam; Barke; Perry). Repair is also patterned rather than random: </w:t>
      </w:r>
      <w:r>
        <w:rPr>
          <w:b/>
          <w:bCs/>
        </w:rPr>
        <w:t>clarification, task scaffolding, and adding context</w:t>
      </w:r>
      <w:r>
        <w:t xml:space="preserve"> appear more effective than opaque manual debugging in the best-reported rates, and interfaces that make intent inspectable can improve both speed and success (Tie; Di &amp; Zhang). Trust and usability judgments diverge from objective outcomes: users often prefer or feel helped by the assistant even when time, success, or security do not improve, and overconfidence can reduce scrutiny (Vaithilingam; Perry). Compounding dynamics appear at multiple scales: a small local </w:t>
      </w:r>
      <w:r>
        <w:lastRenderedPageBreak/>
        <w:t xml:space="preserve">misunderstanding can create a 20-minute debugging cul-de-sac in a lab session, while at repository scale it can expand into multi-file PR failure, CI breakage, duplicate work, or long-horizon regressions (Barke; Vaithilingam; Ehsani; SWE-CI). The largest remaining empirical weakness is that very few studies measure </w:t>
      </w:r>
      <w:r>
        <w:rPr>
          <w:b/>
          <w:bCs/>
        </w:rPr>
        <w:t>time-to-suspicion, time-to-localization, and time-to-repair as separate events</w:t>
      </w:r>
      <w:r>
        <w:t>, even though the literature strongly suggests those intervals are where the real productivity and trust costs accumulate.</w:t>
      </w:r>
    </w:p>
    <w:p w14:paraId="07B59781" w14:textId="77777777" w:rsidR="00DA55E9" w:rsidRDefault="00000000">
      <w:pPr>
        <w:pStyle w:val="Heading2"/>
      </w:pPr>
      <w:bookmarkStart w:id="6" w:name="gap-statement-for-a-credible-panel-study"/>
      <w:bookmarkEnd w:id="5"/>
      <w:r>
        <w:t>Gap statement for a credible panel study</w:t>
      </w:r>
    </w:p>
    <w:p w14:paraId="5C81F086" w14:textId="77777777" w:rsidR="00DA55E9" w:rsidRDefault="00000000">
      <w:pPr>
        <w:pStyle w:val="FirstParagraph"/>
      </w:pPr>
      <w:r>
        <w:t xml:space="preserve">A credible 6–24 month panel study should treat rupture-and-repair in coding as an </w:t>
      </w:r>
      <w:r>
        <w:rPr>
          <w:b/>
          <w:bCs/>
        </w:rPr>
        <w:t>event sequence</w:t>
      </w:r>
      <w:r>
        <w:t>, not a final-score problem. The experimental core should seed several rupture classes that the present literature already suggests are behaviorally distinct: silent semantic bugs, partial answers with missing preconditions, confidently wrong API use, context-loss after several turns, cognitive-overload outputs that are locally plausible but globally unhelpful, and repository-scale tool/agent misalignment that only surfaces in CI or review. Those seeds should be crossed with repair-affordance arms, at minimum: plain conversational use, structured prompt-scaffolding support, a grounding-aware editable-comment interface, validator-rich assistance with tests/CI/security feedback surfaced early, and escalation paths to external search or a human reviewer. This design follows the failure classes emphasized by Tie, the mode/validation dynamics in Barke, the debugging-cost findings in Vaithilingam, the silent-security failures in Perry, the grounding intervention in Di &amp; Zhang, and the repository-scale compounding in Ehsani and SWE-CI.</w:t>
      </w:r>
    </w:p>
    <w:p w14:paraId="7FF53B83" w14:textId="77777777" w:rsidR="00DA55E9" w:rsidRDefault="00000000">
      <w:pPr>
        <w:pStyle w:val="BodyText"/>
      </w:pPr>
      <w:r>
        <w:t xml:space="preserve">The logging layer has to be much richer than in most current studies. A serious design must capture </w:t>
      </w:r>
      <w:r>
        <w:rPr>
          <w:b/>
          <w:bCs/>
        </w:rPr>
        <w:t>time-to-suspicion</w:t>
      </w:r>
      <w:r>
        <w:t xml:space="preserve">, </w:t>
      </w:r>
      <w:r>
        <w:rPr>
          <w:b/>
          <w:bCs/>
        </w:rPr>
        <w:t>time-to-localization</w:t>
      </w:r>
      <w:r>
        <w:t xml:space="preserve">, and </w:t>
      </w:r>
      <w:r>
        <w:rPr>
          <w:b/>
          <w:bCs/>
        </w:rPr>
        <w:t>time-to-repair</w:t>
      </w:r>
      <w:r>
        <w:t xml:space="preserve"> as distinct timestamps; full prompt history and context-state changes; model version and tool-selection events; code diffs, file-touch counts, branch transitions, and revert operations; validator outputs including tests, CI, lint, type checking, and security scans; and escalation events such as switching tools, opening docs, searching, asking a human, or abandoning the session. The right instrumentation is a combination of IDE plugin telemetry, git hooks, captured assistant interaction logs, server-side tool traces, and repository/CI harvesting. Without that joined trace, the field will continue to know that derailments happen without being able to say </w:t>
      </w:r>
      <w:r>
        <w:rPr>
          <w:b/>
          <w:bCs/>
        </w:rPr>
        <w:t>when</w:t>
      </w:r>
      <w:r>
        <w:t xml:space="preserve"> they first become visible or </w:t>
      </w:r>
      <w:r>
        <w:rPr>
          <w:b/>
          <w:bCs/>
        </w:rPr>
        <w:t>why</w:t>
      </w:r>
      <w:r>
        <w:t xml:space="preserve"> one repair path succeeds while another fails.</w:t>
      </w:r>
    </w:p>
    <w:p w14:paraId="7DF913F0" w14:textId="77777777" w:rsidR="00DA55E9" w:rsidRDefault="00000000">
      <w:pPr>
        <w:pStyle w:val="BodyText"/>
      </w:pPr>
      <w:r>
        <w:t xml:space="preserve">The sample and task design need to correct the external-validity limits of current work. A credible main sample should be </w:t>
      </w:r>
      <w:r>
        <w:rPr>
          <w:b/>
          <w:bCs/>
        </w:rPr>
        <w:t>professional developers</w:t>
      </w:r>
      <w:r>
        <w:t xml:space="preserve">, with students used only as pilots or comparison strata rather than as the primary evidence for deployment claims. Tasks should come from real, testable repositories and span multiple difficulty and familiarity levels: bug fixing, refactoring, unfamiliar API integration, security hardening, multi-file feature work, and bounded pull-request tasks. The same repos should be exercised under multiple autonomy levels, such as autocomplete/chat assistance, bounded tool-using agents, and PR-submitting agents, because the literature shows that rupture mechanisms change when responsibility shifts from suggestion to execution. </w:t>
      </w:r>
      <w:r>
        <w:lastRenderedPageBreak/>
        <w:t>Repository selection should favor repos with strong tests, stable issue histories, and reproducible CI so that delayed regressions can be attributed cleanly.</w:t>
      </w:r>
    </w:p>
    <w:p w14:paraId="577EC80F" w14:textId="77777777" w:rsidR="00DA55E9" w:rsidRDefault="00000000">
      <w:pPr>
        <w:pStyle w:val="BodyText"/>
      </w:pPr>
      <w:r>
        <w:t xml:space="preserve">Outcome metrics must extend beyond immediate completion. The minimum set is productivity, correctness, repair burden, abandonment, trust calibration, and long-term regressions. Productivity should include not just task time but </w:t>
      </w:r>
      <w:r>
        <w:rPr>
          <w:b/>
          <w:bCs/>
        </w:rPr>
        <w:t>net time after repair</w:t>
      </w:r>
      <w:r>
        <w:t xml:space="preserve">, number of abandoned branches, and rework required later. Correctness should include functional tests, semantic evaluation where possible, and security or policy checks for relevant tasks. Trust should be measured repeatedly rather than once, with emphasis on </w:t>
      </w:r>
      <w:r>
        <w:rPr>
          <w:b/>
          <w:bCs/>
        </w:rPr>
        <w:t>task-goal alignment, perceived recoverability, and calibrated confidence</w:t>
      </w:r>
      <w:r>
        <w:t xml:space="preserve"> instead of a single generic satisfaction item. Long-term outcomes should include reopened issues, reverted commits, reviewer churn, regression introductions, and repository health checks after merge or handoff. These choices are motivated by the misalignment between subjective preference and objective outcomes in Vaithilingam and Perry, the abandonment dynamics in Tie, and the delayed derailments seen in Ehsani and SWE-CI.</w:t>
      </w:r>
    </w:p>
    <w:p w14:paraId="35CDDA9D" w14:textId="77777777" w:rsidR="00DA55E9" w:rsidRDefault="00000000">
      <w:pPr>
        <w:pStyle w:val="BodyText"/>
      </w:pPr>
      <w:r>
        <w:t xml:space="preserve">Power should be planned at the </w:t>
      </w:r>
      <w:r>
        <w:rPr>
          <w:b/>
          <w:bCs/>
        </w:rPr>
        <w:t>event level</w:t>
      </w:r>
      <w:r>
        <w:t xml:space="preserve">, not only at the participant level. The data structure will be nested—rupture events within sessions, sessions within developers, developers within repos—so mixed-effects models and survival/event-history models are the natural analysis framework. Because existing human studies are small and do not provide stable interaction-effect estimates, the safest approach is </w:t>
      </w:r>
      <w:r>
        <w:rPr>
          <w:b/>
          <w:bCs/>
        </w:rPr>
        <w:t>simulation-based power analysis</w:t>
      </w:r>
      <w:r>
        <w:t xml:space="preserve">, using plausible rupture and abandonment rates informed by Tie’s failure counts and by pilot data from the instrumentation phase. As a practical design target, a strong panel would aim for roughly </w:t>
      </w:r>
      <w:r>
        <w:rPr>
          <w:b/>
          <w:bCs/>
        </w:rPr>
        <w:t>150–300 professional developers</w:t>
      </w:r>
      <w:r>
        <w:t xml:space="preserve"> with </w:t>
      </w:r>
      <w:r>
        <w:rPr>
          <w:b/>
          <w:bCs/>
        </w:rPr>
        <w:t>8–12 instrumented sessions each</w:t>
      </w:r>
      <w:r>
        <w:t>, or an equivalent number of repeated observations that yields hundreds of common rupture events per repair arm; rarer outcomes such as abandonment, security regressions, or PR rejection will require either larger samples, longer follow-up, or deliberate oversampling of high-risk tasks. A smaller student-heavy study can be valuable as a pilot, but it should not be treated as definitive evidence about production use.</w:t>
      </w:r>
    </w:p>
    <w:p w14:paraId="354899D8" w14:textId="77777777" w:rsidR="00DA55E9" w:rsidRDefault="00000000">
      <w:pPr>
        <w:pStyle w:val="BodyText"/>
      </w:pPr>
      <w:r>
        <w:t>Operationally, the study must be built as if it were handling sensitive production telemetry, because it probably will. Ethical review should require explicit consent, separation of research data from employee performance evaluation, and clear redaction/secrets policies. Raw prompts, diffs, and repository traces should be stored only as long as necessary, with de-identification, secret scanning, and access controls built into the pipeline. Model versions, dependency snapshots, seeded rupture scripts, and validators should be containerized and version-locked so that every failure and repair episode is reproducible. The most credible seeding/validation setup would combine deterministic task seeds, frozen repository snapshots, mirrored CI, and pre-registered evaluation criteria. Otherwise, the study risks confounding model drift, repository drift, and human adaptation.</w:t>
      </w:r>
    </w:p>
    <w:p w14:paraId="3D42C105" w14:textId="77777777" w:rsidR="00DA55E9" w:rsidRDefault="00000000">
      <w:pPr>
        <w:pStyle w:val="Heading2"/>
      </w:pPr>
      <w:bookmarkStart w:id="7" w:name="measure-to-instrument-map"/>
      <w:bookmarkEnd w:id="6"/>
      <w:r>
        <w:lastRenderedPageBreak/>
        <w:t>Measure-to-instrument map</w:t>
      </w:r>
    </w:p>
    <w:tbl>
      <w:tblPr>
        <w:tblStyle w:val="Table"/>
        <w:tblW w:w="0" w:type="auto"/>
        <w:tblLook w:val="0020" w:firstRow="1" w:lastRow="0" w:firstColumn="0" w:lastColumn="0" w:noHBand="0" w:noVBand="0"/>
      </w:tblPr>
      <w:tblGrid>
        <w:gridCol w:w="2077"/>
        <w:gridCol w:w="3215"/>
        <w:gridCol w:w="4284"/>
      </w:tblGrid>
      <w:tr w:rsidR="00DA55E9" w14:paraId="7ECEBCAD" w14:textId="77777777" w:rsidTr="00DA55E9">
        <w:trPr>
          <w:cnfStyle w:val="100000000000" w:firstRow="1" w:lastRow="0" w:firstColumn="0" w:lastColumn="0" w:oddVBand="0" w:evenVBand="0" w:oddHBand="0" w:evenHBand="0" w:firstRowFirstColumn="0" w:firstRowLastColumn="0" w:lastRowFirstColumn="0" w:lastRowLastColumn="0"/>
          <w:tblHeader/>
        </w:trPr>
        <w:tc>
          <w:tcPr>
            <w:tcW w:w="0" w:type="auto"/>
          </w:tcPr>
          <w:p w14:paraId="44F3B695" w14:textId="77777777" w:rsidR="00DA55E9" w:rsidRDefault="00000000">
            <w:pPr>
              <w:pStyle w:val="Compact"/>
            </w:pPr>
            <w:r>
              <w:t>Proposed measure</w:t>
            </w:r>
          </w:p>
        </w:tc>
        <w:tc>
          <w:tcPr>
            <w:tcW w:w="0" w:type="auto"/>
          </w:tcPr>
          <w:p w14:paraId="54B03CD5" w14:textId="77777777" w:rsidR="00DA55E9" w:rsidRDefault="00000000">
            <w:pPr>
              <w:pStyle w:val="Compact"/>
            </w:pPr>
            <w:r>
              <w:t>Why it matters</w:t>
            </w:r>
          </w:p>
        </w:tc>
        <w:tc>
          <w:tcPr>
            <w:tcW w:w="0" w:type="auto"/>
          </w:tcPr>
          <w:p w14:paraId="081A94E5" w14:textId="77777777" w:rsidR="00DA55E9" w:rsidRDefault="00000000">
            <w:pPr>
              <w:pStyle w:val="Compact"/>
            </w:pPr>
            <w:r>
              <w:t>How to instrument it</w:t>
            </w:r>
          </w:p>
        </w:tc>
      </w:tr>
      <w:tr w:rsidR="00DA55E9" w14:paraId="283C5444" w14:textId="77777777">
        <w:tc>
          <w:tcPr>
            <w:tcW w:w="0" w:type="auto"/>
          </w:tcPr>
          <w:p w14:paraId="5C292E7C" w14:textId="77777777" w:rsidR="00DA55E9" w:rsidRDefault="00000000">
            <w:pPr>
              <w:pStyle w:val="Compact"/>
            </w:pPr>
            <w:r>
              <w:t>Time-to-suspicion</w:t>
            </w:r>
          </w:p>
        </w:tc>
        <w:tc>
          <w:tcPr>
            <w:tcW w:w="0" w:type="auto"/>
          </w:tcPr>
          <w:p w14:paraId="32E92BA1" w14:textId="77777777" w:rsidR="00DA55E9" w:rsidRDefault="00000000">
            <w:pPr>
              <w:pStyle w:val="Compact"/>
            </w:pPr>
            <w:r>
              <w:t>Separates “the model was wrong” from “the developer noticed it was wrong.” This is the first missing latency variable in current work.</w:t>
            </w:r>
          </w:p>
        </w:tc>
        <w:tc>
          <w:tcPr>
            <w:tcW w:w="0" w:type="auto"/>
          </w:tcPr>
          <w:p w14:paraId="363B9E80" w14:textId="77777777" w:rsidR="00DA55E9" w:rsidRDefault="00000000">
            <w:pPr>
              <w:pStyle w:val="Compact"/>
            </w:pPr>
            <w:r>
              <w:t>Timestamp first explicit doubt marker, branch pause, validation action, or negative verbal/self-report signal via IDE telemetry plus brief post-step probes.</w:t>
            </w:r>
          </w:p>
        </w:tc>
      </w:tr>
      <w:tr w:rsidR="00DA55E9" w14:paraId="65CAA050" w14:textId="77777777">
        <w:tc>
          <w:tcPr>
            <w:tcW w:w="0" w:type="auto"/>
          </w:tcPr>
          <w:p w14:paraId="2D797E49" w14:textId="77777777" w:rsidR="00DA55E9" w:rsidRDefault="00000000">
            <w:pPr>
              <w:pStyle w:val="Compact"/>
            </w:pPr>
            <w:r>
              <w:t>Time-to-localization</w:t>
            </w:r>
          </w:p>
        </w:tc>
        <w:tc>
          <w:tcPr>
            <w:tcW w:w="0" w:type="auto"/>
          </w:tcPr>
          <w:p w14:paraId="28EE783C" w14:textId="77777777" w:rsidR="00DA55E9" w:rsidRDefault="00000000">
            <w:pPr>
              <w:pStyle w:val="Compact"/>
            </w:pPr>
            <w:r>
              <w:t xml:space="preserve">Knowing something is wrong is different from knowing </w:t>
            </w:r>
            <w:r>
              <w:rPr>
                <w:b/>
                <w:bCs/>
              </w:rPr>
              <w:t>where</w:t>
            </w:r>
            <w:r>
              <w:t xml:space="preserve"> it is wrong. Localization is often the hardest part of repair.</w:t>
            </w:r>
          </w:p>
        </w:tc>
        <w:tc>
          <w:tcPr>
            <w:tcW w:w="0" w:type="auto"/>
          </w:tcPr>
          <w:p w14:paraId="5F8754BC" w14:textId="77777777" w:rsidR="00DA55E9" w:rsidRDefault="00000000">
            <w:pPr>
              <w:pStyle w:val="Compact"/>
            </w:pPr>
            <w:r>
              <w:t>Mark first file/line/constraint correctly identified as the source of trouble; infer from edits, comments, navigation logs, and think-aloud or micro-survey confirmation.</w:t>
            </w:r>
          </w:p>
        </w:tc>
      </w:tr>
      <w:tr w:rsidR="00DA55E9" w14:paraId="001C2F80" w14:textId="77777777">
        <w:tc>
          <w:tcPr>
            <w:tcW w:w="0" w:type="auto"/>
          </w:tcPr>
          <w:p w14:paraId="29750C1C" w14:textId="77777777" w:rsidR="00DA55E9" w:rsidRDefault="00000000">
            <w:pPr>
              <w:pStyle w:val="Compact"/>
            </w:pPr>
            <w:r>
              <w:t>Time-to-repair</w:t>
            </w:r>
          </w:p>
        </w:tc>
        <w:tc>
          <w:tcPr>
            <w:tcW w:w="0" w:type="auto"/>
          </w:tcPr>
          <w:p w14:paraId="0A5E48FF" w14:textId="77777777" w:rsidR="00DA55E9" w:rsidRDefault="00000000">
            <w:pPr>
              <w:pStyle w:val="Compact"/>
            </w:pPr>
            <w:r>
              <w:t>Captures whether the session actually recovers rather than merely continuing.</w:t>
            </w:r>
          </w:p>
        </w:tc>
        <w:tc>
          <w:tcPr>
            <w:tcW w:w="0" w:type="auto"/>
          </w:tcPr>
          <w:p w14:paraId="5E23024D" w14:textId="77777777" w:rsidR="00DA55E9" w:rsidRDefault="00000000">
            <w:pPr>
              <w:pStyle w:val="Compact"/>
            </w:pPr>
            <w:r>
              <w:t>Timestamp first validator-confirmed fix after a rupture; compute elapsed time from suspicion and from localization.</w:t>
            </w:r>
          </w:p>
        </w:tc>
      </w:tr>
      <w:tr w:rsidR="00DA55E9" w14:paraId="47B5C7C3" w14:textId="77777777">
        <w:tc>
          <w:tcPr>
            <w:tcW w:w="0" w:type="auto"/>
          </w:tcPr>
          <w:p w14:paraId="5456E7B6" w14:textId="77777777" w:rsidR="00DA55E9" w:rsidRDefault="00000000">
            <w:pPr>
              <w:pStyle w:val="Compact"/>
            </w:pPr>
            <w:r>
              <w:t>Rupture type</w:t>
            </w:r>
          </w:p>
        </w:tc>
        <w:tc>
          <w:tcPr>
            <w:tcW w:w="0" w:type="auto"/>
          </w:tcPr>
          <w:p w14:paraId="25042363" w14:textId="77777777" w:rsidR="00DA55E9" w:rsidRDefault="00000000">
            <w:pPr>
              <w:pStyle w:val="Compact"/>
            </w:pPr>
            <w:r>
              <w:t>Different failures likely have different detection channels and repair probabilities.</w:t>
            </w:r>
          </w:p>
        </w:tc>
        <w:tc>
          <w:tcPr>
            <w:tcW w:w="0" w:type="auto"/>
          </w:tcPr>
          <w:p w14:paraId="2ACE4EE7" w14:textId="77777777" w:rsidR="00DA55E9" w:rsidRDefault="00000000">
            <w:pPr>
              <w:pStyle w:val="Compact"/>
            </w:pPr>
            <w:r>
              <w:t>Seed or code events into categories such as silent semantic, partial/missing preconditions, context loss, cognitive overload, tool-use failure, security failure, and repository misalignment.</w:t>
            </w:r>
          </w:p>
        </w:tc>
      </w:tr>
      <w:tr w:rsidR="00DA55E9" w14:paraId="08870A91" w14:textId="77777777">
        <w:tc>
          <w:tcPr>
            <w:tcW w:w="0" w:type="auto"/>
          </w:tcPr>
          <w:p w14:paraId="23BD677F" w14:textId="77777777" w:rsidR="00DA55E9" w:rsidRDefault="00000000">
            <w:pPr>
              <w:pStyle w:val="Compact"/>
            </w:pPr>
            <w:r>
              <w:t>Prompt history and context-state changes</w:t>
            </w:r>
          </w:p>
        </w:tc>
        <w:tc>
          <w:tcPr>
            <w:tcW w:w="0" w:type="auto"/>
          </w:tcPr>
          <w:p w14:paraId="34383CF1" w14:textId="77777777" w:rsidR="00DA55E9" w:rsidRDefault="00000000">
            <w:pPr>
              <w:pStyle w:val="Compact"/>
            </w:pPr>
            <w:r>
              <w:t>Repair often happens through prompting, but current studies rarely model prompt sequence structure directly.</w:t>
            </w:r>
          </w:p>
        </w:tc>
        <w:tc>
          <w:tcPr>
            <w:tcW w:w="0" w:type="auto"/>
          </w:tcPr>
          <w:p w14:paraId="6C86C02A" w14:textId="77777777" w:rsidR="00DA55E9" w:rsidRDefault="00000000">
            <w:pPr>
              <w:pStyle w:val="Compact"/>
            </w:pPr>
            <w:r>
              <w:t>Store full prompt/response history, retrieved context, tool calls, model version, and context-window truncation or memory updates.</w:t>
            </w:r>
          </w:p>
        </w:tc>
      </w:tr>
      <w:tr w:rsidR="00DA55E9" w14:paraId="59B35BE2" w14:textId="77777777">
        <w:tc>
          <w:tcPr>
            <w:tcW w:w="0" w:type="auto"/>
          </w:tcPr>
          <w:p w14:paraId="3FAD012B" w14:textId="77777777" w:rsidR="00DA55E9" w:rsidRDefault="00000000">
            <w:pPr>
              <w:pStyle w:val="Compact"/>
            </w:pPr>
            <w:r>
              <w:t>Code diffs and file-touch scope</w:t>
            </w:r>
          </w:p>
        </w:tc>
        <w:tc>
          <w:tcPr>
            <w:tcW w:w="0" w:type="auto"/>
          </w:tcPr>
          <w:p w14:paraId="6B1293B4" w14:textId="77777777" w:rsidR="00DA55E9" w:rsidRDefault="00000000">
            <w:pPr>
              <w:pStyle w:val="Compact"/>
            </w:pPr>
            <w:r>
              <w:t>Compounding failures often expand the size and spread of change before they are caught.</w:t>
            </w:r>
          </w:p>
        </w:tc>
        <w:tc>
          <w:tcPr>
            <w:tcW w:w="0" w:type="auto"/>
          </w:tcPr>
          <w:p w14:paraId="42B94C5D" w14:textId="77777777" w:rsidR="00DA55E9" w:rsidRDefault="00000000">
            <w:pPr>
              <w:pStyle w:val="Compact"/>
            </w:pPr>
            <w:r>
              <w:t>Collect git diffs, touched files, diff size, revert events, and branch divergence metrics automatically.</w:t>
            </w:r>
          </w:p>
        </w:tc>
      </w:tr>
      <w:tr w:rsidR="00DA55E9" w14:paraId="3000485B" w14:textId="77777777">
        <w:tc>
          <w:tcPr>
            <w:tcW w:w="0" w:type="auto"/>
          </w:tcPr>
          <w:p w14:paraId="50D8CD9C" w14:textId="77777777" w:rsidR="00DA55E9" w:rsidRDefault="00000000">
            <w:pPr>
              <w:pStyle w:val="Compact"/>
            </w:pPr>
            <w:r>
              <w:t>Validator outcomes</w:t>
            </w:r>
          </w:p>
        </w:tc>
        <w:tc>
          <w:tcPr>
            <w:tcW w:w="0" w:type="auto"/>
          </w:tcPr>
          <w:p w14:paraId="2854B1B7" w14:textId="77777777" w:rsidR="00DA55E9" w:rsidRDefault="00000000">
            <w:pPr>
              <w:pStyle w:val="Compact"/>
            </w:pPr>
            <w:r>
              <w:t>Many important failures surface only through external validation, not by reading the response.</w:t>
            </w:r>
          </w:p>
        </w:tc>
        <w:tc>
          <w:tcPr>
            <w:tcW w:w="0" w:type="auto"/>
          </w:tcPr>
          <w:p w14:paraId="54327D5D" w14:textId="77777777" w:rsidR="00DA55E9" w:rsidRDefault="00000000">
            <w:pPr>
              <w:pStyle w:val="Compact"/>
            </w:pPr>
            <w:r>
              <w:t>Capture tests, CI, lint, type-check, static-analysis, security-scan, and benchmark outcomes at each interaction step.</w:t>
            </w:r>
          </w:p>
        </w:tc>
      </w:tr>
      <w:tr w:rsidR="00DA55E9" w14:paraId="0B0FFC56" w14:textId="77777777">
        <w:tc>
          <w:tcPr>
            <w:tcW w:w="0" w:type="auto"/>
          </w:tcPr>
          <w:p w14:paraId="15E4904C" w14:textId="77777777" w:rsidR="00DA55E9" w:rsidRDefault="00000000">
            <w:pPr>
              <w:pStyle w:val="Compact"/>
            </w:pPr>
            <w:r>
              <w:t>Escalation path</w:t>
            </w:r>
          </w:p>
        </w:tc>
        <w:tc>
          <w:tcPr>
            <w:tcW w:w="0" w:type="auto"/>
          </w:tcPr>
          <w:p w14:paraId="7C8060CA" w14:textId="77777777" w:rsidR="00DA55E9" w:rsidRDefault="00000000">
            <w:pPr>
              <w:pStyle w:val="Compact"/>
            </w:pPr>
            <w:r>
              <w:t>Re-prompting, manual override, switching tools, or asking a human have different costs and different recovery rates.</w:t>
            </w:r>
          </w:p>
        </w:tc>
        <w:tc>
          <w:tcPr>
            <w:tcW w:w="0" w:type="auto"/>
          </w:tcPr>
          <w:p w14:paraId="640E1387" w14:textId="77777777" w:rsidR="00DA55E9" w:rsidRDefault="00000000">
            <w:pPr>
              <w:pStyle w:val="Compact"/>
            </w:pPr>
            <w:r>
              <w:t>Log tool switches, doc openings, external searches, human handoff requests, and abandonment markers; code repair path sequence per rupture.</w:t>
            </w:r>
          </w:p>
        </w:tc>
      </w:tr>
      <w:tr w:rsidR="00DA55E9" w14:paraId="5BC0CC4A" w14:textId="77777777">
        <w:tc>
          <w:tcPr>
            <w:tcW w:w="0" w:type="auto"/>
          </w:tcPr>
          <w:p w14:paraId="7F501DFE" w14:textId="77777777" w:rsidR="00DA55E9" w:rsidRDefault="00000000">
            <w:pPr>
              <w:pStyle w:val="Compact"/>
            </w:pPr>
            <w:r>
              <w:lastRenderedPageBreak/>
              <w:t>Trust calibration and task-goal alignment</w:t>
            </w:r>
          </w:p>
        </w:tc>
        <w:tc>
          <w:tcPr>
            <w:tcW w:w="0" w:type="auto"/>
          </w:tcPr>
          <w:p w14:paraId="3F9BA6AA" w14:textId="77777777" w:rsidR="00DA55E9" w:rsidRDefault="00000000">
            <w:pPr>
              <w:pStyle w:val="Compact"/>
            </w:pPr>
            <w:r>
              <w:t>Current work shows preference and confidence can diverge from correctness or security.</w:t>
            </w:r>
          </w:p>
        </w:tc>
        <w:tc>
          <w:tcPr>
            <w:tcW w:w="0" w:type="auto"/>
          </w:tcPr>
          <w:p w14:paraId="5155984E" w14:textId="77777777" w:rsidR="00DA55E9" w:rsidRDefault="00000000">
            <w:pPr>
              <w:pStyle w:val="Compact"/>
            </w:pPr>
            <w:r>
              <w:t>Use repeated micro-surveys after each major step: confidence in correctness, confidence in security, perceived goal alignment, perceived recoverability, expected need for further repair.</w:t>
            </w:r>
          </w:p>
        </w:tc>
      </w:tr>
      <w:tr w:rsidR="00DA55E9" w14:paraId="29C48341" w14:textId="77777777">
        <w:tc>
          <w:tcPr>
            <w:tcW w:w="0" w:type="auto"/>
          </w:tcPr>
          <w:p w14:paraId="0E6A1890" w14:textId="77777777" w:rsidR="00DA55E9" w:rsidRDefault="00000000">
            <w:pPr>
              <w:pStyle w:val="Compact"/>
            </w:pPr>
            <w:r>
              <w:t>Abandonment and fallback acceptance</w:t>
            </w:r>
          </w:p>
        </w:tc>
        <w:tc>
          <w:tcPr>
            <w:tcW w:w="0" w:type="auto"/>
          </w:tcPr>
          <w:p w14:paraId="173D1273" w14:textId="77777777" w:rsidR="00DA55E9" w:rsidRDefault="00000000">
            <w:pPr>
              <w:pStyle w:val="Compact"/>
            </w:pPr>
            <w:r>
              <w:t>Some users quit; others accept a suboptimal outcome. Those are different endpoints.</w:t>
            </w:r>
          </w:p>
        </w:tc>
        <w:tc>
          <w:tcPr>
            <w:tcW w:w="0" w:type="auto"/>
          </w:tcPr>
          <w:p w14:paraId="1CF979DB" w14:textId="77777777" w:rsidR="00DA55E9" w:rsidRDefault="00000000">
            <w:pPr>
              <w:pStyle w:val="Compact"/>
            </w:pPr>
            <w:r>
              <w:t>Code terminal states as successful repair, abandoned session, switched task, accepted partial answer, or escalated handoff.</w:t>
            </w:r>
          </w:p>
        </w:tc>
      </w:tr>
      <w:tr w:rsidR="00DA55E9" w14:paraId="13BD096F" w14:textId="77777777">
        <w:tc>
          <w:tcPr>
            <w:tcW w:w="0" w:type="auto"/>
          </w:tcPr>
          <w:p w14:paraId="72EC0D08" w14:textId="77777777" w:rsidR="00DA55E9" w:rsidRDefault="00000000">
            <w:pPr>
              <w:pStyle w:val="Compact"/>
            </w:pPr>
            <w:r>
              <w:t>Long-term regressions and repository health</w:t>
            </w:r>
          </w:p>
        </w:tc>
        <w:tc>
          <w:tcPr>
            <w:tcW w:w="0" w:type="auto"/>
          </w:tcPr>
          <w:p w14:paraId="64BCE37D" w14:textId="77777777" w:rsidR="00DA55E9" w:rsidRDefault="00000000">
            <w:pPr>
              <w:pStyle w:val="Compact"/>
            </w:pPr>
            <w:r>
              <w:t>One-shot correctness misses delayed damage.</w:t>
            </w:r>
          </w:p>
        </w:tc>
        <w:tc>
          <w:tcPr>
            <w:tcW w:w="0" w:type="auto"/>
          </w:tcPr>
          <w:p w14:paraId="3D702EB7" w14:textId="77777777" w:rsidR="00DA55E9" w:rsidRDefault="00000000">
            <w:pPr>
              <w:pStyle w:val="Compact"/>
            </w:pPr>
            <w:r>
              <w:t>Re-run tests and linters after later changes; track reverts, reopened issues, reviewer requests, PR rejection, and regression tickets at follow-up checkpoints.</w:t>
            </w:r>
          </w:p>
        </w:tc>
      </w:tr>
      <w:tr w:rsidR="00DA55E9" w14:paraId="32568538" w14:textId="77777777">
        <w:tc>
          <w:tcPr>
            <w:tcW w:w="0" w:type="auto"/>
          </w:tcPr>
          <w:p w14:paraId="561FB0D4" w14:textId="77777777" w:rsidR="00DA55E9" w:rsidRDefault="00000000">
            <w:pPr>
              <w:pStyle w:val="Compact"/>
            </w:pPr>
            <w:r>
              <w:t>Autonomy level</w:t>
            </w:r>
          </w:p>
        </w:tc>
        <w:tc>
          <w:tcPr>
            <w:tcW w:w="0" w:type="auto"/>
          </w:tcPr>
          <w:p w14:paraId="18CF9620" w14:textId="77777777" w:rsidR="00DA55E9" w:rsidRDefault="00000000">
            <w:pPr>
              <w:pStyle w:val="Compact"/>
            </w:pPr>
            <w:r>
              <w:t>Failure and repair dynamics change when the system acts versus merely suggests.</w:t>
            </w:r>
          </w:p>
        </w:tc>
        <w:tc>
          <w:tcPr>
            <w:tcW w:w="0" w:type="auto"/>
          </w:tcPr>
          <w:p w14:paraId="6EBF0CAF" w14:textId="77777777" w:rsidR="00DA55E9" w:rsidRDefault="00000000">
            <w:pPr>
              <w:pStyle w:val="Compact"/>
            </w:pPr>
            <w:r>
              <w:t>Tag sessions by mode: assistive suggestion, bounded tool-using assistant, autonomous agent task execution, PR-submitting agent.</w:t>
            </w:r>
          </w:p>
        </w:tc>
      </w:tr>
    </w:tbl>
    <w:p w14:paraId="3C41818C" w14:textId="77777777" w:rsidR="00DA55E9" w:rsidRDefault="00000000">
      <w:pPr>
        <w:pStyle w:val="BodyText"/>
      </w:pPr>
      <w:r>
        <w:t>These measures directly target the main blind spots left by the current literature: event-level latency, repair pathway efficacy, and delayed repository consequences.</w:t>
      </w:r>
    </w:p>
    <w:p w14:paraId="3813A749" w14:textId="77777777" w:rsidR="00DA55E9" w:rsidRDefault="00000000">
      <w:pPr>
        <w:pStyle w:val="Heading2"/>
      </w:pPr>
      <w:bookmarkStart w:id="8" w:name="illustrative-panel-cadence"/>
      <w:bookmarkEnd w:id="7"/>
      <w:r>
        <w:t>Illustrative panel cadence</w:t>
      </w:r>
    </w:p>
    <w:p w14:paraId="650563AC" w14:textId="77777777" w:rsidR="00DA55E9" w:rsidRDefault="00000000">
      <w:pPr>
        <w:pStyle w:val="SourceCode"/>
      </w:pPr>
      <w:r>
        <w:rPr>
          <w:rStyle w:val="VerbatimChar"/>
        </w:rPr>
        <w:t>timeline</w:t>
      </w:r>
      <w:r>
        <w:br/>
      </w:r>
      <w:r>
        <w:rPr>
          <w:rStyle w:val="VerbatimChar"/>
        </w:rPr>
        <w:t xml:space="preserve">    title Rupture-and-repair panel cadence for a 6–24 month study</w:t>
      </w:r>
      <w:r>
        <w:br/>
      </w:r>
      <w:r>
        <w:rPr>
          <w:rStyle w:val="VerbatimChar"/>
        </w:rPr>
        <w:t xml:space="preserve">    Month 0 : ethics review</w:t>
      </w:r>
      <w:r>
        <w:br/>
      </w:r>
      <w:r>
        <w:rPr>
          <w:rStyle w:val="VerbatimChar"/>
        </w:rPr>
        <w:t xml:space="preserve">            : consent and baseline profiling</w:t>
      </w:r>
      <w:r>
        <w:br/>
      </w:r>
      <w:r>
        <w:rPr>
          <w:rStyle w:val="VerbatimChar"/>
        </w:rPr>
        <w:t xml:space="preserve">            : instrumentation setup</w:t>
      </w:r>
      <w:r>
        <w:br/>
      </w:r>
      <w:r>
        <w:rPr>
          <w:rStyle w:val="VerbatimChar"/>
        </w:rPr>
        <w:t xml:space="preserve">            : repository snapshotting and seed validation</w:t>
      </w:r>
      <w:r>
        <w:br/>
      </w:r>
      <w:r>
        <w:rPr>
          <w:rStyle w:val="VerbatimChar"/>
        </w:rPr>
        <w:t xml:space="preserve">    Months 1-2 : pilot sessions</w:t>
      </w:r>
      <w:r>
        <w:br/>
      </w:r>
      <w:r>
        <w:rPr>
          <w:rStyle w:val="VerbatimChar"/>
        </w:rPr>
        <w:t xml:space="preserve">               : telemetry shakeout</w:t>
      </w:r>
      <w:r>
        <w:br/>
      </w:r>
      <w:r>
        <w:rPr>
          <w:rStyle w:val="VerbatimChar"/>
        </w:rPr>
        <w:t xml:space="preserve">               : power-model calibration</w:t>
      </w:r>
      <w:r>
        <w:br/>
      </w:r>
      <w:r>
        <w:rPr>
          <w:rStyle w:val="VerbatimChar"/>
        </w:rPr>
        <w:t xml:space="preserve">    Months 2-6 : repeated instrumented coding sessions</w:t>
      </w:r>
      <w:r>
        <w:br/>
      </w:r>
      <w:r>
        <w:rPr>
          <w:rStyle w:val="VerbatimChar"/>
        </w:rPr>
        <w:t xml:space="preserve">               : post-session trust and recoverability surveys</w:t>
      </w:r>
      <w:r>
        <w:br/>
      </w:r>
      <w:r>
        <w:rPr>
          <w:rStyle w:val="VerbatimChar"/>
        </w:rPr>
        <w:t xml:space="preserve">               : monthly CI/test/security harvests</w:t>
      </w:r>
      <w:r>
        <w:br/>
      </w:r>
      <w:r>
        <w:rPr>
          <w:rStyle w:val="VerbatimChar"/>
        </w:rPr>
        <w:t xml:space="preserve">    Months 3, 6, 9, 12 : qualitative follow-up interviews</w:t>
      </w:r>
      <w:r>
        <w:br/>
      </w:r>
      <w:r>
        <w:rPr>
          <w:rStyle w:val="VerbatimChar"/>
        </w:rPr>
        <w:t xml:space="preserve">                        : repository health checks</w:t>
      </w:r>
      <w:r>
        <w:br/>
      </w:r>
      <w:r>
        <w:rPr>
          <w:rStyle w:val="VerbatimChar"/>
        </w:rPr>
        <w:t xml:space="preserve">                        : regression and revert audits</w:t>
      </w:r>
      <w:r>
        <w:br/>
      </w:r>
      <w:r>
        <w:rPr>
          <w:rStyle w:val="VerbatimChar"/>
        </w:rPr>
        <w:t xml:space="preserve">    Months 12-18 : continued sessions for long-horizon subgroup</w:t>
      </w:r>
      <w:r>
        <w:br/>
      </w:r>
      <w:r>
        <w:rPr>
          <w:rStyle w:val="VerbatimChar"/>
        </w:rPr>
        <w:t xml:space="preserve">                 : autonomy-level crossovers</w:t>
      </w:r>
      <w:r>
        <w:br/>
      </w:r>
      <w:r>
        <w:rPr>
          <w:rStyle w:val="VerbatimChar"/>
        </w:rPr>
        <w:t xml:space="preserve">                 : reviewer and maintainer feedback collection</w:t>
      </w:r>
      <w:r>
        <w:br/>
      </w:r>
      <w:r>
        <w:rPr>
          <w:rStyle w:val="VerbatimChar"/>
        </w:rPr>
        <w:t xml:space="preserve">    Months 18-24 : final follow-ups</w:t>
      </w:r>
      <w:r>
        <w:br/>
      </w:r>
      <w:r>
        <w:rPr>
          <w:rStyle w:val="VerbatimChar"/>
        </w:rPr>
        <w:t xml:space="preserve">                 : delayed regression scans</w:t>
      </w:r>
      <w:r>
        <w:br/>
      </w:r>
      <w:r>
        <w:rPr>
          <w:rStyle w:val="VerbatimChar"/>
        </w:rPr>
        <w:lastRenderedPageBreak/>
        <w:t xml:space="preserve">                 : retention audit</w:t>
      </w:r>
      <w:r>
        <w:br/>
      </w:r>
      <w:r>
        <w:rPr>
          <w:rStyle w:val="VerbatimChar"/>
        </w:rPr>
        <w:t xml:space="preserve">                 : preregistered closeout analysis</w:t>
      </w:r>
    </w:p>
    <w:p w14:paraId="1ACDBA9E" w14:textId="77777777" w:rsidR="00DA55E9" w:rsidRDefault="00000000">
      <w:pPr>
        <w:pStyle w:val="FirstParagraph"/>
      </w:pPr>
      <w:r>
        <w:t xml:space="preserve">This cadence is designed to capture both </w:t>
      </w:r>
      <w:r>
        <w:rPr>
          <w:b/>
          <w:bCs/>
        </w:rPr>
        <w:t>short-lag derailments</w:t>
      </w:r>
      <w:r>
        <w:t xml:space="preserve"> that appear within a session and </w:t>
      </w:r>
      <w:r>
        <w:rPr>
          <w:b/>
          <w:bCs/>
        </w:rPr>
        <w:t>delayed repository consequences</w:t>
      </w:r>
      <w:r>
        <w:t xml:space="preserve"> that only emerge after more code, more review, and more CI cycles. That is the central empirical gap left by the present literature: short lab studies reveal rupture and repair pressure, while the autonomous-agent studies reveal delayed compounding, but almost no study yet connects the two in one longitudinal design.</w:t>
      </w:r>
    </w:p>
    <w:bookmarkEnd w:id="1"/>
    <w:bookmarkEnd w:id="2"/>
    <w:bookmarkEnd w:id="8"/>
    <w:p w14:paraId="617CFFE9" w14:textId="77777777" w:rsidR="00DA55E9" w:rsidRDefault="00F603CB">
      <w:r>
        <w:rPr>
          <w:noProof/>
        </w:rPr>
      </w:r>
      <w:r w:rsidR="00F603CB">
        <w:rPr>
          <w:noProof/>
        </w:rPr>
        <w:pict w14:anchorId="1372768C">
          <v:rect id="_x0000_i1025" alt="" style="width:468pt;height:.05pt;mso-width-percent:0;mso-height-percent:0;mso-width-percent:0;mso-height-percent:0" o:hralign="center" o:hrstd="t" o:hr="t"/>
        </w:pict>
      </w:r>
      <w:bookmarkStart w:id="9" w:name="citations"/>
      <w:bookmarkEnd w:id="9"/>
    </w:p>
    <w:p w14:paraId="0EE25F0C" w14:textId="77777777" w:rsidR="00F603CB" w:rsidRDefault="00F603CB"/>
    <w:p w14:paraId="131181D3" w14:textId="77777777" w:rsidR="00F603CB" w:rsidRDefault="00F603CB" w:rsidP="00F603CB">
      <w:pPr>
        <w:pStyle w:val="Heading1"/>
        <w:pBdr>
          <w:top w:val="single" w:sz="2" w:space="0" w:color="auto"/>
          <w:left w:val="single" w:sz="2" w:space="0" w:color="auto"/>
          <w:bottom w:val="single" w:sz="2" w:space="0" w:color="auto"/>
          <w:right w:val="single" w:sz="2" w:space="0" w:color="auto"/>
        </w:pBdr>
        <w:shd w:val="clear" w:color="auto" w:fill="FFFFFF"/>
        <w:spacing w:before="0" w:after="160"/>
        <w:rPr>
          <w:rFonts w:ascii="Segoe UI" w:hAnsi="Segoe UI" w:cs="Segoe UI"/>
          <w:color w:val="0D0D0D"/>
          <w:spacing w:val="-2"/>
        </w:rPr>
      </w:pPr>
      <w:r>
        <w:rPr>
          <w:rFonts w:ascii="Segoe UI" w:hAnsi="Segoe UI" w:cs="Segoe UI"/>
          <w:color w:val="0D0D0D"/>
          <w:spacing w:val="-2"/>
        </w:rPr>
        <w:t>Rupture and Repair in Human-AI Coding Interaction</w:t>
      </w:r>
    </w:p>
    <w:p w14:paraId="21AE4310" w14:textId="77777777" w:rsidR="00F603CB" w:rsidRDefault="00F603CB" w:rsidP="00F603CB">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Executive summary</w:t>
      </w:r>
    </w:p>
    <w:p w14:paraId="354F7443"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Post-2020 evidence on human-AI coding interaction is now strong enough to support a practical rupture-and-repair model, but it is still dominated by small- to mid-size studies and short sessions rather than true longitudinal designs. Across the direct coding studies, the most consequential ruptures are not obvious syntax failures; they are </w:t>
      </w:r>
      <w:r>
        <w:rPr>
          <w:rStyle w:val="Strong"/>
          <w:rFonts w:ascii="Segoe UI" w:eastAsiaTheme="majorEastAsia" w:hAnsi="Segoe UI" w:cs="Segoe UI"/>
          <w:color w:val="0D0D0D"/>
          <w:spacing w:val="-2"/>
          <w:sz w:val="22"/>
          <w:szCs w:val="22"/>
          <w:bdr w:val="single" w:sz="2" w:space="0" w:color="auto" w:frame="1"/>
        </w:rPr>
        <w:t>silent semantic errors, partial or missing-precondition answers, context-loss failures, overcomplicated outputs, and repository-scale misalignment</w:t>
      </w:r>
      <w:r>
        <w:rPr>
          <w:rFonts w:ascii="Segoe UI" w:hAnsi="Segoe UI" w:cs="Segoe UI"/>
          <w:color w:val="0D0D0D"/>
          <w:spacing w:val="-2"/>
          <w:sz w:val="22"/>
          <w:szCs w:val="22"/>
        </w:rPr>
        <w:t xml:space="preserve">, because those failures delay detection and make repair expensive (see Tie et al., </w:t>
      </w:r>
      <w:proofErr w:type="spellStart"/>
      <w:r>
        <w:rPr>
          <w:rFonts w:ascii="Segoe UI" w:hAnsi="Segoe UI" w:cs="Segoe UI"/>
          <w:color w:val="0D0D0D"/>
          <w:spacing w:val="-2"/>
          <w:sz w:val="22"/>
          <w:szCs w:val="22"/>
        </w:rPr>
        <w:t>Vaithilingam</w:t>
      </w:r>
      <w:proofErr w:type="spellEnd"/>
      <w:r>
        <w:rPr>
          <w:rFonts w:ascii="Segoe UI" w:hAnsi="Segoe UI" w:cs="Segoe UI"/>
          <w:color w:val="0D0D0D"/>
          <w:spacing w:val="-2"/>
          <w:sz w:val="22"/>
          <w:szCs w:val="22"/>
        </w:rPr>
        <w:t xml:space="preserve"> et al., Barke et al., Perry et al., Di &amp; Zhang, Ehsani, and SWE-CI in the comparison table). The best-documented repair strategies are re-prompting, task scaffolding, adding context, manual override, switching tasks/tools, and escalation to outside sources or people; these strategies help, but their success is only moderate in the one study that reports rates in detail, and persistent unhelpful responses strongly predict abandonment. Trust is consistently double-edged: developers often report liking or preferring the assistant even when objective time, success, or security outcomes do not improve, and in security contexts the assistant can increase false confidence. The main research gap is no longer “do failures happen?” but “how quickly are different failures detected, which repair path is chosen, how often does repair actually recover the session, and what delayed regressions appear weeks or months later?”</w:t>
      </w:r>
    </w:p>
    <w:p w14:paraId="442BF1B3"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 xml:space="preserve">Metadata </w:t>
      </w:r>
      <w:proofErr w:type="gramStart"/>
      <w:r>
        <w:rPr>
          <w:rFonts w:ascii="Segoe UI" w:hAnsi="Segoe UI" w:cs="Segoe UI"/>
          <w:color w:val="0D0D0D"/>
          <w:spacing w:val="-2"/>
          <w:sz w:val="22"/>
          <w:szCs w:val="22"/>
        </w:rPr>
        <w:t>note:</w:t>
      </w:r>
      <w:proofErr w:type="gramEnd"/>
      <w:r>
        <w:rPr>
          <w:rFonts w:ascii="Segoe UI" w:hAnsi="Segoe UI" w:cs="Segoe UI"/>
          <w:color w:val="0D0D0D"/>
          <w:spacing w:val="-2"/>
          <w:sz w:val="22"/>
          <w:szCs w:val="22"/>
        </w:rPr>
        <w:t xml:space="preserve"> links below prioritize </w:t>
      </w:r>
      <w:proofErr w:type="spellStart"/>
      <w:r>
        <w:rPr>
          <w:rFonts w:ascii="Segoe UI" w:hAnsi="Segoe UI" w:cs="Segoe UI"/>
          <w:color w:val="0D0D0D"/>
          <w:spacing w:val="-2"/>
          <w:sz w:val="22"/>
          <w:szCs w:val="22"/>
        </w:rPr>
        <w:t>arXiv</w:t>
      </w:r>
      <w:proofErr w:type="spellEnd"/>
      <w:r>
        <w:rPr>
          <w:rFonts w:ascii="Segoe UI" w:hAnsi="Segoe UI" w:cs="Segoe UI"/>
          <w:color w:val="0D0D0D"/>
          <w:spacing w:val="-2"/>
          <w:sz w:val="22"/>
          <w:szCs w:val="22"/>
        </w:rPr>
        <w:t>, DOI, Association for Computing Machinery pages, or the closest already-verified public manuscript page recovered in the earlier scan. Where the earlier verified scan did not recover stable metadata, I mark fields as </w:t>
      </w:r>
      <w:r>
        <w:rPr>
          <w:rStyle w:val="Strong"/>
          <w:rFonts w:ascii="Segoe UI" w:eastAsiaTheme="majorEastAsia" w:hAnsi="Segoe UI" w:cs="Segoe UI"/>
          <w:color w:val="0D0D0D"/>
          <w:spacing w:val="-2"/>
          <w:sz w:val="22"/>
          <w:szCs w:val="22"/>
          <w:bdr w:val="single" w:sz="2" w:space="0" w:color="auto" w:frame="1"/>
        </w:rPr>
        <w:t>unspecified</w:t>
      </w:r>
      <w:r>
        <w:rPr>
          <w:rFonts w:ascii="Segoe UI" w:hAnsi="Segoe UI" w:cs="Segoe UI"/>
          <w:color w:val="0D0D0D"/>
          <w:spacing w:val="-2"/>
          <w:sz w:val="22"/>
          <w:szCs w:val="22"/>
        </w:rPr>
        <w:t> rather than inventing values.</w:t>
      </w:r>
    </w:p>
    <w:p w14:paraId="64E4452E" w14:textId="77777777" w:rsidR="00F603CB" w:rsidRDefault="00F603CB" w:rsidP="00F603CB">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Comparison table</w:t>
      </w:r>
    </w:p>
    <w:p w14:paraId="243ED7CB"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Rows marked </w:t>
      </w:r>
      <w:r>
        <w:rPr>
          <w:rStyle w:val="Strong"/>
          <w:rFonts w:ascii="Segoe UI" w:eastAsiaTheme="majorEastAsia" w:hAnsi="Segoe UI" w:cs="Segoe UI"/>
          <w:color w:val="0D0D0D"/>
          <w:spacing w:val="-2"/>
          <w:sz w:val="22"/>
          <w:szCs w:val="22"/>
          <w:bdr w:val="single" w:sz="2" w:space="0" w:color="auto" w:frame="1"/>
        </w:rPr>
        <w:t>adjacent</w:t>
      </w:r>
      <w:r>
        <w:rPr>
          <w:rFonts w:ascii="Segoe UI" w:hAnsi="Segoe UI" w:cs="Segoe UI"/>
          <w:color w:val="0D0D0D"/>
          <w:spacing w:val="-2"/>
          <w:sz w:val="22"/>
          <w:szCs w:val="22"/>
        </w:rPr>
        <w:t> are included because they provide a repair or working-alliance lens that is useful for coding interaction, not because they are direct coding studies.</w:t>
      </w:r>
    </w:p>
    <w:tbl>
      <w:tblPr>
        <w:tblW w:w="1402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8"/>
        <w:gridCol w:w="1032"/>
        <w:gridCol w:w="1030"/>
        <w:gridCol w:w="1431"/>
        <w:gridCol w:w="1080"/>
        <w:gridCol w:w="1119"/>
        <w:gridCol w:w="2103"/>
        <w:gridCol w:w="4655"/>
      </w:tblGrid>
      <w:tr w:rsidR="00F603CB" w14:paraId="0E4640D2"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19E957AC" w14:textId="77777777" w:rsidR="00F603CB" w:rsidRDefault="00F603CB">
            <w:pPr>
              <w:rPr>
                <w:rFonts w:ascii="Times New Roman" w:hAnsi="Times New Roman" w:cs="Times New Roman"/>
                <w:b/>
                <w:bCs/>
                <w:color w:val="0D0D0D"/>
                <w:sz w:val="20"/>
                <w:szCs w:val="20"/>
              </w:rPr>
            </w:pPr>
            <w:r>
              <w:rPr>
                <w:b/>
                <w:bCs/>
                <w:color w:val="0D0D0D"/>
                <w:sz w:val="20"/>
                <w:szCs w:val="20"/>
              </w:rPr>
              <w:lastRenderedPageBreak/>
              <w:t>Study</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27D51B8E" w14:textId="77777777" w:rsidR="00F603CB" w:rsidRDefault="00F603CB">
            <w:pPr>
              <w:rPr>
                <w:b/>
                <w:bCs/>
                <w:color w:val="0D0D0D"/>
                <w:sz w:val="20"/>
                <w:szCs w:val="20"/>
              </w:rPr>
            </w:pPr>
            <w:r>
              <w:rPr>
                <w:b/>
                <w:bCs/>
                <w:color w:val="0D0D0D"/>
                <w:sz w:val="20"/>
                <w:szCs w:val="20"/>
              </w:rPr>
              <w:t>Evidence type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358EE7A9" w14:textId="77777777" w:rsidR="00F603CB" w:rsidRDefault="00F603CB">
            <w:pPr>
              <w:rPr>
                <w:b/>
                <w:bCs/>
                <w:color w:val="0D0D0D"/>
                <w:sz w:val="20"/>
                <w:szCs w:val="20"/>
              </w:rPr>
            </w:pPr>
            <w:r>
              <w:rPr>
                <w:b/>
                <w:bCs/>
                <w:color w:val="0D0D0D"/>
                <w:sz w:val="20"/>
                <w:szCs w:val="20"/>
              </w:rPr>
              <w:t>Citation / link</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465A0667" w14:textId="77777777" w:rsidR="00F603CB" w:rsidRDefault="00F603CB">
            <w:pPr>
              <w:rPr>
                <w:b/>
                <w:bCs/>
                <w:color w:val="0D0D0D"/>
                <w:sz w:val="20"/>
                <w:szCs w:val="20"/>
              </w:rPr>
            </w:pPr>
            <w:r>
              <w:rPr>
                <w:b/>
                <w:bCs/>
                <w:color w:val="0D0D0D"/>
                <w:sz w:val="20"/>
                <w:szCs w:val="20"/>
              </w:rPr>
              <w:t>Study design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06B46641" w14:textId="77777777" w:rsidR="00F603CB" w:rsidRDefault="00F603CB">
            <w:pPr>
              <w:rPr>
                <w:b/>
                <w:bCs/>
                <w:color w:val="0D0D0D"/>
                <w:sz w:val="20"/>
                <w:szCs w:val="20"/>
              </w:rPr>
            </w:pPr>
            <w:r>
              <w:rPr>
                <w:b/>
                <w:bCs/>
                <w:color w:val="0D0D0D"/>
                <w:sz w:val="20"/>
                <w:szCs w:val="20"/>
              </w:rPr>
              <w:t>Duration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1C36E01" w14:textId="77777777" w:rsidR="00F603CB" w:rsidRDefault="00F603CB">
            <w:pPr>
              <w:jc w:val="right"/>
              <w:rPr>
                <w:b/>
                <w:bCs/>
                <w:color w:val="0D0D0D"/>
                <w:sz w:val="20"/>
                <w:szCs w:val="20"/>
              </w:rPr>
            </w:pPr>
            <w:r>
              <w:rPr>
                <w:b/>
                <w:bCs/>
                <w:color w:val="0D0D0D"/>
                <w:sz w:val="20"/>
                <w:szCs w:val="20"/>
              </w:rPr>
              <w:t>n</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51600483" w14:textId="77777777" w:rsidR="00F603CB" w:rsidRDefault="00F603CB">
            <w:pPr>
              <w:rPr>
                <w:b/>
                <w:bCs/>
                <w:color w:val="0D0D0D"/>
                <w:sz w:val="20"/>
                <w:szCs w:val="20"/>
              </w:rPr>
            </w:pPr>
            <w:r>
              <w:rPr>
                <w:b/>
                <w:bCs/>
                <w:color w:val="0D0D0D"/>
                <w:sz w:val="20"/>
                <w:szCs w:val="20"/>
              </w:rPr>
              <w:t>Primary measures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6B9A01DC" w14:textId="77777777" w:rsidR="00F603CB" w:rsidRDefault="00F603CB">
            <w:pPr>
              <w:rPr>
                <w:b/>
                <w:bCs/>
                <w:color w:val="0D0D0D"/>
                <w:sz w:val="20"/>
                <w:szCs w:val="20"/>
              </w:rPr>
            </w:pPr>
            <w:r>
              <w:rPr>
                <w:b/>
                <w:bCs/>
                <w:color w:val="0D0D0D"/>
                <w:sz w:val="20"/>
                <w:szCs w:val="20"/>
              </w:rPr>
              <w:t>Key findings on detection, repair, abandonment, trust, and compounding</w:t>
            </w:r>
          </w:p>
        </w:tc>
      </w:tr>
      <w:tr w:rsidR="00F603CB" w14:paraId="13B37078" w14:textId="77777777">
        <w:tc>
          <w:tcPr>
            <w:tcW w:w="0" w:type="auto"/>
            <w:tcBorders>
              <w:top w:val="single" w:sz="2" w:space="0" w:color="auto"/>
              <w:left w:val="single" w:sz="2" w:space="0" w:color="auto"/>
              <w:bottom w:val="single" w:sz="2" w:space="0" w:color="auto"/>
              <w:right w:val="single" w:sz="2" w:space="0" w:color="auto"/>
            </w:tcBorders>
            <w:hideMark/>
          </w:tcPr>
          <w:p w14:paraId="38318158" w14:textId="77777777" w:rsidR="00F603CB" w:rsidRDefault="00F603CB">
            <w:pPr>
              <w:rPr>
                <w:color w:val="0D0D0D"/>
                <w:sz w:val="20"/>
                <w:szCs w:val="20"/>
              </w:rPr>
            </w:pPr>
            <w:r>
              <w:rPr>
                <w:color w:val="0D0D0D"/>
                <w:sz w:val="20"/>
                <w:szCs w:val="20"/>
              </w:rPr>
              <w:t>Tie et al. preprint, </w:t>
            </w:r>
            <w:r>
              <w:rPr>
                <w:rStyle w:val="Strong"/>
                <w:color w:val="0D0D0D"/>
                <w:sz w:val="20"/>
                <w:szCs w:val="20"/>
                <w:bdr w:val="single" w:sz="2" w:space="0" w:color="auto" w:frame="1"/>
              </w:rPr>
              <w:t>“LLMs are Imperfect, Then What? … via Failure Cases”</w:t>
            </w:r>
          </w:p>
        </w:tc>
        <w:tc>
          <w:tcPr>
            <w:tcW w:w="0" w:type="auto"/>
            <w:tcBorders>
              <w:top w:val="single" w:sz="2" w:space="0" w:color="auto"/>
              <w:left w:val="single" w:sz="2" w:space="0" w:color="auto"/>
              <w:bottom w:val="single" w:sz="2" w:space="0" w:color="auto"/>
              <w:right w:val="single" w:sz="2" w:space="0" w:color="auto"/>
            </w:tcBorders>
            <w:hideMark/>
          </w:tcPr>
          <w:p w14:paraId="5E3BEAA1" w14:textId="77777777" w:rsidR="00F603CB" w:rsidRDefault="00F603CB">
            <w:pPr>
              <w:rPr>
                <w:color w:val="0D0D0D"/>
                <w:sz w:val="20"/>
                <w:szCs w:val="20"/>
              </w:rPr>
            </w:pPr>
            <w:r>
              <w:rPr>
                <w:color w:val="0D0D0D"/>
                <w:sz w:val="20"/>
                <w:szCs w:val="20"/>
              </w:rPr>
              <w:t>Empirical</w:t>
            </w:r>
          </w:p>
        </w:tc>
        <w:tc>
          <w:tcPr>
            <w:tcW w:w="0" w:type="auto"/>
            <w:tcBorders>
              <w:top w:val="single" w:sz="2" w:space="0" w:color="auto"/>
              <w:left w:val="single" w:sz="2" w:space="0" w:color="auto"/>
              <w:bottom w:val="single" w:sz="2" w:space="0" w:color="auto"/>
              <w:right w:val="single" w:sz="2" w:space="0" w:color="auto"/>
            </w:tcBorders>
            <w:hideMark/>
          </w:tcPr>
          <w:p w14:paraId="3BA4FE47" w14:textId="77777777" w:rsidR="00F603CB" w:rsidRDefault="00F603CB">
            <w:pPr>
              <w:rPr>
                <w:color w:val="0D0D0D"/>
                <w:sz w:val="20"/>
                <w:szCs w:val="20"/>
              </w:rPr>
            </w:pPr>
            <w:hyperlink r:id="rId13" w:history="1">
              <w:r>
                <w:rPr>
                  <w:rStyle w:val="Hyperlink"/>
                  <w:sz w:val="20"/>
                  <w:szCs w:val="20"/>
                  <w:bdr w:val="single" w:sz="2" w:space="0" w:color="auto" w:frame="1"/>
                </w:rPr>
                <w:t>official preprint</w:t>
              </w:r>
            </w:hyperlink>
          </w:p>
        </w:tc>
        <w:tc>
          <w:tcPr>
            <w:tcW w:w="0" w:type="auto"/>
            <w:tcBorders>
              <w:top w:val="single" w:sz="2" w:space="0" w:color="auto"/>
              <w:left w:val="single" w:sz="2" w:space="0" w:color="auto"/>
              <w:bottom w:val="single" w:sz="2" w:space="0" w:color="auto"/>
              <w:right w:val="single" w:sz="2" w:space="0" w:color="auto"/>
            </w:tcBorders>
            <w:hideMark/>
          </w:tcPr>
          <w:p w14:paraId="43BBB0D3" w14:textId="77777777" w:rsidR="00F603CB" w:rsidRDefault="00F603CB">
            <w:pPr>
              <w:rPr>
                <w:color w:val="0D0D0D"/>
                <w:sz w:val="20"/>
                <w:szCs w:val="20"/>
              </w:rPr>
            </w:pPr>
            <w:r>
              <w:rPr>
                <w:color w:val="0D0D0D"/>
                <w:sz w:val="20"/>
                <w:szCs w:val="20"/>
              </w:rPr>
              <w:t>Mixed-method user study of coding tasks with ChatGPT-style assistance</w:t>
            </w:r>
          </w:p>
        </w:tc>
        <w:tc>
          <w:tcPr>
            <w:tcW w:w="0" w:type="auto"/>
            <w:tcBorders>
              <w:top w:val="single" w:sz="2" w:space="0" w:color="auto"/>
              <w:left w:val="single" w:sz="2" w:space="0" w:color="auto"/>
              <w:bottom w:val="single" w:sz="2" w:space="0" w:color="auto"/>
              <w:right w:val="single" w:sz="2" w:space="0" w:color="auto"/>
            </w:tcBorders>
            <w:hideMark/>
          </w:tcPr>
          <w:p w14:paraId="127B6FFD" w14:textId="77777777" w:rsidR="00F603CB" w:rsidRDefault="00F603CB">
            <w:pPr>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2483EE84" w14:textId="77777777" w:rsidR="00F603CB" w:rsidRDefault="00F603CB">
            <w:pPr>
              <w:jc w:val="right"/>
              <w:rPr>
                <w:color w:val="0D0D0D"/>
                <w:sz w:val="20"/>
                <w:szCs w:val="20"/>
              </w:rPr>
            </w:pPr>
            <w:r>
              <w:rPr>
                <w:color w:val="0D0D0D"/>
                <w:sz w:val="20"/>
                <w:szCs w:val="20"/>
              </w:rPr>
              <w:t>22 participants; 138 coded interaction cases</w:t>
            </w:r>
          </w:p>
        </w:tc>
        <w:tc>
          <w:tcPr>
            <w:tcW w:w="0" w:type="auto"/>
            <w:tcBorders>
              <w:top w:val="single" w:sz="2" w:space="0" w:color="auto"/>
              <w:left w:val="single" w:sz="2" w:space="0" w:color="auto"/>
              <w:bottom w:val="single" w:sz="2" w:space="0" w:color="auto"/>
              <w:right w:val="single" w:sz="2" w:space="0" w:color="auto"/>
            </w:tcBorders>
            <w:hideMark/>
          </w:tcPr>
          <w:p w14:paraId="7461FADE" w14:textId="77777777" w:rsidR="00F603CB" w:rsidRDefault="00F603CB">
            <w:pPr>
              <w:rPr>
                <w:color w:val="0D0D0D"/>
                <w:sz w:val="20"/>
                <w:szCs w:val="20"/>
              </w:rPr>
            </w:pPr>
            <w:r>
              <w:rPr>
                <w:color w:val="0D0D0D"/>
                <w:sz w:val="20"/>
                <w:szCs w:val="20"/>
              </w:rPr>
              <w:t>Helpful vs failed responses; failure type; mitigation strategy; outcome/abandonment</w:t>
            </w:r>
          </w:p>
        </w:tc>
        <w:tc>
          <w:tcPr>
            <w:tcW w:w="0" w:type="auto"/>
            <w:tcBorders>
              <w:top w:val="single" w:sz="2" w:space="0" w:color="auto"/>
              <w:left w:val="single" w:sz="2" w:space="0" w:color="auto"/>
              <w:bottom w:val="single" w:sz="2" w:space="0" w:color="auto"/>
              <w:right w:val="single" w:sz="2" w:space="0" w:color="auto"/>
            </w:tcBorders>
            <w:hideMark/>
          </w:tcPr>
          <w:p w14:paraId="6DE20A56" w14:textId="77777777" w:rsidR="00F603CB" w:rsidRDefault="00F603CB">
            <w:pPr>
              <w:rPr>
                <w:color w:val="0D0D0D"/>
                <w:sz w:val="20"/>
                <w:szCs w:val="20"/>
              </w:rPr>
            </w:pPr>
            <w:r>
              <w:rPr>
                <w:color w:val="0D0D0D"/>
                <w:sz w:val="20"/>
                <w:szCs w:val="20"/>
              </w:rPr>
              <w:t>Direct detection latency was </w:t>
            </w:r>
            <w:r>
              <w:rPr>
                <w:rStyle w:val="Strong"/>
                <w:color w:val="0D0D0D"/>
                <w:sz w:val="20"/>
                <w:szCs w:val="20"/>
                <w:bdr w:val="single" w:sz="2" w:space="0" w:color="auto" w:frame="1"/>
              </w:rPr>
              <w:t>not instrumented</w:t>
            </w:r>
            <w:r>
              <w:rPr>
                <w:color w:val="0D0D0D"/>
                <w:sz w:val="20"/>
                <w:szCs w:val="20"/>
              </w:rPr>
              <w:t xml:space="preserve"> as a timestamped measure, but failures were often subtle rather than immediately </w:t>
            </w:r>
            <w:proofErr w:type="gramStart"/>
            <w:r>
              <w:rPr>
                <w:color w:val="0D0D0D"/>
                <w:sz w:val="20"/>
                <w:szCs w:val="20"/>
              </w:rPr>
              <w:t>compiler-visible</w:t>
            </w:r>
            <w:proofErr w:type="gramEnd"/>
            <w:r>
              <w:rPr>
                <w:color w:val="0D0D0D"/>
                <w:sz w:val="20"/>
                <w:szCs w:val="20"/>
              </w:rPr>
              <w:t xml:space="preserve">. In the accessible preprint, 59% of answers were implemented as helpful; 46/138 cases were coded as failures (33%). Common failures included incomplete answers, overwhelming answers, missing preconditions, overcomplicated answers, and context failures. Repair actions and reported success rates </w:t>
            </w:r>
            <w:proofErr w:type="gramStart"/>
            <w:r>
              <w:rPr>
                <w:color w:val="0D0D0D"/>
                <w:sz w:val="20"/>
                <w:szCs w:val="20"/>
              </w:rPr>
              <w:t>were:</w:t>
            </w:r>
            <w:proofErr w:type="gramEnd"/>
            <w:r>
              <w:rPr>
                <w:color w:val="0D0D0D"/>
                <w:sz w:val="20"/>
                <w:szCs w:val="20"/>
              </w:rPr>
              <w:t xml:space="preserve"> further scaffold task 23 cases (52% success), clarify prompt 22 (63%), switch task 17 (47%), add context 15 (53%), manually debug 13 (38%), highlight answer error 5 (60%), consult external source 2 (success rate unspecified). The preprint also reports that 15/22 ultimately gave up after unhelpful interactions, while 7 accepted incomplete or suboptimal outcomes.</w:t>
            </w:r>
          </w:p>
        </w:tc>
      </w:tr>
      <w:tr w:rsidR="00F603CB" w14:paraId="775D6E05" w14:textId="77777777">
        <w:tc>
          <w:tcPr>
            <w:tcW w:w="0" w:type="auto"/>
            <w:tcBorders>
              <w:top w:val="single" w:sz="2" w:space="0" w:color="auto"/>
              <w:left w:val="single" w:sz="2" w:space="0" w:color="auto"/>
              <w:bottom w:val="single" w:sz="2" w:space="0" w:color="auto"/>
              <w:right w:val="single" w:sz="2" w:space="0" w:color="auto"/>
            </w:tcBorders>
            <w:hideMark/>
          </w:tcPr>
          <w:p w14:paraId="65EE5C5F" w14:textId="77777777" w:rsidR="00F603CB" w:rsidRDefault="00F603CB">
            <w:pPr>
              <w:rPr>
                <w:color w:val="0D0D0D"/>
                <w:sz w:val="20"/>
                <w:szCs w:val="20"/>
              </w:rPr>
            </w:pPr>
            <w:r>
              <w:rPr>
                <w:color w:val="0D0D0D"/>
                <w:sz w:val="20"/>
                <w:szCs w:val="20"/>
              </w:rPr>
              <w:t xml:space="preserve">Tie et al. revised </w:t>
            </w:r>
            <w:proofErr w:type="spellStart"/>
            <w:r>
              <w:rPr>
                <w:color w:val="0D0D0D"/>
                <w:sz w:val="20"/>
                <w:szCs w:val="20"/>
              </w:rPr>
              <w:t>arXiv</w:t>
            </w:r>
            <w:proofErr w:type="spellEnd"/>
            <w:r>
              <w:rPr>
                <w:color w:val="0D0D0D"/>
                <w:sz w:val="20"/>
                <w:szCs w:val="20"/>
              </w:rPr>
              <w:t xml:space="preserve"> / TOSEM version, </w:t>
            </w:r>
            <w:r>
              <w:rPr>
                <w:rStyle w:val="Strong"/>
                <w:color w:val="0D0D0D"/>
                <w:sz w:val="20"/>
                <w:szCs w:val="20"/>
                <w:bdr w:val="single" w:sz="2" w:space="0" w:color="auto" w:frame="1"/>
              </w:rPr>
              <w:t>“Should I Give Up Now?”</w:t>
            </w:r>
          </w:p>
        </w:tc>
        <w:tc>
          <w:tcPr>
            <w:tcW w:w="0" w:type="auto"/>
            <w:tcBorders>
              <w:top w:val="single" w:sz="2" w:space="0" w:color="auto"/>
              <w:left w:val="single" w:sz="2" w:space="0" w:color="auto"/>
              <w:bottom w:val="single" w:sz="2" w:space="0" w:color="auto"/>
              <w:right w:val="single" w:sz="2" w:space="0" w:color="auto"/>
            </w:tcBorders>
            <w:hideMark/>
          </w:tcPr>
          <w:p w14:paraId="045A8BDF" w14:textId="77777777" w:rsidR="00F603CB" w:rsidRDefault="00F603CB">
            <w:pPr>
              <w:rPr>
                <w:color w:val="0D0D0D"/>
                <w:sz w:val="20"/>
                <w:szCs w:val="20"/>
              </w:rPr>
            </w:pPr>
            <w:r>
              <w:rPr>
                <w:color w:val="0D0D0D"/>
                <w:sz w:val="20"/>
                <w:szCs w:val="20"/>
              </w:rPr>
              <w:t>Empirical</w:t>
            </w:r>
          </w:p>
        </w:tc>
        <w:tc>
          <w:tcPr>
            <w:tcW w:w="0" w:type="auto"/>
            <w:tcBorders>
              <w:top w:val="single" w:sz="2" w:space="0" w:color="auto"/>
              <w:left w:val="single" w:sz="2" w:space="0" w:color="auto"/>
              <w:bottom w:val="single" w:sz="2" w:space="0" w:color="auto"/>
              <w:right w:val="single" w:sz="2" w:space="0" w:color="auto"/>
            </w:tcBorders>
            <w:hideMark/>
          </w:tcPr>
          <w:p w14:paraId="20B497F2" w14:textId="77777777" w:rsidR="00F603CB" w:rsidRDefault="00F603CB">
            <w:pPr>
              <w:rPr>
                <w:color w:val="0D0D0D"/>
                <w:sz w:val="20"/>
                <w:szCs w:val="20"/>
              </w:rPr>
            </w:pPr>
            <w:r>
              <w:rPr>
                <w:color w:val="0D0D0D"/>
                <w:sz w:val="20"/>
                <w:szCs w:val="20"/>
              </w:rPr>
              <w:t>unspecified in prior verified scan</w:t>
            </w:r>
          </w:p>
        </w:tc>
        <w:tc>
          <w:tcPr>
            <w:tcW w:w="0" w:type="auto"/>
            <w:tcBorders>
              <w:top w:val="single" w:sz="2" w:space="0" w:color="auto"/>
              <w:left w:val="single" w:sz="2" w:space="0" w:color="auto"/>
              <w:bottom w:val="single" w:sz="2" w:space="0" w:color="auto"/>
              <w:right w:val="single" w:sz="2" w:space="0" w:color="auto"/>
            </w:tcBorders>
            <w:hideMark/>
          </w:tcPr>
          <w:p w14:paraId="4B35DFA7" w14:textId="77777777" w:rsidR="00F603CB" w:rsidRDefault="00F603CB">
            <w:pPr>
              <w:rPr>
                <w:color w:val="0D0D0D"/>
                <w:sz w:val="20"/>
                <w:szCs w:val="20"/>
              </w:rPr>
            </w:pPr>
            <w:r>
              <w:rPr>
                <w:color w:val="0D0D0D"/>
                <w:sz w:val="20"/>
                <w:szCs w:val="20"/>
              </w:rPr>
              <w:t>Revised mixed-method user study on failure and abandonment in coding interactions</w:t>
            </w:r>
          </w:p>
        </w:tc>
        <w:tc>
          <w:tcPr>
            <w:tcW w:w="0" w:type="auto"/>
            <w:tcBorders>
              <w:top w:val="single" w:sz="2" w:space="0" w:color="auto"/>
              <w:left w:val="single" w:sz="2" w:space="0" w:color="auto"/>
              <w:bottom w:val="single" w:sz="2" w:space="0" w:color="auto"/>
              <w:right w:val="single" w:sz="2" w:space="0" w:color="auto"/>
            </w:tcBorders>
            <w:hideMark/>
          </w:tcPr>
          <w:p w14:paraId="6CD1E11B" w14:textId="77777777" w:rsidR="00F603CB" w:rsidRDefault="00F603CB">
            <w:pPr>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4AB5C809" w14:textId="77777777" w:rsidR="00F603CB" w:rsidRDefault="00F603CB">
            <w:pPr>
              <w:jc w:val="right"/>
              <w:rPr>
                <w:color w:val="0D0D0D"/>
                <w:sz w:val="20"/>
                <w:szCs w:val="20"/>
              </w:rPr>
            </w:pPr>
            <w:r>
              <w:rPr>
                <w:color w:val="0D0D0D"/>
                <w:sz w:val="20"/>
                <w:szCs w:val="20"/>
              </w:rPr>
              <w:t>26 participants</w:t>
            </w:r>
          </w:p>
        </w:tc>
        <w:tc>
          <w:tcPr>
            <w:tcW w:w="0" w:type="auto"/>
            <w:tcBorders>
              <w:top w:val="single" w:sz="2" w:space="0" w:color="auto"/>
              <w:left w:val="single" w:sz="2" w:space="0" w:color="auto"/>
              <w:bottom w:val="single" w:sz="2" w:space="0" w:color="auto"/>
              <w:right w:val="single" w:sz="2" w:space="0" w:color="auto"/>
            </w:tcBorders>
            <w:hideMark/>
          </w:tcPr>
          <w:p w14:paraId="3AC7EB72" w14:textId="77777777" w:rsidR="00F603CB" w:rsidRDefault="00F603CB">
            <w:pPr>
              <w:rPr>
                <w:color w:val="0D0D0D"/>
                <w:sz w:val="20"/>
                <w:szCs w:val="20"/>
              </w:rPr>
            </w:pPr>
            <w:r>
              <w:rPr>
                <w:color w:val="0D0D0D"/>
                <w:sz w:val="20"/>
                <w:szCs w:val="20"/>
              </w:rPr>
              <w:t>Failure type; abandonment; prompt count; mitigation</w:t>
            </w:r>
          </w:p>
        </w:tc>
        <w:tc>
          <w:tcPr>
            <w:tcW w:w="0" w:type="auto"/>
            <w:tcBorders>
              <w:top w:val="single" w:sz="2" w:space="0" w:color="auto"/>
              <w:left w:val="single" w:sz="2" w:space="0" w:color="auto"/>
              <w:bottom w:val="single" w:sz="2" w:space="0" w:color="auto"/>
              <w:right w:val="single" w:sz="2" w:space="0" w:color="auto"/>
            </w:tcBorders>
            <w:hideMark/>
          </w:tcPr>
          <w:p w14:paraId="22A036A7" w14:textId="77777777" w:rsidR="00F603CB" w:rsidRDefault="00F603CB">
            <w:pPr>
              <w:rPr>
                <w:color w:val="0D0D0D"/>
                <w:sz w:val="20"/>
                <w:szCs w:val="20"/>
              </w:rPr>
            </w:pPr>
            <w:r>
              <w:rPr>
                <w:color w:val="0D0D0D"/>
                <w:sz w:val="20"/>
                <w:szCs w:val="20"/>
              </w:rPr>
              <w:t>Keeps the same broad nine-failure framing but emphasizes abandonment more directly. In the revised version described in the earlier verified scan, unhelpful responses increased abandonment likelihood </w:t>
            </w:r>
            <w:r>
              <w:rPr>
                <w:rStyle w:val="Strong"/>
                <w:color w:val="0D0D0D"/>
                <w:sz w:val="20"/>
                <w:szCs w:val="20"/>
                <w:bdr w:val="single" w:sz="2" w:space="0" w:color="auto" w:frame="1"/>
              </w:rPr>
              <w:t>11×</w:t>
            </w:r>
            <w:r>
              <w:rPr>
                <w:color w:val="0D0D0D"/>
                <w:sz w:val="20"/>
                <w:szCs w:val="20"/>
              </w:rPr>
              <w:t>, each additional prompt lowered abandonment probability by </w:t>
            </w:r>
            <w:r>
              <w:rPr>
                <w:rStyle w:val="Strong"/>
                <w:color w:val="0D0D0D"/>
                <w:sz w:val="20"/>
                <w:szCs w:val="20"/>
                <w:bdr w:val="single" w:sz="2" w:space="0" w:color="auto" w:frame="1"/>
              </w:rPr>
              <w:t>17%</w:t>
            </w:r>
            <w:r>
              <w:rPr>
                <w:color w:val="0D0D0D"/>
                <w:sz w:val="20"/>
                <w:szCs w:val="20"/>
              </w:rPr>
              <w:t>, and 17/26 participants abandoned the tool after persistent failures. Direct event-level latency still appears </w:t>
            </w:r>
            <w:r>
              <w:rPr>
                <w:rStyle w:val="Strong"/>
                <w:color w:val="0D0D0D"/>
                <w:sz w:val="20"/>
                <w:szCs w:val="20"/>
                <w:bdr w:val="single" w:sz="2" w:space="0" w:color="auto" w:frame="1"/>
              </w:rPr>
              <w:t>under-measured</w:t>
            </w:r>
            <w:r>
              <w:rPr>
                <w:color w:val="0D0D0D"/>
                <w:sz w:val="20"/>
                <w:szCs w:val="20"/>
              </w:rPr>
              <w:t>; the contribution is strongest on abandonment dynamics rather than timing.</w:t>
            </w:r>
          </w:p>
        </w:tc>
      </w:tr>
      <w:tr w:rsidR="00F603CB" w14:paraId="6C14918F" w14:textId="77777777">
        <w:tc>
          <w:tcPr>
            <w:tcW w:w="0" w:type="auto"/>
            <w:tcBorders>
              <w:top w:val="single" w:sz="2" w:space="0" w:color="auto"/>
              <w:left w:val="single" w:sz="2" w:space="0" w:color="auto"/>
              <w:bottom w:val="single" w:sz="2" w:space="0" w:color="auto"/>
              <w:right w:val="single" w:sz="2" w:space="0" w:color="auto"/>
            </w:tcBorders>
            <w:hideMark/>
          </w:tcPr>
          <w:p w14:paraId="5652AF59" w14:textId="77777777" w:rsidR="00F603CB" w:rsidRDefault="00F603CB">
            <w:pPr>
              <w:rPr>
                <w:color w:val="0D0D0D"/>
                <w:sz w:val="20"/>
                <w:szCs w:val="20"/>
              </w:rPr>
            </w:pPr>
            <w:proofErr w:type="spellStart"/>
            <w:r>
              <w:rPr>
                <w:color w:val="0D0D0D"/>
                <w:sz w:val="20"/>
                <w:szCs w:val="20"/>
              </w:rPr>
              <w:t>Vaithilingam</w:t>
            </w:r>
            <w:proofErr w:type="spellEnd"/>
            <w:r>
              <w:rPr>
                <w:color w:val="0D0D0D"/>
                <w:sz w:val="20"/>
                <w:szCs w:val="20"/>
              </w:rPr>
              <w:t xml:space="preserve"> et al., </w:t>
            </w:r>
            <w:r>
              <w:rPr>
                <w:rStyle w:val="Strong"/>
                <w:color w:val="0D0D0D"/>
                <w:sz w:val="20"/>
                <w:szCs w:val="20"/>
                <w:bdr w:val="single" w:sz="2" w:space="0" w:color="auto" w:frame="1"/>
              </w:rPr>
              <w:t>“Expectation vs. Experience: Evaluating the Usability of Code Generation Tools Powered by Large Language Models”</w:t>
            </w:r>
          </w:p>
        </w:tc>
        <w:tc>
          <w:tcPr>
            <w:tcW w:w="0" w:type="auto"/>
            <w:tcBorders>
              <w:top w:val="single" w:sz="2" w:space="0" w:color="auto"/>
              <w:left w:val="single" w:sz="2" w:space="0" w:color="auto"/>
              <w:bottom w:val="single" w:sz="2" w:space="0" w:color="auto"/>
              <w:right w:val="single" w:sz="2" w:space="0" w:color="auto"/>
            </w:tcBorders>
            <w:hideMark/>
          </w:tcPr>
          <w:p w14:paraId="3D1DDB00" w14:textId="77777777" w:rsidR="00F603CB" w:rsidRDefault="00F603CB">
            <w:pPr>
              <w:rPr>
                <w:color w:val="0D0D0D"/>
                <w:sz w:val="20"/>
                <w:szCs w:val="20"/>
              </w:rPr>
            </w:pPr>
            <w:r>
              <w:rPr>
                <w:color w:val="0D0D0D"/>
                <w:sz w:val="20"/>
                <w:szCs w:val="20"/>
              </w:rPr>
              <w:t>Empirical</w:t>
            </w:r>
          </w:p>
        </w:tc>
        <w:tc>
          <w:tcPr>
            <w:tcW w:w="0" w:type="auto"/>
            <w:tcBorders>
              <w:top w:val="single" w:sz="2" w:space="0" w:color="auto"/>
              <w:left w:val="single" w:sz="2" w:space="0" w:color="auto"/>
              <w:bottom w:val="single" w:sz="2" w:space="0" w:color="auto"/>
              <w:right w:val="single" w:sz="2" w:space="0" w:color="auto"/>
            </w:tcBorders>
            <w:hideMark/>
          </w:tcPr>
          <w:p w14:paraId="3D675788" w14:textId="77777777" w:rsidR="00F603CB" w:rsidRDefault="00F603CB">
            <w:pPr>
              <w:rPr>
                <w:color w:val="0D0D0D"/>
                <w:sz w:val="20"/>
                <w:szCs w:val="20"/>
              </w:rPr>
            </w:pPr>
            <w:hyperlink r:id="rId14" w:history="1">
              <w:r>
                <w:rPr>
                  <w:rStyle w:val="Hyperlink"/>
                  <w:sz w:val="20"/>
                  <w:szCs w:val="20"/>
                  <w:bdr w:val="single" w:sz="2" w:space="0" w:color="auto" w:frame="1"/>
                </w:rPr>
                <w:t>public manuscript</w:t>
              </w:r>
            </w:hyperlink>
          </w:p>
        </w:tc>
        <w:tc>
          <w:tcPr>
            <w:tcW w:w="0" w:type="auto"/>
            <w:tcBorders>
              <w:top w:val="single" w:sz="2" w:space="0" w:color="auto"/>
              <w:left w:val="single" w:sz="2" w:space="0" w:color="auto"/>
              <w:bottom w:val="single" w:sz="2" w:space="0" w:color="auto"/>
              <w:right w:val="single" w:sz="2" w:space="0" w:color="auto"/>
            </w:tcBorders>
            <w:hideMark/>
          </w:tcPr>
          <w:p w14:paraId="4095CFA7" w14:textId="77777777" w:rsidR="00F603CB" w:rsidRDefault="00F603CB">
            <w:pPr>
              <w:rPr>
                <w:color w:val="0D0D0D"/>
                <w:sz w:val="20"/>
                <w:szCs w:val="20"/>
              </w:rPr>
            </w:pPr>
            <w:r>
              <w:rPr>
                <w:color w:val="0D0D0D"/>
                <w:sz w:val="20"/>
                <w:szCs w:val="20"/>
              </w:rPr>
              <w:t>Lab user study comparing Copilot-style assistance with conventional completion</w:t>
            </w:r>
          </w:p>
        </w:tc>
        <w:tc>
          <w:tcPr>
            <w:tcW w:w="0" w:type="auto"/>
            <w:tcBorders>
              <w:top w:val="single" w:sz="2" w:space="0" w:color="auto"/>
              <w:left w:val="single" w:sz="2" w:space="0" w:color="auto"/>
              <w:bottom w:val="single" w:sz="2" w:space="0" w:color="auto"/>
              <w:right w:val="single" w:sz="2" w:space="0" w:color="auto"/>
            </w:tcBorders>
            <w:hideMark/>
          </w:tcPr>
          <w:p w14:paraId="4E4C0BF0" w14:textId="77777777" w:rsidR="00F603CB" w:rsidRDefault="00F603CB">
            <w:pPr>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5672E0F6" w14:textId="77777777" w:rsidR="00F603CB" w:rsidRDefault="00F603CB">
            <w:pPr>
              <w:jc w:val="right"/>
              <w:rPr>
                <w:color w:val="0D0D0D"/>
                <w:sz w:val="20"/>
                <w:szCs w:val="20"/>
              </w:rPr>
            </w:pPr>
            <w:r>
              <w:rPr>
                <w:color w:val="0D0D0D"/>
                <w:sz w:val="20"/>
                <w:szCs w:val="20"/>
              </w:rPr>
              <w:t>24 participants</w:t>
            </w:r>
          </w:p>
        </w:tc>
        <w:tc>
          <w:tcPr>
            <w:tcW w:w="0" w:type="auto"/>
            <w:tcBorders>
              <w:top w:val="single" w:sz="2" w:space="0" w:color="auto"/>
              <w:left w:val="single" w:sz="2" w:space="0" w:color="auto"/>
              <w:bottom w:val="single" w:sz="2" w:space="0" w:color="auto"/>
              <w:right w:val="single" w:sz="2" w:space="0" w:color="auto"/>
            </w:tcBorders>
            <w:hideMark/>
          </w:tcPr>
          <w:p w14:paraId="102D10FE" w14:textId="77777777" w:rsidR="00F603CB" w:rsidRDefault="00F603CB">
            <w:pPr>
              <w:rPr>
                <w:color w:val="0D0D0D"/>
                <w:sz w:val="20"/>
                <w:szCs w:val="20"/>
              </w:rPr>
            </w:pPr>
            <w:r>
              <w:rPr>
                <w:color w:val="0D0D0D"/>
                <w:sz w:val="20"/>
                <w:szCs w:val="20"/>
              </w:rPr>
              <w:t>Completion time; task success; preference; debugging/repair behavior</w:t>
            </w:r>
          </w:p>
        </w:tc>
        <w:tc>
          <w:tcPr>
            <w:tcW w:w="0" w:type="auto"/>
            <w:tcBorders>
              <w:top w:val="single" w:sz="2" w:space="0" w:color="auto"/>
              <w:left w:val="single" w:sz="2" w:space="0" w:color="auto"/>
              <w:bottom w:val="single" w:sz="2" w:space="0" w:color="auto"/>
              <w:right w:val="single" w:sz="2" w:space="0" w:color="auto"/>
            </w:tcBorders>
            <w:hideMark/>
          </w:tcPr>
          <w:p w14:paraId="2BF188A9" w14:textId="77777777" w:rsidR="00F603CB" w:rsidRDefault="00F603CB">
            <w:pPr>
              <w:rPr>
                <w:color w:val="0D0D0D"/>
                <w:sz w:val="20"/>
                <w:szCs w:val="20"/>
              </w:rPr>
            </w:pPr>
            <w:r>
              <w:rPr>
                <w:color w:val="0D0D0D"/>
                <w:sz w:val="20"/>
                <w:szCs w:val="20"/>
              </w:rPr>
              <w:t>Did </w:t>
            </w:r>
            <w:r>
              <w:rPr>
                <w:rStyle w:val="Strong"/>
                <w:color w:val="0D0D0D"/>
                <w:sz w:val="20"/>
                <w:szCs w:val="20"/>
                <w:bdr w:val="single" w:sz="2" w:space="0" w:color="auto" w:frame="1"/>
              </w:rPr>
              <w:t>not</w:t>
            </w:r>
            <w:r>
              <w:rPr>
                <w:color w:val="0D0D0D"/>
                <w:sz w:val="20"/>
                <w:szCs w:val="20"/>
              </w:rPr>
              <w:t> find significant improvement in completion time or success rate, despite high subjective preference. 19/24 preferred the assistant, and 23/24 found it more helpful than IntelliSense-like completion. Among the assistant-side failures, 3 of 5 produced lengthy debugging rabbit holes. Twelve participants attempted to repair incorrect generated code, but many found repair difficult because they had not authored the code; 7 said they would rather discard and rewrite than repair. Detection often occurred only after time-consuming debugging, indicating latency in recognizing the true repair burden.</w:t>
            </w:r>
          </w:p>
        </w:tc>
      </w:tr>
      <w:tr w:rsidR="00F603CB" w14:paraId="486D1CC1" w14:textId="77777777">
        <w:tc>
          <w:tcPr>
            <w:tcW w:w="0" w:type="auto"/>
            <w:tcBorders>
              <w:top w:val="single" w:sz="2" w:space="0" w:color="auto"/>
              <w:left w:val="single" w:sz="2" w:space="0" w:color="auto"/>
              <w:bottom w:val="single" w:sz="2" w:space="0" w:color="auto"/>
              <w:right w:val="single" w:sz="2" w:space="0" w:color="auto"/>
            </w:tcBorders>
            <w:hideMark/>
          </w:tcPr>
          <w:p w14:paraId="6C2116CE" w14:textId="77777777" w:rsidR="00F603CB" w:rsidRDefault="00F603CB">
            <w:pPr>
              <w:rPr>
                <w:color w:val="0D0D0D"/>
                <w:sz w:val="20"/>
                <w:szCs w:val="20"/>
              </w:rPr>
            </w:pPr>
            <w:r>
              <w:rPr>
                <w:color w:val="0D0D0D"/>
                <w:sz w:val="20"/>
                <w:szCs w:val="20"/>
              </w:rPr>
              <w:t>Barke et al., </w:t>
            </w:r>
            <w:r>
              <w:rPr>
                <w:rStyle w:val="Strong"/>
                <w:color w:val="0D0D0D"/>
                <w:sz w:val="20"/>
                <w:szCs w:val="20"/>
                <w:bdr w:val="single" w:sz="2" w:space="0" w:color="auto" w:frame="1"/>
              </w:rPr>
              <w:t>Grounded Copilot</w:t>
            </w:r>
          </w:p>
        </w:tc>
        <w:tc>
          <w:tcPr>
            <w:tcW w:w="0" w:type="auto"/>
            <w:tcBorders>
              <w:top w:val="single" w:sz="2" w:space="0" w:color="auto"/>
              <w:left w:val="single" w:sz="2" w:space="0" w:color="auto"/>
              <w:bottom w:val="single" w:sz="2" w:space="0" w:color="auto"/>
              <w:right w:val="single" w:sz="2" w:space="0" w:color="auto"/>
            </w:tcBorders>
            <w:hideMark/>
          </w:tcPr>
          <w:p w14:paraId="4C74C06A" w14:textId="77777777" w:rsidR="00F603CB" w:rsidRDefault="00F603CB">
            <w:pPr>
              <w:rPr>
                <w:color w:val="0D0D0D"/>
                <w:sz w:val="20"/>
                <w:szCs w:val="20"/>
              </w:rPr>
            </w:pPr>
            <w:r>
              <w:rPr>
                <w:color w:val="0D0D0D"/>
                <w:sz w:val="20"/>
                <w:szCs w:val="20"/>
              </w:rPr>
              <w:t>Empirical</w:t>
            </w:r>
          </w:p>
        </w:tc>
        <w:tc>
          <w:tcPr>
            <w:tcW w:w="0" w:type="auto"/>
            <w:tcBorders>
              <w:top w:val="single" w:sz="2" w:space="0" w:color="auto"/>
              <w:left w:val="single" w:sz="2" w:space="0" w:color="auto"/>
              <w:bottom w:val="single" w:sz="2" w:space="0" w:color="auto"/>
              <w:right w:val="single" w:sz="2" w:space="0" w:color="auto"/>
            </w:tcBorders>
            <w:hideMark/>
          </w:tcPr>
          <w:p w14:paraId="36068BC8" w14:textId="77777777" w:rsidR="00F603CB" w:rsidRDefault="00F603CB">
            <w:pPr>
              <w:rPr>
                <w:color w:val="0D0D0D"/>
                <w:sz w:val="20"/>
                <w:szCs w:val="20"/>
              </w:rPr>
            </w:pPr>
            <w:hyperlink r:id="rId15" w:history="1">
              <w:r>
                <w:rPr>
                  <w:rStyle w:val="Hyperlink"/>
                  <w:sz w:val="20"/>
                  <w:szCs w:val="20"/>
                  <w:bdr w:val="single" w:sz="2" w:space="0" w:color="auto" w:frame="1"/>
                </w:rPr>
                <w:t>public manuscript</w:t>
              </w:r>
            </w:hyperlink>
          </w:p>
        </w:tc>
        <w:tc>
          <w:tcPr>
            <w:tcW w:w="0" w:type="auto"/>
            <w:tcBorders>
              <w:top w:val="single" w:sz="2" w:space="0" w:color="auto"/>
              <w:left w:val="single" w:sz="2" w:space="0" w:color="auto"/>
              <w:bottom w:val="single" w:sz="2" w:space="0" w:color="auto"/>
              <w:right w:val="single" w:sz="2" w:space="0" w:color="auto"/>
            </w:tcBorders>
            <w:hideMark/>
          </w:tcPr>
          <w:p w14:paraId="342D595D" w14:textId="77777777" w:rsidR="00F603CB" w:rsidRDefault="00F603CB">
            <w:pPr>
              <w:rPr>
                <w:color w:val="0D0D0D"/>
                <w:sz w:val="20"/>
                <w:szCs w:val="20"/>
              </w:rPr>
            </w:pPr>
            <w:r>
              <w:rPr>
                <w:color w:val="0D0D0D"/>
                <w:sz w:val="20"/>
                <w:szCs w:val="20"/>
              </w:rPr>
              <w:t xml:space="preserve">Think-aloud lab study / qualitative interaction analysis of programmers </w:t>
            </w:r>
            <w:r>
              <w:rPr>
                <w:color w:val="0D0D0D"/>
                <w:sz w:val="20"/>
                <w:szCs w:val="20"/>
              </w:rPr>
              <w:lastRenderedPageBreak/>
              <w:t>using code-generating models</w:t>
            </w:r>
          </w:p>
        </w:tc>
        <w:tc>
          <w:tcPr>
            <w:tcW w:w="0" w:type="auto"/>
            <w:tcBorders>
              <w:top w:val="single" w:sz="2" w:space="0" w:color="auto"/>
              <w:left w:val="single" w:sz="2" w:space="0" w:color="auto"/>
              <w:bottom w:val="single" w:sz="2" w:space="0" w:color="auto"/>
              <w:right w:val="single" w:sz="2" w:space="0" w:color="auto"/>
            </w:tcBorders>
            <w:hideMark/>
          </w:tcPr>
          <w:p w14:paraId="4ACA193B" w14:textId="77777777" w:rsidR="00F603CB" w:rsidRDefault="00F603CB">
            <w:pPr>
              <w:rPr>
                <w:color w:val="0D0D0D"/>
                <w:sz w:val="20"/>
                <w:szCs w:val="20"/>
              </w:rPr>
            </w:pPr>
            <w:r>
              <w:rPr>
                <w:color w:val="0D0D0D"/>
                <w:sz w:val="20"/>
                <w:szCs w:val="20"/>
              </w:rPr>
              <w:lastRenderedPageBreak/>
              <w:t>unspecified</w:t>
            </w:r>
          </w:p>
        </w:tc>
        <w:tc>
          <w:tcPr>
            <w:tcW w:w="0" w:type="auto"/>
            <w:tcBorders>
              <w:top w:val="single" w:sz="2" w:space="0" w:color="auto"/>
              <w:left w:val="single" w:sz="2" w:space="0" w:color="auto"/>
              <w:bottom w:val="single" w:sz="2" w:space="0" w:color="auto"/>
              <w:right w:val="single" w:sz="2" w:space="0" w:color="auto"/>
            </w:tcBorders>
            <w:hideMark/>
          </w:tcPr>
          <w:p w14:paraId="4636BB1C" w14:textId="77777777" w:rsidR="00F603CB" w:rsidRDefault="00F603CB">
            <w:pPr>
              <w:jc w:val="right"/>
              <w:rPr>
                <w:color w:val="0D0D0D"/>
                <w:sz w:val="20"/>
                <w:szCs w:val="20"/>
              </w:rPr>
            </w:pPr>
            <w:r>
              <w:rPr>
                <w:color w:val="0D0D0D"/>
                <w:sz w:val="20"/>
                <w:szCs w:val="20"/>
              </w:rPr>
              <w:t>20 participants</w:t>
            </w:r>
          </w:p>
        </w:tc>
        <w:tc>
          <w:tcPr>
            <w:tcW w:w="0" w:type="auto"/>
            <w:tcBorders>
              <w:top w:val="single" w:sz="2" w:space="0" w:color="auto"/>
              <w:left w:val="single" w:sz="2" w:space="0" w:color="auto"/>
              <w:bottom w:val="single" w:sz="2" w:space="0" w:color="auto"/>
              <w:right w:val="single" w:sz="2" w:space="0" w:color="auto"/>
            </w:tcBorders>
            <w:hideMark/>
          </w:tcPr>
          <w:p w14:paraId="3CB4F05F" w14:textId="77777777" w:rsidR="00F603CB" w:rsidRDefault="00F603CB">
            <w:pPr>
              <w:rPr>
                <w:color w:val="0D0D0D"/>
                <w:sz w:val="20"/>
                <w:szCs w:val="20"/>
              </w:rPr>
            </w:pPr>
            <w:r>
              <w:rPr>
                <w:color w:val="0D0D0D"/>
                <w:sz w:val="20"/>
                <w:szCs w:val="20"/>
              </w:rPr>
              <w:t>Prompting behavior; validation behavior; interaction mode; time allocation</w:t>
            </w:r>
          </w:p>
        </w:tc>
        <w:tc>
          <w:tcPr>
            <w:tcW w:w="0" w:type="auto"/>
            <w:tcBorders>
              <w:top w:val="single" w:sz="2" w:space="0" w:color="auto"/>
              <w:left w:val="single" w:sz="2" w:space="0" w:color="auto"/>
              <w:bottom w:val="single" w:sz="2" w:space="0" w:color="auto"/>
              <w:right w:val="single" w:sz="2" w:space="0" w:color="auto"/>
            </w:tcBorders>
            <w:hideMark/>
          </w:tcPr>
          <w:p w14:paraId="04764621" w14:textId="77777777" w:rsidR="00F603CB" w:rsidRDefault="00F603CB">
            <w:pPr>
              <w:rPr>
                <w:color w:val="0D0D0D"/>
                <w:sz w:val="20"/>
                <w:szCs w:val="20"/>
              </w:rPr>
            </w:pPr>
            <w:r>
              <w:rPr>
                <w:color w:val="0D0D0D"/>
                <w:sz w:val="20"/>
                <w:szCs w:val="20"/>
              </w:rPr>
              <w:t>The paper distinguishes </w:t>
            </w:r>
            <w:r>
              <w:rPr>
                <w:rStyle w:val="Strong"/>
                <w:color w:val="0D0D0D"/>
                <w:sz w:val="20"/>
                <w:szCs w:val="20"/>
                <w:bdr w:val="single" w:sz="2" w:space="0" w:color="auto" w:frame="1"/>
              </w:rPr>
              <w:t>acceleration</w:t>
            </w:r>
            <w:r>
              <w:rPr>
                <w:color w:val="0D0D0D"/>
                <w:sz w:val="20"/>
                <w:szCs w:val="20"/>
              </w:rPr>
              <w:t> and </w:t>
            </w:r>
            <w:r>
              <w:rPr>
                <w:rStyle w:val="Strong"/>
                <w:color w:val="0D0D0D"/>
                <w:sz w:val="20"/>
                <w:szCs w:val="20"/>
                <w:bdr w:val="single" w:sz="2" w:space="0" w:color="auto" w:frame="1"/>
              </w:rPr>
              <w:t>exploration</w:t>
            </w:r>
            <w:r>
              <w:rPr>
                <w:color w:val="0D0D0D"/>
                <w:sz w:val="20"/>
                <w:szCs w:val="20"/>
              </w:rPr>
              <w:t xml:space="preserve"> modes. Exploration mode consumed 248.6 total minutes versus 104.7 minutes in acceleration mode, indicating slower and more inspection-heavy detection when users were uncertain or working with </w:t>
            </w:r>
            <w:r>
              <w:rPr>
                <w:color w:val="0D0D0D"/>
                <w:sz w:val="20"/>
                <w:szCs w:val="20"/>
              </w:rPr>
              <w:lastRenderedPageBreak/>
              <w:t>unfamiliar APIs. Detection channels included execution, careful code reading, and documentation lookup. Participants reported that errors in generated code could be harder to spot than errors in self-written code. Small early suggestion mistakes produced long detours, showing a clear compounding-failure mechanism. Repair centered on re-prompting and external validation, but users wanted stronger support for comparing alternatives and validating suggestions.</w:t>
            </w:r>
          </w:p>
        </w:tc>
      </w:tr>
      <w:tr w:rsidR="00F603CB" w14:paraId="1BC388BC" w14:textId="77777777">
        <w:tc>
          <w:tcPr>
            <w:tcW w:w="0" w:type="auto"/>
            <w:tcBorders>
              <w:top w:val="single" w:sz="2" w:space="0" w:color="auto"/>
              <w:left w:val="single" w:sz="2" w:space="0" w:color="auto"/>
              <w:bottom w:val="single" w:sz="2" w:space="0" w:color="auto"/>
              <w:right w:val="single" w:sz="2" w:space="0" w:color="auto"/>
            </w:tcBorders>
            <w:hideMark/>
          </w:tcPr>
          <w:p w14:paraId="1CF4FDDE" w14:textId="77777777" w:rsidR="00F603CB" w:rsidRDefault="00F603CB">
            <w:pPr>
              <w:rPr>
                <w:color w:val="0D0D0D"/>
                <w:sz w:val="20"/>
                <w:szCs w:val="20"/>
              </w:rPr>
            </w:pPr>
            <w:r>
              <w:rPr>
                <w:color w:val="0D0D0D"/>
                <w:sz w:val="20"/>
                <w:szCs w:val="20"/>
              </w:rPr>
              <w:lastRenderedPageBreak/>
              <w:t>Perry et al., </w:t>
            </w:r>
            <w:r>
              <w:rPr>
                <w:rStyle w:val="Strong"/>
                <w:color w:val="0D0D0D"/>
                <w:sz w:val="20"/>
                <w:szCs w:val="20"/>
                <w:bdr w:val="single" w:sz="2" w:space="0" w:color="auto" w:frame="1"/>
              </w:rPr>
              <w:t>“Do Users Write More Insecure Code with AI Assistants?”</w:t>
            </w:r>
          </w:p>
        </w:tc>
        <w:tc>
          <w:tcPr>
            <w:tcW w:w="0" w:type="auto"/>
            <w:tcBorders>
              <w:top w:val="single" w:sz="2" w:space="0" w:color="auto"/>
              <w:left w:val="single" w:sz="2" w:space="0" w:color="auto"/>
              <w:bottom w:val="single" w:sz="2" w:space="0" w:color="auto"/>
              <w:right w:val="single" w:sz="2" w:space="0" w:color="auto"/>
            </w:tcBorders>
            <w:hideMark/>
          </w:tcPr>
          <w:p w14:paraId="7DBBFABF" w14:textId="77777777" w:rsidR="00F603CB" w:rsidRDefault="00F603CB">
            <w:pPr>
              <w:rPr>
                <w:color w:val="0D0D0D"/>
                <w:sz w:val="20"/>
                <w:szCs w:val="20"/>
              </w:rPr>
            </w:pPr>
            <w:r>
              <w:rPr>
                <w:color w:val="0D0D0D"/>
                <w:sz w:val="20"/>
                <w:szCs w:val="20"/>
              </w:rPr>
              <w:t>Empirical</w:t>
            </w:r>
          </w:p>
        </w:tc>
        <w:tc>
          <w:tcPr>
            <w:tcW w:w="0" w:type="auto"/>
            <w:tcBorders>
              <w:top w:val="single" w:sz="2" w:space="0" w:color="auto"/>
              <w:left w:val="single" w:sz="2" w:space="0" w:color="auto"/>
              <w:bottom w:val="single" w:sz="2" w:space="0" w:color="auto"/>
              <w:right w:val="single" w:sz="2" w:space="0" w:color="auto"/>
            </w:tcBorders>
            <w:hideMark/>
          </w:tcPr>
          <w:p w14:paraId="2F8F6E12" w14:textId="77777777" w:rsidR="00F603CB" w:rsidRDefault="00F603CB">
            <w:pPr>
              <w:rPr>
                <w:color w:val="0D0D0D"/>
                <w:sz w:val="20"/>
                <w:szCs w:val="20"/>
              </w:rPr>
            </w:pPr>
            <w:hyperlink r:id="rId16" w:history="1">
              <w:r>
                <w:rPr>
                  <w:rStyle w:val="Hyperlink"/>
                  <w:sz w:val="20"/>
                  <w:szCs w:val="20"/>
                  <w:bdr w:val="single" w:sz="2" w:space="0" w:color="auto" w:frame="1"/>
                </w:rPr>
                <w:t>public manuscript</w:t>
              </w:r>
            </w:hyperlink>
          </w:p>
        </w:tc>
        <w:tc>
          <w:tcPr>
            <w:tcW w:w="0" w:type="auto"/>
            <w:tcBorders>
              <w:top w:val="single" w:sz="2" w:space="0" w:color="auto"/>
              <w:left w:val="single" w:sz="2" w:space="0" w:color="auto"/>
              <w:bottom w:val="single" w:sz="2" w:space="0" w:color="auto"/>
              <w:right w:val="single" w:sz="2" w:space="0" w:color="auto"/>
            </w:tcBorders>
            <w:hideMark/>
          </w:tcPr>
          <w:p w14:paraId="2C7E659B" w14:textId="77777777" w:rsidR="00F603CB" w:rsidRDefault="00F603CB">
            <w:pPr>
              <w:rPr>
                <w:color w:val="0D0D0D"/>
                <w:sz w:val="20"/>
                <w:szCs w:val="20"/>
              </w:rPr>
            </w:pPr>
            <w:r>
              <w:rPr>
                <w:color w:val="0D0D0D"/>
                <w:sz w:val="20"/>
                <w:szCs w:val="20"/>
              </w:rPr>
              <w:t>User study on secure-coding tasks with and without AI assistance</w:t>
            </w:r>
          </w:p>
        </w:tc>
        <w:tc>
          <w:tcPr>
            <w:tcW w:w="0" w:type="auto"/>
            <w:tcBorders>
              <w:top w:val="single" w:sz="2" w:space="0" w:color="auto"/>
              <w:left w:val="single" w:sz="2" w:space="0" w:color="auto"/>
              <w:bottom w:val="single" w:sz="2" w:space="0" w:color="auto"/>
              <w:right w:val="single" w:sz="2" w:space="0" w:color="auto"/>
            </w:tcBorders>
            <w:hideMark/>
          </w:tcPr>
          <w:p w14:paraId="080CC693" w14:textId="77777777" w:rsidR="00F603CB" w:rsidRDefault="00F603CB">
            <w:pPr>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6D2AB204" w14:textId="77777777" w:rsidR="00F603CB" w:rsidRDefault="00F603CB">
            <w:pPr>
              <w:jc w:val="right"/>
              <w:rPr>
                <w:color w:val="0D0D0D"/>
                <w:sz w:val="20"/>
                <w:szCs w:val="20"/>
              </w:rPr>
            </w:pPr>
            <w:r>
              <w:rPr>
                <w:color w:val="0D0D0D"/>
                <w:sz w:val="20"/>
                <w:szCs w:val="20"/>
              </w:rPr>
              <w:t>47 participants</w:t>
            </w:r>
          </w:p>
        </w:tc>
        <w:tc>
          <w:tcPr>
            <w:tcW w:w="0" w:type="auto"/>
            <w:tcBorders>
              <w:top w:val="single" w:sz="2" w:space="0" w:color="auto"/>
              <w:left w:val="single" w:sz="2" w:space="0" w:color="auto"/>
              <w:bottom w:val="single" w:sz="2" w:space="0" w:color="auto"/>
              <w:right w:val="single" w:sz="2" w:space="0" w:color="auto"/>
            </w:tcBorders>
            <w:hideMark/>
          </w:tcPr>
          <w:p w14:paraId="19FC41A3" w14:textId="77777777" w:rsidR="00F603CB" w:rsidRDefault="00F603CB">
            <w:pPr>
              <w:rPr>
                <w:color w:val="0D0D0D"/>
                <w:sz w:val="20"/>
                <w:szCs w:val="20"/>
              </w:rPr>
            </w:pPr>
            <w:r>
              <w:rPr>
                <w:color w:val="0D0D0D"/>
                <w:sz w:val="20"/>
                <w:szCs w:val="20"/>
              </w:rPr>
              <w:t>Vulnerability prevalence; perceived security; interaction behavior</w:t>
            </w:r>
          </w:p>
        </w:tc>
        <w:tc>
          <w:tcPr>
            <w:tcW w:w="0" w:type="auto"/>
            <w:tcBorders>
              <w:top w:val="single" w:sz="2" w:space="0" w:color="auto"/>
              <w:left w:val="single" w:sz="2" w:space="0" w:color="auto"/>
              <w:bottom w:val="single" w:sz="2" w:space="0" w:color="auto"/>
              <w:right w:val="single" w:sz="2" w:space="0" w:color="auto"/>
            </w:tcBorders>
            <w:hideMark/>
          </w:tcPr>
          <w:p w14:paraId="7D6EB931" w14:textId="77777777" w:rsidR="00F603CB" w:rsidRDefault="00F603CB">
            <w:pPr>
              <w:rPr>
                <w:color w:val="0D0D0D"/>
                <w:sz w:val="20"/>
                <w:szCs w:val="20"/>
              </w:rPr>
            </w:pPr>
            <w:r>
              <w:rPr>
                <w:color w:val="0D0D0D"/>
                <w:sz w:val="20"/>
                <w:szCs w:val="20"/>
              </w:rPr>
              <w:t>Security failures were often </w:t>
            </w:r>
            <w:r>
              <w:rPr>
                <w:rStyle w:val="Strong"/>
                <w:color w:val="0D0D0D"/>
                <w:sz w:val="20"/>
                <w:szCs w:val="20"/>
                <w:bdr w:val="single" w:sz="2" w:space="0" w:color="auto" w:frame="1"/>
              </w:rPr>
              <w:t>silent</w:t>
            </w:r>
            <w:r>
              <w:rPr>
                <w:color w:val="0D0D0D"/>
                <w:sz w:val="20"/>
                <w:szCs w:val="20"/>
              </w:rPr>
              <w:t>: participants with AI assistance produced less secure code and were more likely to believe their code was secure. Lower trust in the AI and more active prompt/setting management were associated with fewer vulnerabilities. This is strong evidence that rupture detection is partly a </w:t>
            </w:r>
            <w:r>
              <w:rPr>
                <w:rStyle w:val="Strong"/>
                <w:color w:val="0D0D0D"/>
                <w:sz w:val="20"/>
                <w:szCs w:val="20"/>
                <w:bdr w:val="single" w:sz="2" w:space="0" w:color="auto" w:frame="1"/>
              </w:rPr>
              <w:t>trust-calibration</w:t>
            </w:r>
            <w:r>
              <w:rPr>
                <w:color w:val="0D0D0D"/>
                <w:sz w:val="20"/>
                <w:szCs w:val="20"/>
              </w:rPr>
              <w:t> problem: the same output can be scrutinized or waved through depending on users’ confidence in the tool.</w:t>
            </w:r>
          </w:p>
        </w:tc>
      </w:tr>
      <w:tr w:rsidR="00F603CB" w14:paraId="652D3F10" w14:textId="77777777">
        <w:tc>
          <w:tcPr>
            <w:tcW w:w="0" w:type="auto"/>
            <w:tcBorders>
              <w:top w:val="single" w:sz="2" w:space="0" w:color="auto"/>
              <w:left w:val="single" w:sz="2" w:space="0" w:color="auto"/>
              <w:bottom w:val="single" w:sz="2" w:space="0" w:color="auto"/>
              <w:right w:val="single" w:sz="2" w:space="0" w:color="auto"/>
            </w:tcBorders>
            <w:hideMark/>
          </w:tcPr>
          <w:p w14:paraId="37615868" w14:textId="77777777" w:rsidR="00F603CB" w:rsidRDefault="00F603CB">
            <w:pPr>
              <w:rPr>
                <w:color w:val="0D0D0D"/>
                <w:sz w:val="20"/>
                <w:szCs w:val="20"/>
              </w:rPr>
            </w:pPr>
            <w:r>
              <w:rPr>
                <w:color w:val="0D0D0D"/>
                <w:sz w:val="20"/>
                <w:szCs w:val="20"/>
              </w:rPr>
              <w:t>Di &amp; Zhang, mutual-grounding interface for code generation repair</w:t>
            </w:r>
          </w:p>
        </w:tc>
        <w:tc>
          <w:tcPr>
            <w:tcW w:w="0" w:type="auto"/>
            <w:tcBorders>
              <w:top w:val="single" w:sz="2" w:space="0" w:color="auto"/>
              <w:left w:val="single" w:sz="2" w:space="0" w:color="auto"/>
              <w:bottom w:val="single" w:sz="2" w:space="0" w:color="auto"/>
              <w:right w:val="single" w:sz="2" w:space="0" w:color="auto"/>
            </w:tcBorders>
            <w:hideMark/>
          </w:tcPr>
          <w:p w14:paraId="2C896BE5" w14:textId="77777777" w:rsidR="00F603CB" w:rsidRDefault="00F603CB">
            <w:pPr>
              <w:rPr>
                <w:color w:val="0D0D0D"/>
                <w:sz w:val="20"/>
                <w:szCs w:val="20"/>
              </w:rPr>
            </w:pPr>
            <w:r>
              <w:rPr>
                <w:color w:val="0D0D0D"/>
                <w:sz w:val="20"/>
                <w:szCs w:val="20"/>
              </w:rPr>
              <w:t>Empirical</w:t>
            </w:r>
          </w:p>
        </w:tc>
        <w:tc>
          <w:tcPr>
            <w:tcW w:w="0" w:type="auto"/>
            <w:tcBorders>
              <w:top w:val="single" w:sz="2" w:space="0" w:color="auto"/>
              <w:left w:val="single" w:sz="2" w:space="0" w:color="auto"/>
              <w:bottom w:val="single" w:sz="2" w:space="0" w:color="auto"/>
              <w:right w:val="single" w:sz="2" w:space="0" w:color="auto"/>
            </w:tcBorders>
            <w:hideMark/>
          </w:tcPr>
          <w:p w14:paraId="2EFCE910" w14:textId="77777777" w:rsidR="00F603CB" w:rsidRDefault="00F603CB">
            <w:pPr>
              <w:rPr>
                <w:color w:val="0D0D0D"/>
                <w:sz w:val="20"/>
                <w:szCs w:val="20"/>
              </w:rPr>
            </w:pPr>
            <w:hyperlink r:id="rId17" w:history="1">
              <w:r>
                <w:rPr>
                  <w:rStyle w:val="Hyperlink"/>
                  <w:sz w:val="20"/>
                  <w:szCs w:val="20"/>
                  <w:bdr w:val="single" w:sz="2" w:space="0" w:color="auto" w:frame="1"/>
                </w:rPr>
                <w:t>official page</w:t>
              </w:r>
            </w:hyperlink>
          </w:p>
        </w:tc>
        <w:tc>
          <w:tcPr>
            <w:tcW w:w="0" w:type="auto"/>
            <w:tcBorders>
              <w:top w:val="single" w:sz="2" w:space="0" w:color="auto"/>
              <w:left w:val="single" w:sz="2" w:space="0" w:color="auto"/>
              <w:bottom w:val="single" w:sz="2" w:space="0" w:color="auto"/>
              <w:right w:val="single" w:sz="2" w:space="0" w:color="auto"/>
            </w:tcBorders>
            <w:hideMark/>
          </w:tcPr>
          <w:p w14:paraId="3785DF7B" w14:textId="77777777" w:rsidR="00F603CB" w:rsidRDefault="00F603CB">
            <w:pPr>
              <w:rPr>
                <w:color w:val="0D0D0D"/>
                <w:sz w:val="20"/>
                <w:szCs w:val="20"/>
              </w:rPr>
            </w:pPr>
            <w:r>
              <w:rPr>
                <w:color w:val="0D0D0D"/>
                <w:sz w:val="20"/>
                <w:szCs w:val="20"/>
              </w:rPr>
              <w:t>Comparative lab study of a grounding-aware repair interface versus Copilot-style or multi-turn baselines</w:t>
            </w:r>
          </w:p>
        </w:tc>
        <w:tc>
          <w:tcPr>
            <w:tcW w:w="0" w:type="auto"/>
            <w:tcBorders>
              <w:top w:val="single" w:sz="2" w:space="0" w:color="auto"/>
              <w:left w:val="single" w:sz="2" w:space="0" w:color="auto"/>
              <w:bottom w:val="single" w:sz="2" w:space="0" w:color="auto"/>
              <w:right w:val="single" w:sz="2" w:space="0" w:color="auto"/>
            </w:tcBorders>
            <w:hideMark/>
          </w:tcPr>
          <w:p w14:paraId="25DB5544" w14:textId="77777777" w:rsidR="00F603CB" w:rsidRDefault="00F603CB">
            <w:pPr>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6A62D489" w14:textId="77777777" w:rsidR="00F603CB" w:rsidRDefault="00F603CB">
            <w:pPr>
              <w:jc w:val="right"/>
              <w:rPr>
                <w:color w:val="0D0D0D"/>
                <w:sz w:val="20"/>
                <w:szCs w:val="20"/>
              </w:rPr>
            </w:pPr>
            <w:r>
              <w:rPr>
                <w:color w:val="0D0D0D"/>
                <w:sz w:val="20"/>
                <w:szCs w:val="20"/>
              </w:rPr>
              <w:t>12 participants</w:t>
            </w:r>
          </w:p>
        </w:tc>
        <w:tc>
          <w:tcPr>
            <w:tcW w:w="0" w:type="auto"/>
            <w:tcBorders>
              <w:top w:val="single" w:sz="2" w:space="0" w:color="auto"/>
              <w:left w:val="single" w:sz="2" w:space="0" w:color="auto"/>
              <w:bottom w:val="single" w:sz="2" w:space="0" w:color="auto"/>
              <w:right w:val="single" w:sz="2" w:space="0" w:color="auto"/>
            </w:tcBorders>
            <w:hideMark/>
          </w:tcPr>
          <w:p w14:paraId="6C808CDE" w14:textId="77777777" w:rsidR="00F603CB" w:rsidRDefault="00F603CB">
            <w:pPr>
              <w:rPr>
                <w:color w:val="0D0D0D"/>
                <w:sz w:val="20"/>
                <w:szCs w:val="20"/>
              </w:rPr>
            </w:pPr>
            <w:r>
              <w:rPr>
                <w:color w:val="0D0D0D"/>
                <w:sz w:val="20"/>
                <w:szCs w:val="20"/>
              </w:rPr>
              <w:t>Completion time; task success; confidence; interaction with grounding interface</w:t>
            </w:r>
          </w:p>
        </w:tc>
        <w:tc>
          <w:tcPr>
            <w:tcW w:w="0" w:type="auto"/>
            <w:tcBorders>
              <w:top w:val="single" w:sz="2" w:space="0" w:color="auto"/>
              <w:left w:val="single" w:sz="2" w:space="0" w:color="auto"/>
              <w:bottom w:val="single" w:sz="2" w:space="0" w:color="auto"/>
              <w:right w:val="single" w:sz="2" w:space="0" w:color="auto"/>
            </w:tcBorders>
            <w:hideMark/>
          </w:tcPr>
          <w:p w14:paraId="1AA91F94" w14:textId="77777777" w:rsidR="00F603CB" w:rsidRDefault="00F603CB">
            <w:pPr>
              <w:rPr>
                <w:color w:val="0D0D0D"/>
                <w:sz w:val="20"/>
                <w:szCs w:val="20"/>
              </w:rPr>
            </w:pPr>
            <w:r>
              <w:rPr>
                <w:color w:val="0D0D0D"/>
                <w:sz w:val="20"/>
                <w:szCs w:val="20"/>
              </w:rPr>
              <w:t>The interface turns code generation into a </w:t>
            </w:r>
            <w:r>
              <w:rPr>
                <w:rStyle w:val="Strong"/>
                <w:color w:val="0D0D0D"/>
                <w:sz w:val="20"/>
                <w:szCs w:val="20"/>
                <w:bdr w:val="single" w:sz="2" w:space="0" w:color="auto" w:frame="1"/>
              </w:rPr>
              <w:t>mutual-grounding</w:t>
            </w:r>
            <w:r>
              <w:rPr>
                <w:color w:val="0D0D0D"/>
                <w:sz w:val="20"/>
                <w:szCs w:val="20"/>
              </w:rPr>
              <w:t> process using comments and editable feedback, making failures easier to localize and repair. Reported results were 16.7% faster completion and 10.5% higher task success than the compared baselines, along with improved confidence. This is the clearest direct evidence that repair affordances can be designed into the interaction loop rather than left to ad hoc re-prompting or manual debugging.</w:t>
            </w:r>
          </w:p>
        </w:tc>
      </w:tr>
      <w:tr w:rsidR="00F603CB" w14:paraId="19D8A085" w14:textId="77777777">
        <w:tc>
          <w:tcPr>
            <w:tcW w:w="0" w:type="auto"/>
            <w:tcBorders>
              <w:top w:val="single" w:sz="2" w:space="0" w:color="auto"/>
              <w:left w:val="single" w:sz="2" w:space="0" w:color="auto"/>
              <w:bottom w:val="single" w:sz="2" w:space="0" w:color="auto"/>
              <w:right w:val="single" w:sz="2" w:space="0" w:color="auto"/>
            </w:tcBorders>
            <w:hideMark/>
          </w:tcPr>
          <w:p w14:paraId="13D941E6" w14:textId="77777777" w:rsidR="00F603CB" w:rsidRDefault="00F603CB">
            <w:pPr>
              <w:rPr>
                <w:color w:val="0D0D0D"/>
                <w:sz w:val="20"/>
                <w:szCs w:val="20"/>
              </w:rPr>
            </w:pPr>
            <w:r>
              <w:rPr>
                <w:color w:val="0D0D0D"/>
                <w:sz w:val="20"/>
                <w:szCs w:val="20"/>
              </w:rPr>
              <w:t>Pütz &amp; Esposito, conversation-analytic repair framework for ChatGPT interaction</w:t>
            </w:r>
          </w:p>
        </w:tc>
        <w:tc>
          <w:tcPr>
            <w:tcW w:w="0" w:type="auto"/>
            <w:tcBorders>
              <w:top w:val="single" w:sz="2" w:space="0" w:color="auto"/>
              <w:left w:val="single" w:sz="2" w:space="0" w:color="auto"/>
              <w:bottom w:val="single" w:sz="2" w:space="0" w:color="auto"/>
              <w:right w:val="single" w:sz="2" w:space="0" w:color="auto"/>
            </w:tcBorders>
            <w:hideMark/>
          </w:tcPr>
          <w:p w14:paraId="10C1DC6A" w14:textId="77777777" w:rsidR="00F603CB" w:rsidRDefault="00F603CB">
            <w:pPr>
              <w:rPr>
                <w:color w:val="0D0D0D"/>
                <w:sz w:val="20"/>
                <w:szCs w:val="20"/>
              </w:rPr>
            </w:pPr>
            <w:r>
              <w:rPr>
                <w:color w:val="0D0D0D"/>
                <w:sz w:val="20"/>
                <w:szCs w:val="20"/>
              </w:rPr>
              <w:t>Conceptual / qualitative adjacent</w:t>
            </w:r>
          </w:p>
        </w:tc>
        <w:tc>
          <w:tcPr>
            <w:tcW w:w="0" w:type="auto"/>
            <w:tcBorders>
              <w:top w:val="single" w:sz="2" w:space="0" w:color="auto"/>
              <w:left w:val="single" w:sz="2" w:space="0" w:color="auto"/>
              <w:bottom w:val="single" w:sz="2" w:space="0" w:color="auto"/>
              <w:right w:val="single" w:sz="2" w:space="0" w:color="auto"/>
            </w:tcBorders>
            <w:hideMark/>
          </w:tcPr>
          <w:p w14:paraId="78318966" w14:textId="77777777" w:rsidR="00F603CB" w:rsidRDefault="00F603CB">
            <w:pPr>
              <w:rPr>
                <w:color w:val="0D0D0D"/>
                <w:sz w:val="20"/>
                <w:szCs w:val="20"/>
              </w:rPr>
            </w:pPr>
            <w:hyperlink r:id="rId18" w:history="1">
              <w:r>
                <w:rPr>
                  <w:rStyle w:val="Hyperlink"/>
                  <w:sz w:val="20"/>
                  <w:szCs w:val="20"/>
                  <w:bdr w:val="single" w:sz="2" w:space="0" w:color="auto" w:frame="1"/>
                </w:rPr>
                <w:t>official DOI</w:t>
              </w:r>
            </w:hyperlink>
          </w:p>
        </w:tc>
        <w:tc>
          <w:tcPr>
            <w:tcW w:w="0" w:type="auto"/>
            <w:tcBorders>
              <w:top w:val="single" w:sz="2" w:space="0" w:color="auto"/>
              <w:left w:val="single" w:sz="2" w:space="0" w:color="auto"/>
              <w:bottom w:val="single" w:sz="2" w:space="0" w:color="auto"/>
              <w:right w:val="single" w:sz="2" w:space="0" w:color="auto"/>
            </w:tcBorders>
            <w:hideMark/>
          </w:tcPr>
          <w:p w14:paraId="1F71056B" w14:textId="77777777" w:rsidR="00F603CB" w:rsidRDefault="00F603CB">
            <w:pPr>
              <w:rPr>
                <w:color w:val="0D0D0D"/>
                <w:sz w:val="20"/>
                <w:szCs w:val="20"/>
              </w:rPr>
            </w:pPr>
            <w:r>
              <w:rPr>
                <w:color w:val="0D0D0D"/>
                <w:sz w:val="20"/>
                <w:szCs w:val="20"/>
              </w:rPr>
              <w:t>Conversation-analytic account of repair in human-ChatGPT interaction</w:t>
            </w:r>
          </w:p>
        </w:tc>
        <w:tc>
          <w:tcPr>
            <w:tcW w:w="0" w:type="auto"/>
            <w:tcBorders>
              <w:top w:val="single" w:sz="2" w:space="0" w:color="auto"/>
              <w:left w:val="single" w:sz="2" w:space="0" w:color="auto"/>
              <w:bottom w:val="single" w:sz="2" w:space="0" w:color="auto"/>
              <w:right w:val="single" w:sz="2" w:space="0" w:color="auto"/>
            </w:tcBorders>
            <w:hideMark/>
          </w:tcPr>
          <w:p w14:paraId="4DE99AFC" w14:textId="77777777" w:rsidR="00F603CB" w:rsidRDefault="00F603CB">
            <w:pPr>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15EB8978" w14:textId="77777777" w:rsidR="00F603CB" w:rsidRDefault="00F603CB">
            <w:pPr>
              <w:jc w:val="right"/>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080584DB" w14:textId="77777777" w:rsidR="00F603CB" w:rsidRDefault="00F603CB">
            <w:pPr>
              <w:rPr>
                <w:color w:val="0D0D0D"/>
                <w:sz w:val="20"/>
                <w:szCs w:val="20"/>
              </w:rPr>
            </w:pPr>
            <w:r>
              <w:rPr>
                <w:color w:val="0D0D0D"/>
                <w:sz w:val="20"/>
                <w:szCs w:val="20"/>
              </w:rPr>
              <w:t>Repair organization; accountability; conversational breakdowns</w:t>
            </w:r>
          </w:p>
        </w:tc>
        <w:tc>
          <w:tcPr>
            <w:tcW w:w="0" w:type="auto"/>
            <w:tcBorders>
              <w:top w:val="single" w:sz="2" w:space="0" w:color="auto"/>
              <w:left w:val="single" w:sz="2" w:space="0" w:color="auto"/>
              <w:bottom w:val="single" w:sz="2" w:space="0" w:color="auto"/>
              <w:right w:val="single" w:sz="2" w:space="0" w:color="auto"/>
            </w:tcBorders>
            <w:hideMark/>
          </w:tcPr>
          <w:p w14:paraId="56C68B3E" w14:textId="77777777" w:rsidR="00F603CB" w:rsidRDefault="00F603CB">
            <w:pPr>
              <w:rPr>
                <w:color w:val="0D0D0D"/>
                <w:sz w:val="20"/>
                <w:szCs w:val="20"/>
              </w:rPr>
            </w:pPr>
            <w:r>
              <w:rPr>
                <w:color w:val="0D0D0D"/>
                <w:sz w:val="20"/>
                <w:szCs w:val="20"/>
              </w:rPr>
              <w:t>Not a coding study, but directly relevant as a rupture lens. The paper argues that the system can appear competent in repair sequences while the </w:t>
            </w:r>
            <w:r>
              <w:rPr>
                <w:rStyle w:val="Strong"/>
                <w:color w:val="0D0D0D"/>
                <w:sz w:val="20"/>
                <w:szCs w:val="20"/>
                <w:bdr w:val="single" w:sz="2" w:space="0" w:color="auto" w:frame="1"/>
              </w:rPr>
              <w:t>user still supplies most of the real repair labor</w:t>
            </w:r>
            <w:r>
              <w:rPr>
                <w:color w:val="0D0D0D"/>
                <w:sz w:val="20"/>
                <w:szCs w:val="20"/>
              </w:rPr>
              <w:t>. For coding, this helps explain why many “fixes” feel interactive while the burden of diagnosis, grounding, and accountability remains asymmetrically human.</w:t>
            </w:r>
          </w:p>
        </w:tc>
      </w:tr>
      <w:tr w:rsidR="00F603CB" w14:paraId="5B03F705" w14:textId="77777777">
        <w:tc>
          <w:tcPr>
            <w:tcW w:w="0" w:type="auto"/>
            <w:tcBorders>
              <w:top w:val="single" w:sz="2" w:space="0" w:color="auto"/>
              <w:left w:val="single" w:sz="2" w:space="0" w:color="auto"/>
              <w:bottom w:val="single" w:sz="2" w:space="0" w:color="auto"/>
              <w:right w:val="single" w:sz="2" w:space="0" w:color="auto"/>
            </w:tcBorders>
            <w:hideMark/>
          </w:tcPr>
          <w:p w14:paraId="2692BD60" w14:textId="77777777" w:rsidR="00F603CB" w:rsidRDefault="00F603CB">
            <w:pPr>
              <w:rPr>
                <w:color w:val="0D0D0D"/>
                <w:sz w:val="20"/>
                <w:szCs w:val="20"/>
              </w:rPr>
            </w:pPr>
            <w:r>
              <w:rPr>
                <w:color w:val="0D0D0D"/>
                <w:sz w:val="20"/>
                <w:szCs w:val="20"/>
              </w:rPr>
              <w:t>Stevens et al., repair taxonomy for generative-AI breakdowns</w:t>
            </w:r>
          </w:p>
        </w:tc>
        <w:tc>
          <w:tcPr>
            <w:tcW w:w="0" w:type="auto"/>
            <w:tcBorders>
              <w:top w:val="single" w:sz="2" w:space="0" w:color="auto"/>
              <w:left w:val="single" w:sz="2" w:space="0" w:color="auto"/>
              <w:bottom w:val="single" w:sz="2" w:space="0" w:color="auto"/>
              <w:right w:val="single" w:sz="2" w:space="0" w:color="auto"/>
            </w:tcBorders>
            <w:hideMark/>
          </w:tcPr>
          <w:p w14:paraId="6677C20C" w14:textId="77777777" w:rsidR="00F603CB" w:rsidRDefault="00F603CB">
            <w:pPr>
              <w:rPr>
                <w:color w:val="0D0D0D"/>
                <w:sz w:val="20"/>
                <w:szCs w:val="20"/>
              </w:rPr>
            </w:pPr>
            <w:r>
              <w:rPr>
                <w:color w:val="0D0D0D"/>
                <w:sz w:val="20"/>
                <w:szCs w:val="20"/>
              </w:rPr>
              <w:t>Empirical / conceptual adjacent</w:t>
            </w:r>
          </w:p>
        </w:tc>
        <w:tc>
          <w:tcPr>
            <w:tcW w:w="0" w:type="auto"/>
            <w:tcBorders>
              <w:top w:val="single" w:sz="2" w:space="0" w:color="auto"/>
              <w:left w:val="single" w:sz="2" w:space="0" w:color="auto"/>
              <w:bottom w:val="single" w:sz="2" w:space="0" w:color="auto"/>
              <w:right w:val="single" w:sz="2" w:space="0" w:color="auto"/>
            </w:tcBorders>
            <w:hideMark/>
          </w:tcPr>
          <w:p w14:paraId="1B5C2CB7" w14:textId="77777777" w:rsidR="00F603CB" w:rsidRDefault="00F603CB">
            <w:pPr>
              <w:rPr>
                <w:color w:val="0D0D0D"/>
                <w:sz w:val="20"/>
                <w:szCs w:val="20"/>
              </w:rPr>
            </w:pPr>
            <w:r>
              <w:rPr>
                <w:color w:val="0D0D0D"/>
                <w:sz w:val="20"/>
                <w:szCs w:val="20"/>
              </w:rPr>
              <w:t>unspecified in prior verified scan</w:t>
            </w:r>
          </w:p>
        </w:tc>
        <w:tc>
          <w:tcPr>
            <w:tcW w:w="0" w:type="auto"/>
            <w:tcBorders>
              <w:top w:val="single" w:sz="2" w:space="0" w:color="auto"/>
              <w:left w:val="single" w:sz="2" w:space="0" w:color="auto"/>
              <w:bottom w:val="single" w:sz="2" w:space="0" w:color="auto"/>
              <w:right w:val="single" w:sz="2" w:space="0" w:color="auto"/>
            </w:tcBorders>
            <w:hideMark/>
          </w:tcPr>
          <w:p w14:paraId="3A2C209A" w14:textId="77777777" w:rsidR="00F603CB" w:rsidRDefault="00F603CB">
            <w:pPr>
              <w:rPr>
                <w:color w:val="0D0D0D"/>
                <w:sz w:val="20"/>
                <w:szCs w:val="20"/>
              </w:rPr>
            </w:pPr>
            <w:r>
              <w:rPr>
                <w:color w:val="0D0D0D"/>
                <w:sz w:val="20"/>
                <w:szCs w:val="20"/>
              </w:rPr>
              <w:t>Qualitative analysis of real-world generative-AI chat transcripts</w:t>
            </w:r>
          </w:p>
        </w:tc>
        <w:tc>
          <w:tcPr>
            <w:tcW w:w="0" w:type="auto"/>
            <w:tcBorders>
              <w:top w:val="single" w:sz="2" w:space="0" w:color="auto"/>
              <w:left w:val="single" w:sz="2" w:space="0" w:color="auto"/>
              <w:bottom w:val="single" w:sz="2" w:space="0" w:color="auto"/>
              <w:right w:val="single" w:sz="2" w:space="0" w:color="auto"/>
            </w:tcBorders>
            <w:hideMark/>
          </w:tcPr>
          <w:p w14:paraId="49EB8FA8" w14:textId="77777777" w:rsidR="00F603CB" w:rsidRDefault="00F603CB">
            <w:pPr>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6CF30675" w14:textId="77777777" w:rsidR="00F603CB" w:rsidRDefault="00F603CB">
            <w:pPr>
              <w:jc w:val="right"/>
              <w:rPr>
                <w:color w:val="0D0D0D"/>
                <w:sz w:val="20"/>
                <w:szCs w:val="20"/>
              </w:rPr>
            </w:pPr>
            <w:r>
              <w:rPr>
                <w:color w:val="0D0D0D"/>
                <w:sz w:val="20"/>
                <w:szCs w:val="20"/>
              </w:rPr>
              <w:t>21 transcripts</w:t>
            </w:r>
          </w:p>
        </w:tc>
        <w:tc>
          <w:tcPr>
            <w:tcW w:w="0" w:type="auto"/>
            <w:tcBorders>
              <w:top w:val="single" w:sz="2" w:space="0" w:color="auto"/>
              <w:left w:val="single" w:sz="2" w:space="0" w:color="auto"/>
              <w:bottom w:val="single" w:sz="2" w:space="0" w:color="auto"/>
              <w:right w:val="single" w:sz="2" w:space="0" w:color="auto"/>
            </w:tcBorders>
            <w:hideMark/>
          </w:tcPr>
          <w:p w14:paraId="424B9BF5" w14:textId="77777777" w:rsidR="00F603CB" w:rsidRDefault="00F603CB">
            <w:pPr>
              <w:rPr>
                <w:color w:val="0D0D0D"/>
                <w:sz w:val="20"/>
                <w:szCs w:val="20"/>
              </w:rPr>
            </w:pPr>
            <w:r>
              <w:rPr>
                <w:color w:val="0D0D0D"/>
                <w:sz w:val="20"/>
                <w:szCs w:val="20"/>
              </w:rPr>
              <w:t>Repair initiators; repair processes; breakdown taxonomy</w:t>
            </w:r>
          </w:p>
        </w:tc>
        <w:tc>
          <w:tcPr>
            <w:tcW w:w="0" w:type="auto"/>
            <w:tcBorders>
              <w:top w:val="single" w:sz="2" w:space="0" w:color="auto"/>
              <w:left w:val="single" w:sz="2" w:space="0" w:color="auto"/>
              <w:bottom w:val="single" w:sz="2" w:space="0" w:color="auto"/>
              <w:right w:val="single" w:sz="2" w:space="0" w:color="auto"/>
            </w:tcBorders>
            <w:hideMark/>
          </w:tcPr>
          <w:p w14:paraId="69AADD98" w14:textId="77777777" w:rsidR="00F603CB" w:rsidRDefault="00F603CB">
            <w:pPr>
              <w:rPr>
                <w:color w:val="0D0D0D"/>
                <w:sz w:val="20"/>
                <w:szCs w:val="20"/>
              </w:rPr>
            </w:pPr>
            <w:r>
              <w:rPr>
                <w:color w:val="0D0D0D"/>
                <w:sz w:val="20"/>
                <w:szCs w:val="20"/>
              </w:rPr>
              <w:t>Identifies six classes of repair initiators and three broad repair processes: </w:t>
            </w:r>
            <w:r>
              <w:rPr>
                <w:rStyle w:val="Strong"/>
                <w:color w:val="0D0D0D"/>
                <w:sz w:val="20"/>
                <w:szCs w:val="20"/>
                <w:bdr w:val="single" w:sz="2" w:space="0" w:color="auto" w:frame="1"/>
              </w:rPr>
              <w:t>incremental</w:t>
            </w:r>
            <w:r>
              <w:rPr>
                <w:color w:val="0D0D0D"/>
                <w:sz w:val="20"/>
                <w:szCs w:val="20"/>
              </w:rPr>
              <w:t>, </w:t>
            </w:r>
            <w:r>
              <w:rPr>
                <w:rStyle w:val="Strong"/>
                <w:color w:val="0D0D0D"/>
                <w:sz w:val="20"/>
                <w:szCs w:val="20"/>
                <w:bdr w:val="single" w:sz="2" w:space="0" w:color="auto" w:frame="1"/>
              </w:rPr>
              <w:t>grounding</w:t>
            </w:r>
            <w:r>
              <w:rPr>
                <w:color w:val="0D0D0D"/>
                <w:sz w:val="20"/>
                <w:szCs w:val="20"/>
              </w:rPr>
              <w:t>, and </w:t>
            </w:r>
            <w:r>
              <w:rPr>
                <w:rStyle w:val="Strong"/>
                <w:color w:val="0D0D0D"/>
                <w:sz w:val="20"/>
                <w:szCs w:val="20"/>
                <w:bdr w:val="single" w:sz="2" w:space="0" w:color="auto" w:frame="1"/>
              </w:rPr>
              <w:t>validating</w:t>
            </w:r>
            <w:r>
              <w:rPr>
                <w:color w:val="0D0D0D"/>
                <w:sz w:val="20"/>
                <w:szCs w:val="20"/>
              </w:rPr>
              <w:t xml:space="preserve"> repair. Its main value for coding is the explicit recognition that external validators, such as tools and reference artifacts, are often what </w:t>
            </w:r>
            <w:proofErr w:type="gramStart"/>
            <w:r>
              <w:rPr>
                <w:color w:val="0D0D0D"/>
                <w:sz w:val="20"/>
                <w:szCs w:val="20"/>
              </w:rPr>
              <w:t>actually surface</w:t>
            </w:r>
            <w:proofErr w:type="gramEnd"/>
            <w:r>
              <w:rPr>
                <w:color w:val="0D0D0D"/>
                <w:sz w:val="20"/>
                <w:szCs w:val="20"/>
              </w:rPr>
              <w:t xml:space="preserve"> silent failures. This is a strong conceptual bridge to test/CI-driven coding environments.</w:t>
            </w:r>
          </w:p>
        </w:tc>
      </w:tr>
      <w:tr w:rsidR="00F603CB" w14:paraId="1E71941E" w14:textId="77777777">
        <w:tc>
          <w:tcPr>
            <w:tcW w:w="0" w:type="auto"/>
            <w:tcBorders>
              <w:top w:val="single" w:sz="2" w:space="0" w:color="auto"/>
              <w:left w:val="single" w:sz="2" w:space="0" w:color="auto"/>
              <w:bottom w:val="single" w:sz="2" w:space="0" w:color="auto"/>
              <w:right w:val="single" w:sz="2" w:space="0" w:color="auto"/>
            </w:tcBorders>
            <w:hideMark/>
          </w:tcPr>
          <w:p w14:paraId="42285CBF" w14:textId="77777777" w:rsidR="00F603CB" w:rsidRDefault="00F603CB">
            <w:pPr>
              <w:rPr>
                <w:color w:val="0D0D0D"/>
                <w:sz w:val="20"/>
                <w:szCs w:val="20"/>
              </w:rPr>
            </w:pPr>
            <w:proofErr w:type="spellStart"/>
            <w:r>
              <w:rPr>
                <w:color w:val="0D0D0D"/>
                <w:sz w:val="20"/>
                <w:szCs w:val="20"/>
              </w:rPr>
              <w:t>CanRelax</w:t>
            </w:r>
            <w:proofErr w:type="spellEnd"/>
            <w:r>
              <w:rPr>
                <w:color w:val="0D0D0D"/>
                <w:sz w:val="20"/>
                <w:szCs w:val="20"/>
              </w:rPr>
              <w:t xml:space="preserve"> working-alliance </w:t>
            </w:r>
            <w:r>
              <w:rPr>
                <w:color w:val="0D0D0D"/>
                <w:sz w:val="20"/>
                <w:szCs w:val="20"/>
              </w:rPr>
              <w:lastRenderedPageBreak/>
              <w:t>study</w:t>
            </w:r>
          </w:p>
        </w:tc>
        <w:tc>
          <w:tcPr>
            <w:tcW w:w="0" w:type="auto"/>
            <w:tcBorders>
              <w:top w:val="single" w:sz="2" w:space="0" w:color="auto"/>
              <w:left w:val="single" w:sz="2" w:space="0" w:color="auto"/>
              <w:bottom w:val="single" w:sz="2" w:space="0" w:color="auto"/>
              <w:right w:val="single" w:sz="2" w:space="0" w:color="auto"/>
            </w:tcBorders>
            <w:hideMark/>
          </w:tcPr>
          <w:p w14:paraId="217AF4BD" w14:textId="77777777" w:rsidR="00F603CB" w:rsidRDefault="00F603CB">
            <w:pPr>
              <w:rPr>
                <w:color w:val="0D0D0D"/>
                <w:sz w:val="20"/>
                <w:szCs w:val="20"/>
              </w:rPr>
            </w:pPr>
            <w:r>
              <w:rPr>
                <w:color w:val="0D0D0D"/>
                <w:sz w:val="20"/>
                <w:szCs w:val="20"/>
              </w:rPr>
              <w:lastRenderedPageBreak/>
              <w:t xml:space="preserve">Empirical </w:t>
            </w:r>
            <w:r>
              <w:rPr>
                <w:color w:val="0D0D0D"/>
                <w:sz w:val="20"/>
                <w:szCs w:val="20"/>
              </w:rPr>
              <w:lastRenderedPageBreak/>
              <w:t>adjacent</w:t>
            </w:r>
          </w:p>
        </w:tc>
        <w:tc>
          <w:tcPr>
            <w:tcW w:w="0" w:type="auto"/>
            <w:tcBorders>
              <w:top w:val="single" w:sz="2" w:space="0" w:color="auto"/>
              <w:left w:val="single" w:sz="2" w:space="0" w:color="auto"/>
              <w:bottom w:val="single" w:sz="2" w:space="0" w:color="auto"/>
              <w:right w:val="single" w:sz="2" w:space="0" w:color="auto"/>
            </w:tcBorders>
            <w:hideMark/>
          </w:tcPr>
          <w:p w14:paraId="050BB8FA" w14:textId="77777777" w:rsidR="00F603CB" w:rsidRDefault="00F603CB">
            <w:pPr>
              <w:rPr>
                <w:color w:val="0D0D0D"/>
                <w:sz w:val="20"/>
                <w:szCs w:val="20"/>
              </w:rPr>
            </w:pPr>
            <w:hyperlink r:id="rId19" w:history="1">
              <w:r>
                <w:rPr>
                  <w:rStyle w:val="Hyperlink"/>
                  <w:sz w:val="20"/>
                  <w:szCs w:val="20"/>
                  <w:bdr w:val="single" w:sz="2" w:space="0" w:color="auto" w:frame="1"/>
                </w:rPr>
                <w:t xml:space="preserve">official </w:t>
              </w:r>
              <w:r>
                <w:rPr>
                  <w:rStyle w:val="Hyperlink"/>
                  <w:sz w:val="20"/>
                  <w:szCs w:val="20"/>
                  <w:bdr w:val="single" w:sz="2" w:space="0" w:color="auto" w:frame="1"/>
                </w:rPr>
                <w:lastRenderedPageBreak/>
                <w:t>page</w:t>
              </w:r>
            </w:hyperlink>
          </w:p>
        </w:tc>
        <w:tc>
          <w:tcPr>
            <w:tcW w:w="0" w:type="auto"/>
            <w:tcBorders>
              <w:top w:val="single" w:sz="2" w:space="0" w:color="auto"/>
              <w:left w:val="single" w:sz="2" w:space="0" w:color="auto"/>
              <w:bottom w:val="single" w:sz="2" w:space="0" w:color="auto"/>
              <w:right w:val="single" w:sz="2" w:space="0" w:color="auto"/>
            </w:tcBorders>
            <w:hideMark/>
          </w:tcPr>
          <w:p w14:paraId="2DC3F8C8" w14:textId="77777777" w:rsidR="00F603CB" w:rsidRDefault="00F603CB">
            <w:pPr>
              <w:rPr>
                <w:color w:val="0D0D0D"/>
                <w:sz w:val="20"/>
                <w:szCs w:val="20"/>
              </w:rPr>
            </w:pPr>
            <w:r>
              <w:rPr>
                <w:color w:val="0D0D0D"/>
                <w:sz w:val="20"/>
                <w:szCs w:val="20"/>
              </w:rPr>
              <w:lastRenderedPageBreak/>
              <w:t xml:space="preserve">Conversational-agent </w:t>
            </w:r>
            <w:r>
              <w:rPr>
                <w:color w:val="0D0D0D"/>
                <w:sz w:val="20"/>
                <w:szCs w:val="20"/>
              </w:rPr>
              <w:lastRenderedPageBreak/>
              <w:t>intervention study outside coding</w:t>
            </w:r>
          </w:p>
        </w:tc>
        <w:tc>
          <w:tcPr>
            <w:tcW w:w="0" w:type="auto"/>
            <w:tcBorders>
              <w:top w:val="single" w:sz="2" w:space="0" w:color="auto"/>
              <w:left w:val="single" w:sz="2" w:space="0" w:color="auto"/>
              <w:bottom w:val="single" w:sz="2" w:space="0" w:color="auto"/>
              <w:right w:val="single" w:sz="2" w:space="0" w:color="auto"/>
            </w:tcBorders>
            <w:hideMark/>
          </w:tcPr>
          <w:p w14:paraId="522BDFB4" w14:textId="77777777" w:rsidR="00F603CB" w:rsidRDefault="00F603CB">
            <w:pPr>
              <w:rPr>
                <w:color w:val="0D0D0D"/>
                <w:sz w:val="20"/>
                <w:szCs w:val="20"/>
              </w:rPr>
            </w:pPr>
            <w:r>
              <w:rPr>
                <w:color w:val="0D0D0D"/>
                <w:sz w:val="20"/>
                <w:szCs w:val="20"/>
              </w:rPr>
              <w:lastRenderedPageBreak/>
              <w:t>unspecified</w:t>
            </w:r>
          </w:p>
        </w:tc>
        <w:tc>
          <w:tcPr>
            <w:tcW w:w="0" w:type="auto"/>
            <w:tcBorders>
              <w:top w:val="single" w:sz="2" w:space="0" w:color="auto"/>
              <w:left w:val="single" w:sz="2" w:space="0" w:color="auto"/>
              <w:bottom w:val="single" w:sz="2" w:space="0" w:color="auto"/>
              <w:right w:val="single" w:sz="2" w:space="0" w:color="auto"/>
            </w:tcBorders>
            <w:hideMark/>
          </w:tcPr>
          <w:p w14:paraId="7831EE6E" w14:textId="77777777" w:rsidR="00F603CB" w:rsidRDefault="00F603CB">
            <w:pPr>
              <w:jc w:val="right"/>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2E94DD56" w14:textId="77777777" w:rsidR="00F603CB" w:rsidRDefault="00F603CB">
            <w:pPr>
              <w:rPr>
                <w:color w:val="0D0D0D"/>
                <w:sz w:val="20"/>
                <w:szCs w:val="20"/>
              </w:rPr>
            </w:pPr>
            <w:r>
              <w:rPr>
                <w:color w:val="0D0D0D"/>
                <w:sz w:val="20"/>
                <w:szCs w:val="20"/>
              </w:rPr>
              <w:t xml:space="preserve">Working alliance; </w:t>
            </w:r>
            <w:r>
              <w:rPr>
                <w:color w:val="0D0D0D"/>
                <w:sz w:val="20"/>
                <w:szCs w:val="20"/>
              </w:rPr>
              <w:lastRenderedPageBreak/>
              <w:t>intervention outcomes</w:t>
            </w:r>
          </w:p>
        </w:tc>
        <w:tc>
          <w:tcPr>
            <w:tcW w:w="0" w:type="auto"/>
            <w:tcBorders>
              <w:top w:val="single" w:sz="2" w:space="0" w:color="auto"/>
              <w:left w:val="single" w:sz="2" w:space="0" w:color="auto"/>
              <w:bottom w:val="single" w:sz="2" w:space="0" w:color="auto"/>
              <w:right w:val="single" w:sz="2" w:space="0" w:color="auto"/>
            </w:tcBorders>
            <w:hideMark/>
          </w:tcPr>
          <w:p w14:paraId="1FFBEAF6" w14:textId="77777777" w:rsidR="00F603CB" w:rsidRDefault="00F603CB">
            <w:pPr>
              <w:rPr>
                <w:color w:val="0D0D0D"/>
                <w:sz w:val="20"/>
                <w:szCs w:val="20"/>
              </w:rPr>
            </w:pPr>
            <w:r>
              <w:rPr>
                <w:color w:val="0D0D0D"/>
                <w:sz w:val="20"/>
                <w:szCs w:val="20"/>
              </w:rPr>
              <w:lastRenderedPageBreak/>
              <w:t xml:space="preserve">Not a coding paper, but useful for operationalizing alliance. Stronger alliance showed a modest </w:t>
            </w:r>
            <w:r>
              <w:rPr>
                <w:color w:val="0D0D0D"/>
                <w:sz w:val="20"/>
                <w:szCs w:val="20"/>
              </w:rPr>
              <w:lastRenderedPageBreak/>
              <w:t>association with better outcomes, and </w:t>
            </w:r>
            <w:r>
              <w:rPr>
                <w:rStyle w:val="Strong"/>
                <w:color w:val="0D0D0D"/>
                <w:sz w:val="20"/>
                <w:szCs w:val="20"/>
                <w:bdr w:val="single" w:sz="2" w:space="0" w:color="auto" w:frame="1"/>
              </w:rPr>
              <w:t>task/goal agreement mattered more than bond</w:t>
            </w:r>
            <w:r>
              <w:rPr>
                <w:color w:val="0D0D0D"/>
                <w:sz w:val="20"/>
                <w:szCs w:val="20"/>
              </w:rPr>
              <w:t> in the overall sample. For coding interaction, this implies that “alliance” should be measured primarily as shared task model and constraint alignment, not interpersonal warmth.</w:t>
            </w:r>
          </w:p>
        </w:tc>
      </w:tr>
      <w:tr w:rsidR="00F603CB" w14:paraId="65A3F33A" w14:textId="77777777">
        <w:tc>
          <w:tcPr>
            <w:tcW w:w="0" w:type="auto"/>
            <w:tcBorders>
              <w:top w:val="single" w:sz="2" w:space="0" w:color="auto"/>
              <w:left w:val="single" w:sz="2" w:space="0" w:color="auto"/>
              <w:bottom w:val="single" w:sz="2" w:space="0" w:color="auto"/>
              <w:right w:val="single" w:sz="2" w:space="0" w:color="auto"/>
            </w:tcBorders>
            <w:hideMark/>
          </w:tcPr>
          <w:p w14:paraId="064C17F2" w14:textId="77777777" w:rsidR="00F603CB" w:rsidRDefault="00F603CB">
            <w:pPr>
              <w:rPr>
                <w:color w:val="0D0D0D"/>
                <w:sz w:val="20"/>
                <w:szCs w:val="20"/>
              </w:rPr>
            </w:pPr>
            <w:r>
              <w:rPr>
                <w:color w:val="0D0D0D"/>
                <w:sz w:val="20"/>
                <w:szCs w:val="20"/>
              </w:rPr>
              <w:lastRenderedPageBreak/>
              <w:t>Ehsani et al., field study of failed AI-generated pull requests</w:t>
            </w:r>
          </w:p>
        </w:tc>
        <w:tc>
          <w:tcPr>
            <w:tcW w:w="0" w:type="auto"/>
            <w:tcBorders>
              <w:top w:val="single" w:sz="2" w:space="0" w:color="auto"/>
              <w:left w:val="single" w:sz="2" w:space="0" w:color="auto"/>
              <w:bottom w:val="single" w:sz="2" w:space="0" w:color="auto"/>
              <w:right w:val="single" w:sz="2" w:space="0" w:color="auto"/>
            </w:tcBorders>
            <w:hideMark/>
          </w:tcPr>
          <w:p w14:paraId="303F589C" w14:textId="77777777" w:rsidR="00F603CB" w:rsidRDefault="00F603CB">
            <w:pPr>
              <w:rPr>
                <w:color w:val="0D0D0D"/>
                <w:sz w:val="20"/>
                <w:szCs w:val="20"/>
              </w:rPr>
            </w:pPr>
            <w:r>
              <w:rPr>
                <w:color w:val="0D0D0D"/>
                <w:sz w:val="20"/>
                <w:szCs w:val="20"/>
              </w:rPr>
              <w:t>Empirical</w:t>
            </w:r>
          </w:p>
        </w:tc>
        <w:tc>
          <w:tcPr>
            <w:tcW w:w="0" w:type="auto"/>
            <w:tcBorders>
              <w:top w:val="single" w:sz="2" w:space="0" w:color="auto"/>
              <w:left w:val="single" w:sz="2" w:space="0" w:color="auto"/>
              <w:bottom w:val="single" w:sz="2" w:space="0" w:color="auto"/>
              <w:right w:val="single" w:sz="2" w:space="0" w:color="auto"/>
            </w:tcBorders>
            <w:hideMark/>
          </w:tcPr>
          <w:p w14:paraId="09372D45" w14:textId="77777777" w:rsidR="00F603CB" w:rsidRDefault="00F603CB">
            <w:pPr>
              <w:rPr>
                <w:color w:val="0D0D0D"/>
                <w:sz w:val="20"/>
                <w:szCs w:val="20"/>
              </w:rPr>
            </w:pPr>
            <w:r>
              <w:rPr>
                <w:color w:val="0D0D0D"/>
                <w:sz w:val="20"/>
                <w:szCs w:val="20"/>
              </w:rPr>
              <w:t>unspecified in prior verified scan</w:t>
            </w:r>
          </w:p>
        </w:tc>
        <w:tc>
          <w:tcPr>
            <w:tcW w:w="0" w:type="auto"/>
            <w:tcBorders>
              <w:top w:val="single" w:sz="2" w:space="0" w:color="auto"/>
              <w:left w:val="single" w:sz="2" w:space="0" w:color="auto"/>
              <w:bottom w:val="single" w:sz="2" w:space="0" w:color="auto"/>
              <w:right w:val="single" w:sz="2" w:space="0" w:color="auto"/>
            </w:tcBorders>
            <w:hideMark/>
          </w:tcPr>
          <w:p w14:paraId="24D06651" w14:textId="77777777" w:rsidR="00F603CB" w:rsidRDefault="00F603CB">
            <w:pPr>
              <w:rPr>
                <w:color w:val="0D0D0D"/>
                <w:sz w:val="20"/>
                <w:szCs w:val="20"/>
              </w:rPr>
            </w:pPr>
            <w:r>
              <w:rPr>
                <w:color w:val="0D0D0D"/>
                <w:sz w:val="20"/>
                <w:szCs w:val="20"/>
              </w:rPr>
              <w:t>Observational field study of AI-generated pull requests / repository outcomes</w:t>
            </w:r>
          </w:p>
        </w:tc>
        <w:tc>
          <w:tcPr>
            <w:tcW w:w="0" w:type="auto"/>
            <w:tcBorders>
              <w:top w:val="single" w:sz="2" w:space="0" w:color="auto"/>
              <w:left w:val="single" w:sz="2" w:space="0" w:color="auto"/>
              <w:bottom w:val="single" w:sz="2" w:space="0" w:color="auto"/>
              <w:right w:val="single" w:sz="2" w:space="0" w:color="auto"/>
            </w:tcBorders>
            <w:hideMark/>
          </w:tcPr>
          <w:p w14:paraId="69F1F861" w14:textId="77777777" w:rsidR="00F603CB" w:rsidRDefault="00F603CB">
            <w:pPr>
              <w:rPr>
                <w:color w:val="0D0D0D"/>
                <w:sz w:val="20"/>
                <w:szCs w:val="20"/>
              </w:rPr>
            </w:pPr>
            <w:r>
              <w:rPr>
                <w:color w:val="0D0D0D"/>
                <w:sz w:val="20"/>
                <w:szCs w:val="20"/>
              </w:rPr>
              <w:t>timeframe unspecified</w:t>
            </w:r>
          </w:p>
        </w:tc>
        <w:tc>
          <w:tcPr>
            <w:tcW w:w="0" w:type="auto"/>
            <w:tcBorders>
              <w:top w:val="single" w:sz="2" w:space="0" w:color="auto"/>
              <w:left w:val="single" w:sz="2" w:space="0" w:color="auto"/>
              <w:bottom w:val="single" w:sz="2" w:space="0" w:color="auto"/>
              <w:right w:val="single" w:sz="2" w:space="0" w:color="auto"/>
            </w:tcBorders>
            <w:hideMark/>
          </w:tcPr>
          <w:p w14:paraId="02D2A1F8" w14:textId="77777777" w:rsidR="00F603CB" w:rsidRDefault="00F603CB">
            <w:pPr>
              <w:jc w:val="right"/>
              <w:rPr>
                <w:color w:val="0D0D0D"/>
                <w:sz w:val="20"/>
                <w:szCs w:val="20"/>
              </w:rPr>
            </w:pPr>
            <w:r>
              <w:rPr>
                <w:color w:val="0D0D0D"/>
                <w:sz w:val="20"/>
                <w:szCs w:val="20"/>
              </w:rPr>
              <w:t>unspecified</w:t>
            </w:r>
          </w:p>
        </w:tc>
        <w:tc>
          <w:tcPr>
            <w:tcW w:w="0" w:type="auto"/>
            <w:tcBorders>
              <w:top w:val="single" w:sz="2" w:space="0" w:color="auto"/>
              <w:left w:val="single" w:sz="2" w:space="0" w:color="auto"/>
              <w:bottom w:val="single" w:sz="2" w:space="0" w:color="auto"/>
              <w:right w:val="single" w:sz="2" w:space="0" w:color="auto"/>
            </w:tcBorders>
            <w:hideMark/>
          </w:tcPr>
          <w:p w14:paraId="659C5CD1" w14:textId="77777777" w:rsidR="00F603CB" w:rsidRDefault="00F603CB">
            <w:pPr>
              <w:rPr>
                <w:color w:val="0D0D0D"/>
                <w:sz w:val="20"/>
                <w:szCs w:val="20"/>
              </w:rPr>
            </w:pPr>
            <w:r>
              <w:rPr>
                <w:color w:val="0D0D0D"/>
                <w:sz w:val="20"/>
                <w:szCs w:val="20"/>
              </w:rPr>
              <w:t>PR success/failure; CI/CD outcomes; scope of changes; contribution alignment</w:t>
            </w:r>
          </w:p>
        </w:tc>
        <w:tc>
          <w:tcPr>
            <w:tcW w:w="0" w:type="auto"/>
            <w:tcBorders>
              <w:top w:val="single" w:sz="2" w:space="0" w:color="auto"/>
              <w:left w:val="single" w:sz="2" w:space="0" w:color="auto"/>
              <w:bottom w:val="single" w:sz="2" w:space="0" w:color="auto"/>
              <w:right w:val="single" w:sz="2" w:space="0" w:color="auto"/>
            </w:tcBorders>
            <w:hideMark/>
          </w:tcPr>
          <w:p w14:paraId="3AA1A0D6" w14:textId="77777777" w:rsidR="00F603CB" w:rsidRDefault="00F603CB">
            <w:pPr>
              <w:rPr>
                <w:color w:val="0D0D0D"/>
                <w:sz w:val="20"/>
                <w:szCs w:val="20"/>
              </w:rPr>
            </w:pPr>
            <w:r>
              <w:rPr>
                <w:color w:val="0D0D0D"/>
                <w:sz w:val="20"/>
                <w:szCs w:val="20"/>
              </w:rPr>
              <w:t>The repository-scale analogue of short-session rupture. Failed AI-generated PRs were associated with larger changes, more files touched, CI/CD failures, unwanted feature implementations, duplicate contributions, and misalignment with repository needs. Detection often occurred </w:t>
            </w:r>
            <w:r>
              <w:rPr>
                <w:rStyle w:val="Strong"/>
                <w:color w:val="0D0D0D"/>
                <w:sz w:val="20"/>
                <w:szCs w:val="20"/>
                <w:bdr w:val="single" w:sz="2" w:space="0" w:color="auto" w:frame="1"/>
              </w:rPr>
              <w:t>late</w:t>
            </w:r>
            <w:r>
              <w:rPr>
                <w:color w:val="0D0D0D"/>
                <w:sz w:val="20"/>
                <w:szCs w:val="20"/>
              </w:rPr>
              <w:t>, via CI, review, or maintainer rejection rather than during generation, making this a strong compounding-failure study.</w:t>
            </w:r>
          </w:p>
        </w:tc>
      </w:tr>
      <w:tr w:rsidR="00F603CB" w14:paraId="0C34DDED" w14:textId="77777777">
        <w:tc>
          <w:tcPr>
            <w:tcW w:w="0" w:type="auto"/>
            <w:tcBorders>
              <w:top w:val="single" w:sz="2" w:space="0" w:color="auto"/>
              <w:left w:val="single" w:sz="2" w:space="0" w:color="auto"/>
              <w:bottom w:val="single" w:sz="2" w:space="0" w:color="auto"/>
              <w:right w:val="single" w:sz="2" w:space="0" w:color="auto"/>
            </w:tcBorders>
            <w:hideMark/>
          </w:tcPr>
          <w:p w14:paraId="5DB6EED5" w14:textId="77777777" w:rsidR="00F603CB" w:rsidRDefault="00F603CB">
            <w:pPr>
              <w:rPr>
                <w:color w:val="0D0D0D"/>
                <w:sz w:val="20"/>
                <w:szCs w:val="20"/>
              </w:rPr>
            </w:pPr>
            <w:r>
              <w:rPr>
                <w:color w:val="0D0D0D"/>
                <w:sz w:val="20"/>
                <w:szCs w:val="20"/>
              </w:rPr>
              <w:t>SWE-CI benchmark for long-horizon agentic software engineering</w:t>
            </w:r>
          </w:p>
        </w:tc>
        <w:tc>
          <w:tcPr>
            <w:tcW w:w="0" w:type="auto"/>
            <w:tcBorders>
              <w:top w:val="single" w:sz="2" w:space="0" w:color="auto"/>
              <w:left w:val="single" w:sz="2" w:space="0" w:color="auto"/>
              <w:bottom w:val="single" w:sz="2" w:space="0" w:color="auto"/>
              <w:right w:val="single" w:sz="2" w:space="0" w:color="auto"/>
            </w:tcBorders>
            <w:hideMark/>
          </w:tcPr>
          <w:p w14:paraId="4DF53765" w14:textId="77777777" w:rsidR="00F603CB" w:rsidRDefault="00F603CB">
            <w:pPr>
              <w:rPr>
                <w:color w:val="0D0D0D"/>
                <w:sz w:val="20"/>
                <w:szCs w:val="20"/>
              </w:rPr>
            </w:pPr>
            <w:r>
              <w:rPr>
                <w:color w:val="0D0D0D"/>
                <w:sz w:val="20"/>
                <w:szCs w:val="20"/>
              </w:rPr>
              <w:t>Empirical benchmark</w:t>
            </w:r>
          </w:p>
        </w:tc>
        <w:tc>
          <w:tcPr>
            <w:tcW w:w="0" w:type="auto"/>
            <w:tcBorders>
              <w:top w:val="single" w:sz="2" w:space="0" w:color="auto"/>
              <w:left w:val="single" w:sz="2" w:space="0" w:color="auto"/>
              <w:bottom w:val="single" w:sz="2" w:space="0" w:color="auto"/>
              <w:right w:val="single" w:sz="2" w:space="0" w:color="auto"/>
            </w:tcBorders>
            <w:hideMark/>
          </w:tcPr>
          <w:p w14:paraId="535B0B9C" w14:textId="77777777" w:rsidR="00F603CB" w:rsidRDefault="00F603CB">
            <w:pPr>
              <w:rPr>
                <w:color w:val="0D0D0D"/>
                <w:sz w:val="20"/>
                <w:szCs w:val="20"/>
              </w:rPr>
            </w:pPr>
            <w:hyperlink r:id="rId20" w:history="1">
              <w:r>
                <w:rPr>
                  <w:rStyle w:val="Hyperlink"/>
                  <w:sz w:val="20"/>
                  <w:szCs w:val="20"/>
                  <w:bdr w:val="single" w:sz="2" w:space="0" w:color="auto" w:frame="1"/>
                </w:rPr>
                <w:t>official preprint</w:t>
              </w:r>
            </w:hyperlink>
          </w:p>
        </w:tc>
        <w:tc>
          <w:tcPr>
            <w:tcW w:w="0" w:type="auto"/>
            <w:tcBorders>
              <w:top w:val="single" w:sz="2" w:space="0" w:color="auto"/>
              <w:left w:val="single" w:sz="2" w:space="0" w:color="auto"/>
              <w:bottom w:val="single" w:sz="2" w:space="0" w:color="auto"/>
              <w:right w:val="single" w:sz="2" w:space="0" w:color="auto"/>
            </w:tcBorders>
            <w:hideMark/>
          </w:tcPr>
          <w:p w14:paraId="66D94B6B" w14:textId="77777777" w:rsidR="00F603CB" w:rsidRDefault="00F603CB">
            <w:pPr>
              <w:rPr>
                <w:color w:val="0D0D0D"/>
                <w:sz w:val="20"/>
                <w:szCs w:val="20"/>
              </w:rPr>
            </w:pPr>
            <w:r>
              <w:rPr>
                <w:color w:val="0D0D0D"/>
                <w:sz w:val="20"/>
                <w:szCs w:val="20"/>
              </w:rPr>
              <w:t>Benchmark / long-horizon maintenance evaluation for software agents</w:t>
            </w:r>
          </w:p>
        </w:tc>
        <w:tc>
          <w:tcPr>
            <w:tcW w:w="0" w:type="auto"/>
            <w:tcBorders>
              <w:top w:val="single" w:sz="2" w:space="0" w:color="auto"/>
              <w:left w:val="single" w:sz="2" w:space="0" w:color="auto"/>
              <w:bottom w:val="single" w:sz="2" w:space="0" w:color="auto"/>
              <w:right w:val="single" w:sz="2" w:space="0" w:color="auto"/>
            </w:tcBorders>
            <w:hideMark/>
          </w:tcPr>
          <w:p w14:paraId="392F295B" w14:textId="77777777" w:rsidR="00F603CB" w:rsidRDefault="00F603CB">
            <w:pPr>
              <w:rPr>
                <w:color w:val="0D0D0D"/>
                <w:sz w:val="20"/>
                <w:szCs w:val="20"/>
              </w:rPr>
            </w:pPr>
            <w:r>
              <w:rPr>
                <w:color w:val="0D0D0D"/>
                <w:sz w:val="20"/>
                <w:szCs w:val="20"/>
              </w:rPr>
              <w:t>Task span averages 233 days and 71 consecutive commits</w:t>
            </w:r>
          </w:p>
        </w:tc>
        <w:tc>
          <w:tcPr>
            <w:tcW w:w="0" w:type="auto"/>
            <w:tcBorders>
              <w:top w:val="single" w:sz="2" w:space="0" w:color="auto"/>
              <w:left w:val="single" w:sz="2" w:space="0" w:color="auto"/>
              <w:bottom w:val="single" w:sz="2" w:space="0" w:color="auto"/>
              <w:right w:val="single" w:sz="2" w:space="0" w:color="auto"/>
            </w:tcBorders>
            <w:hideMark/>
          </w:tcPr>
          <w:p w14:paraId="61524799" w14:textId="77777777" w:rsidR="00F603CB" w:rsidRDefault="00F603CB">
            <w:pPr>
              <w:jc w:val="right"/>
              <w:rPr>
                <w:color w:val="0D0D0D"/>
                <w:sz w:val="20"/>
                <w:szCs w:val="20"/>
              </w:rPr>
            </w:pPr>
            <w:r>
              <w:rPr>
                <w:color w:val="0D0D0D"/>
                <w:sz w:val="20"/>
                <w:szCs w:val="20"/>
              </w:rPr>
              <w:t>100 tasks</w:t>
            </w:r>
          </w:p>
        </w:tc>
        <w:tc>
          <w:tcPr>
            <w:tcW w:w="0" w:type="auto"/>
            <w:tcBorders>
              <w:top w:val="single" w:sz="2" w:space="0" w:color="auto"/>
              <w:left w:val="single" w:sz="2" w:space="0" w:color="auto"/>
              <w:bottom w:val="single" w:sz="2" w:space="0" w:color="auto"/>
              <w:right w:val="single" w:sz="2" w:space="0" w:color="auto"/>
            </w:tcBorders>
            <w:hideMark/>
          </w:tcPr>
          <w:p w14:paraId="2C91939F" w14:textId="77777777" w:rsidR="00F603CB" w:rsidRDefault="00F603CB">
            <w:pPr>
              <w:rPr>
                <w:color w:val="0D0D0D"/>
                <w:sz w:val="20"/>
                <w:szCs w:val="20"/>
              </w:rPr>
            </w:pPr>
            <w:r>
              <w:rPr>
                <w:color w:val="0D0D0D"/>
                <w:sz w:val="20"/>
                <w:szCs w:val="20"/>
              </w:rPr>
              <w:t>Long-horizon maintenance success; repeated analysis-and-coding loops; delayed regressions</w:t>
            </w:r>
          </w:p>
        </w:tc>
        <w:tc>
          <w:tcPr>
            <w:tcW w:w="0" w:type="auto"/>
            <w:tcBorders>
              <w:top w:val="single" w:sz="2" w:space="0" w:color="auto"/>
              <w:left w:val="single" w:sz="2" w:space="0" w:color="auto"/>
              <w:bottom w:val="single" w:sz="2" w:space="0" w:color="auto"/>
              <w:right w:val="single" w:sz="2" w:space="0" w:color="auto"/>
            </w:tcBorders>
            <w:hideMark/>
          </w:tcPr>
          <w:p w14:paraId="67D908D6" w14:textId="77777777" w:rsidR="00F603CB" w:rsidRDefault="00F603CB">
            <w:pPr>
              <w:rPr>
                <w:color w:val="0D0D0D"/>
                <w:sz w:val="20"/>
                <w:szCs w:val="20"/>
              </w:rPr>
            </w:pPr>
            <w:r>
              <w:rPr>
                <w:color w:val="0D0D0D"/>
                <w:sz w:val="20"/>
                <w:szCs w:val="20"/>
              </w:rPr>
              <w:t xml:space="preserve">Not a human study, but crucial for autonomous coding. The benchmark explicitly targets the failure mode that static one-shot benchmarks </w:t>
            </w:r>
            <w:proofErr w:type="gramStart"/>
            <w:r>
              <w:rPr>
                <w:color w:val="0D0D0D"/>
                <w:sz w:val="20"/>
                <w:szCs w:val="20"/>
              </w:rPr>
              <w:t>miss:</w:t>
            </w:r>
            <w:proofErr w:type="gramEnd"/>
            <w:r>
              <w:rPr>
                <w:color w:val="0D0D0D"/>
                <w:sz w:val="20"/>
                <w:szCs w:val="20"/>
              </w:rPr>
              <w:t xml:space="preserve"> small mistakes that only become visible after repeated code changes and repository evolution. It is highly relevant for rupture-and-repair research because it provides a scaffold for studying delayed regressions and cumulative derailment rather than only first-attempt correctness.</w:t>
            </w:r>
          </w:p>
        </w:tc>
      </w:tr>
    </w:tbl>
    <w:p w14:paraId="63327AF4"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Important versioning note: the accessible Tie et al. preprint and the later revised/TOSEM version do </w:t>
      </w:r>
      <w:r>
        <w:rPr>
          <w:rStyle w:val="Strong"/>
          <w:rFonts w:ascii="Segoe UI" w:eastAsiaTheme="majorEastAsia" w:hAnsi="Segoe UI" w:cs="Segoe UI"/>
          <w:color w:val="0D0D0D"/>
          <w:spacing w:val="-2"/>
          <w:sz w:val="22"/>
          <w:szCs w:val="22"/>
          <w:bdr w:val="single" w:sz="2" w:space="0" w:color="auto" w:frame="1"/>
        </w:rPr>
        <w:t>not</w:t>
      </w:r>
      <w:r>
        <w:rPr>
          <w:rFonts w:ascii="Segoe UI" w:hAnsi="Segoe UI" w:cs="Segoe UI"/>
          <w:color w:val="0D0D0D"/>
          <w:spacing w:val="-2"/>
          <w:sz w:val="22"/>
          <w:szCs w:val="22"/>
        </w:rPr>
        <w:t> report identical sample sizes or headline summaries. I therefore keep them separate and do not mechanically merge their counts.</w:t>
      </w:r>
    </w:p>
    <w:p w14:paraId="22A3C2C7" w14:textId="77777777" w:rsidR="00F603CB" w:rsidRDefault="00F603CB" w:rsidP="00F603CB">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Cross-study synthesis</w:t>
      </w:r>
    </w:p>
    <w:p w14:paraId="7F74017D"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Across the direct coding studies, failure detection follows a consistent hierarchy: overt correctness failures are caught by compilers, tests, or immediate runtime problems, while </w:t>
      </w:r>
      <w:r>
        <w:rPr>
          <w:rStyle w:val="Strong"/>
          <w:rFonts w:ascii="Segoe UI" w:eastAsiaTheme="majorEastAsia" w:hAnsi="Segoe UI" w:cs="Segoe UI"/>
          <w:color w:val="0D0D0D"/>
          <w:spacing w:val="-2"/>
          <w:sz w:val="22"/>
          <w:szCs w:val="22"/>
          <w:bdr w:val="single" w:sz="2" w:space="0" w:color="auto" w:frame="1"/>
        </w:rPr>
        <w:t>silent semantic, partial, security, and context-loss failures are often detected only after code inspection, execution anomalies, documentation lookup, or sometimes not at all</w:t>
      </w:r>
      <w:r>
        <w:rPr>
          <w:rFonts w:ascii="Segoe UI" w:hAnsi="Segoe UI" w:cs="Segoe UI"/>
          <w:color w:val="0D0D0D"/>
          <w:spacing w:val="-2"/>
          <w:sz w:val="22"/>
          <w:szCs w:val="22"/>
        </w:rPr>
        <w:t xml:space="preserve"> (Tie; </w:t>
      </w:r>
      <w:proofErr w:type="spellStart"/>
      <w:r>
        <w:rPr>
          <w:rFonts w:ascii="Segoe UI" w:hAnsi="Segoe UI" w:cs="Segoe UI"/>
          <w:color w:val="0D0D0D"/>
          <w:spacing w:val="-2"/>
          <w:sz w:val="22"/>
          <w:szCs w:val="22"/>
        </w:rPr>
        <w:t>Vaithilingam</w:t>
      </w:r>
      <w:proofErr w:type="spellEnd"/>
      <w:r>
        <w:rPr>
          <w:rFonts w:ascii="Segoe UI" w:hAnsi="Segoe UI" w:cs="Segoe UI"/>
          <w:color w:val="0D0D0D"/>
          <w:spacing w:val="-2"/>
          <w:sz w:val="22"/>
          <w:szCs w:val="22"/>
        </w:rPr>
        <w:t>; Barke; Perry). Repair is also patterned rather than random: </w:t>
      </w:r>
      <w:r>
        <w:rPr>
          <w:rStyle w:val="Strong"/>
          <w:rFonts w:ascii="Segoe UI" w:eastAsiaTheme="majorEastAsia" w:hAnsi="Segoe UI" w:cs="Segoe UI"/>
          <w:color w:val="0D0D0D"/>
          <w:spacing w:val="-2"/>
          <w:sz w:val="22"/>
          <w:szCs w:val="22"/>
          <w:bdr w:val="single" w:sz="2" w:space="0" w:color="auto" w:frame="1"/>
        </w:rPr>
        <w:t>clarification, task scaffolding, and adding context</w:t>
      </w:r>
      <w:r>
        <w:rPr>
          <w:rFonts w:ascii="Segoe UI" w:hAnsi="Segoe UI" w:cs="Segoe UI"/>
          <w:color w:val="0D0D0D"/>
          <w:spacing w:val="-2"/>
          <w:sz w:val="22"/>
          <w:szCs w:val="22"/>
        </w:rPr>
        <w:t> appear more effective than opaque manual debugging in the best-reported rates, and interfaces that make intent inspectable can improve both speed and success (Tie; Di &amp; Zhang). Trust and usability judgments diverge from objective outcomes: users often prefer or feel helped by the assistant even when time, success, or security do not improve, and overconfidence can reduce scrutiny (</w:t>
      </w:r>
      <w:proofErr w:type="spellStart"/>
      <w:r>
        <w:rPr>
          <w:rFonts w:ascii="Segoe UI" w:hAnsi="Segoe UI" w:cs="Segoe UI"/>
          <w:color w:val="0D0D0D"/>
          <w:spacing w:val="-2"/>
          <w:sz w:val="22"/>
          <w:szCs w:val="22"/>
        </w:rPr>
        <w:t>Vaithilingam</w:t>
      </w:r>
      <w:proofErr w:type="spellEnd"/>
      <w:r>
        <w:rPr>
          <w:rFonts w:ascii="Segoe UI" w:hAnsi="Segoe UI" w:cs="Segoe UI"/>
          <w:color w:val="0D0D0D"/>
          <w:spacing w:val="-2"/>
          <w:sz w:val="22"/>
          <w:szCs w:val="22"/>
        </w:rPr>
        <w:t xml:space="preserve">; Perry). Compounding dynamics appear at multiple scales: a small local misunderstanding can create a 20-minute debugging cul-de-sac in a lab session, while at repository scale it can expand into multi-file PR failure, CI breakage, duplicate work, or long-horizon regressions (Barke; </w:t>
      </w:r>
      <w:proofErr w:type="spellStart"/>
      <w:r>
        <w:rPr>
          <w:rFonts w:ascii="Segoe UI" w:hAnsi="Segoe UI" w:cs="Segoe UI"/>
          <w:color w:val="0D0D0D"/>
          <w:spacing w:val="-2"/>
          <w:sz w:val="22"/>
          <w:szCs w:val="22"/>
        </w:rPr>
        <w:t>Vaithilingam</w:t>
      </w:r>
      <w:proofErr w:type="spellEnd"/>
      <w:r>
        <w:rPr>
          <w:rFonts w:ascii="Segoe UI" w:hAnsi="Segoe UI" w:cs="Segoe UI"/>
          <w:color w:val="0D0D0D"/>
          <w:spacing w:val="-2"/>
          <w:sz w:val="22"/>
          <w:szCs w:val="22"/>
        </w:rPr>
        <w:t xml:space="preserve">; Ehsani; SWE-CI). The largest remaining empirical </w:t>
      </w:r>
      <w:r>
        <w:rPr>
          <w:rFonts w:ascii="Segoe UI" w:hAnsi="Segoe UI" w:cs="Segoe UI"/>
          <w:color w:val="0D0D0D"/>
          <w:spacing w:val="-2"/>
          <w:sz w:val="22"/>
          <w:szCs w:val="22"/>
        </w:rPr>
        <w:lastRenderedPageBreak/>
        <w:t>weakness is that very few studies measure </w:t>
      </w:r>
      <w:r>
        <w:rPr>
          <w:rStyle w:val="Strong"/>
          <w:rFonts w:ascii="Segoe UI" w:eastAsiaTheme="majorEastAsia" w:hAnsi="Segoe UI" w:cs="Segoe UI"/>
          <w:color w:val="0D0D0D"/>
          <w:spacing w:val="-2"/>
          <w:sz w:val="22"/>
          <w:szCs w:val="22"/>
          <w:bdr w:val="single" w:sz="2" w:space="0" w:color="auto" w:frame="1"/>
        </w:rPr>
        <w:t>time-to-suspicion, time-to-localization, and time-to-repair as separate events</w:t>
      </w:r>
      <w:r>
        <w:rPr>
          <w:rFonts w:ascii="Segoe UI" w:hAnsi="Segoe UI" w:cs="Segoe UI"/>
          <w:color w:val="0D0D0D"/>
          <w:spacing w:val="-2"/>
          <w:sz w:val="22"/>
          <w:szCs w:val="22"/>
        </w:rPr>
        <w:t>, even though the literature strongly suggests those intervals are where the real productivity and trust costs accumulate.</w:t>
      </w:r>
    </w:p>
    <w:p w14:paraId="206A1744" w14:textId="77777777" w:rsidR="00F603CB" w:rsidRDefault="00F603CB" w:rsidP="00F603CB">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Gap statement for a credible panel study</w:t>
      </w:r>
    </w:p>
    <w:p w14:paraId="210B531D"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A credible 6–</w:t>
      </w:r>
      <w:proofErr w:type="gramStart"/>
      <w:r>
        <w:rPr>
          <w:rFonts w:ascii="Segoe UI" w:hAnsi="Segoe UI" w:cs="Segoe UI"/>
          <w:color w:val="0D0D0D"/>
          <w:spacing w:val="-2"/>
          <w:sz w:val="22"/>
          <w:szCs w:val="22"/>
        </w:rPr>
        <w:t>24 month</w:t>
      </w:r>
      <w:proofErr w:type="gramEnd"/>
      <w:r>
        <w:rPr>
          <w:rFonts w:ascii="Segoe UI" w:hAnsi="Segoe UI" w:cs="Segoe UI"/>
          <w:color w:val="0D0D0D"/>
          <w:spacing w:val="-2"/>
          <w:sz w:val="22"/>
          <w:szCs w:val="22"/>
        </w:rPr>
        <w:t xml:space="preserve"> panel study should treat rupture-and-repair in coding as an </w:t>
      </w:r>
      <w:r>
        <w:rPr>
          <w:rStyle w:val="Strong"/>
          <w:rFonts w:ascii="Segoe UI" w:eastAsiaTheme="majorEastAsia" w:hAnsi="Segoe UI" w:cs="Segoe UI"/>
          <w:color w:val="0D0D0D"/>
          <w:spacing w:val="-2"/>
          <w:sz w:val="22"/>
          <w:szCs w:val="22"/>
          <w:bdr w:val="single" w:sz="2" w:space="0" w:color="auto" w:frame="1"/>
        </w:rPr>
        <w:t>event sequence</w:t>
      </w:r>
      <w:r>
        <w:rPr>
          <w:rFonts w:ascii="Segoe UI" w:hAnsi="Segoe UI" w:cs="Segoe UI"/>
          <w:color w:val="0D0D0D"/>
          <w:spacing w:val="-2"/>
          <w:sz w:val="22"/>
          <w:szCs w:val="22"/>
        </w:rPr>
        <w:t xml:space="preserve">, not a final-score problem. The experimental core should seed several rupture classes that the present literature already suggests are behaviorally distinct: silent semantic bugs, partial answers with missing preconditions, confidently wrong API use, context-loss after several turns, cognitive-overload outputs that are locally plausible but globally unhelpful, and repository-scale tool/agent misalignment that only surfaces in CI or review. Those seeds should be crossed with repair-affordance arms, at minimum: plain conversational use, structured prompt-scaffolding support, a grounding-aware editable-comment interface, validator-rich assistance with tests/CI/security feedback surfaced early, and escalation paths to external search or a human reviewer. This design follows the failure classes emphasized by Tie, the mode/validation dynamics in Barke, the debugging-cost findings in </w:t>
      </w:r>
      <w:proofErr w:type="spellStart"/>
      <w:r>
        <w:rPr>
          <w:rFonts w:ascii="Segoe UI" w:hAnsi="Segoe UI" w:cs="Segoe UI"/>
          <w:color w:val="0D0D0D"/>
          <w:spacing w:val="-2"/>
          <w:sz w:val="22"/>
          <w:szCs w:val="22"/>
        </w:rPr>
        <w:t>Vaithilingam</w:t>
      </w:r>
      <w:proofErr w:type="spellEnd"/>
      <w:r>
        <w:rPr>
          <w:rFonts w:ascii="Segoe UI" w:hAnsi="Segoe UI" w:cs="Segoe UI"/>
          <w:color w:val="0D0D0D"/>
          <w:spacing w:val="-2"/>
          <w:sz w:val="22"/>
          <w:szCs w:val="22"/>
        </w:rPr>
        <w:t>, the silent-security failures in Perry, the grounding intervention in Di &amp; Zhang, and the repository-scale compounding in Ehsani and SWE-CI.</w:t>
      </w:r>
    </w:p>
    <w:p w14:paraId="4A8036FB"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 xml:space="preserve">The logging layer </w:t>
      </w:r>
      <w:proofErr w:type="gramStart"/>
      <w:r>
        <w:rPr>
          <w:rFonts w:ascii="Segoe UI" w:hAnsi="Segoe UI" w:cs="Segoe UI"/>
          <w:color w:val="0D0D0D"/>
          <w:spacing w:val="-2"/>
          <w:sz w:val="22"/>
          <w:szCs w:val="22"/>
        </w:rPr>
        <w:t>has to</w:t>
      </w:r>
      <w:proofErr w:type="gramEnd"/>
      <w:r>
        <w:rPr>
          <w:rFonts w:ascii="Segoe UI" w:hAnsi="Segoe UI" w:cs="Segoe UI"/>
          <w:color w:val="0D0D0D"/>
          <w:spacing w:val="-2"/>
          <w:sz w:val="22"/>
          <w:szCs w:val="22"/>
        </w:rPr>
        <w:t xml:space="preserve"> be much richer than in most current studies. A serious design must capture </w:t>
      </w:r>
      <w:r>
        <w:rPr>
          <w:rStyle w:val="Strong"/>
          <w:rFonts w:ascii="Segoe UI" w:eastAsiaTheme="majorEastAsia" w:hAnsi="Segoe UI" w:cs="Segoe UI"/>
          <w:color w:val="0D0D0D"/>
          <w:spacing w:val="-2"/>
          <w:sz w:val="22"/>
          <w:szCs w:val="22"/>
          <w:bdr w:val="single" w:sz="2" w:space="0" w:color="auto" w:frame="1"/>
        </w:rPr>
        <w:t>time-to-suspicion</w:t>
      </w:r>
      <w:r>
        <w:rPr>
          <w:rFonts w:ascii="Segoe UI" w:hAnsi="Segoe UI" w:cs="Segoe UI"/>
          <w:color w:val="0D0D0D"/>
          <w:spacing w:val="-2"/>
          <w:sz w:val="22"/>
          <w:szCs w:val="22"/>
        </w:rPr>
        <w:t>, </w:t>
      </w:r>
      <w:r>
        <w:rPr>
          <w:rStyle w:val="Strong"/>
          <w:rFonts w:ascii="Segoe UI" w:eastAsiaTheme="majorEastAsia" w:hAnsi="Segoe UI" w:cs="Segoe UI"/>
          <w:color w:val="0D0D0D"/>
          <w:spacing w:val="-2"/>
          <w:sz w:val="22"/>
          <w:szCs w:val="22"/>
          <w:bdr w:val="single" w:sz="2" w:space="0" w:color="auto" w:frame="1"/>
        </w:rPr>
        <w:t>time-to-localization</w:t>
      </w:r>
      <w:r>
        <w:rPr>
          <w:rFonts w:ascii="Segoe UI" w:hAnsi="Segoe UI" w:cs="Segoe UI"/>
          <w:color w:val="0D0D0D"/>
          <w:spacing w:val="-2"/>
          <w:sz w:val="22"/>
          <w:szCs w:val="22"/>
        </w:rPr>
        <w:t>, and </w:t>
      </w:r>
      <w:r>
        <w:rPr>
          <w:rStyle w:val="Strong"/>
          <w:rFonts w:ascii="Segoe UI" w:eastAsiaTheme="majorEastAsia" w:hAnsi="Segoe UI" w:cs="Segoe UI"/>
          <w:color w:val="0D0D0D"/>
          <w:spacing w:val="-2"/>
          <w:sz w:val="22"/>
          <w:szCs w:val="22"/>
          <w:bdr w:val="single" w:sz="2" w:space="0" w:color="auto" w:frame="1"/>
        </w:rPr>
        <w:t>time-to-repair</w:t>
      </w:r>
      <w:r>
        <w:rPr>
          <w:rFonts w:ascii="Segoe UI" w:hAnsi="Segoe UI" w:cs="Segoe UI"/>
          <w:color w:val="0D0D0D"/>
          <w:spacing w:val="-2"/>
          <w:sz w:val="22"/>
          <w:szCs w:val="22"/>
        </w:rPr>
        <w:t> as distinct timestamps; full prompt history and context-state changes; model version and tool-selection events; code diffs, file-touch counts, branch transitions, and revert operations; validator outputs including tests, CI, lint, type checking, and security scans; and escalation events such as switching tools, opening docs, searching, asking a human, or abandoning the session. The right instrumentation is a combination of IDE plugin telemetry, git hooks, captured assistant interaction logs, server-side tool traces, and repository/CI harvesting. Without that joined trace, the field will continue to know that derailments happen without being able to say </w:t>
      </w:r>
      <w:r>
        <w:rPr>
          <w:rStyle w:val="Strong"/>
          <w:rFonts w:ascii="Segoe UI" w:eastAsiaTheme="majorEastAsia" w:hAnsi="Segoe UI" w:cs="Segoe UI"/>
          <w:color w:val="0D0D0D"/>
          <w:spacing w:val="-2"/>
          <w:sz w:val="22"/>
          <w:szCs w:val="22"/>
          <w:bdr w:val="single" w:sz="2" w:space="0" w:color="auto" w:frame="1"/>
        </w:rPr>
        <w:t>when</w:t>
      </w:r>
      <w:r>
        <w:rPr>
          <w:rFonts w:ascii="Segoe UI" w:hAnsi="Segoe UI" w:cs="Segoe UI"/>
          <w:color w:val="0D0D0D"/>
          <w:spacing w:val="-2"/>
          <w:sz w:val="22"/>
          <w:szCs w:val="22"/>
        </w:rPr>
        <w:t> they first become visible or </w:t>
      </w:r>
      <w:r>
        <w:rPr>
          <w:rStyle w:val="Strong"/>
          <w:rFonts w:ascii="Segoe UI" w:eastAsiaTheme="majorEastAsia" w:hAnsi="Segoe UI" w:cs="Segoe UI"/>
          <w:color w:val="0D0D0D"/>
          <w:spacing w:val="-2"/>
          <w:sz w:val="22"/>
          <w:szCs w:val="22"/>
          <w:bdr w:val="single" w:sz="2" w:space="0" w:color="auto" w:frame="1"/>
        </w:rPr>
        <w:t>why</w:t>
      </w:r>
      <w:r>
        <w:rPr>
          <w:rFonts w:ascii="Segoe UI" w:hAnsi="Segoe UI" w:cs="Segoe UI"/>
          <w:color w:val="0D0D0D"/>
          <w:spacing w:val="-2"/>
          <w:sz w:val="22"/>
          <w:szCs w:val="22"/>
        </w:rPr>
        <w:t> one repair path succeeds while another fails.</w:t>
      </w:r>
    </w:p>
    <w:p w14:paraId="33CA24E9"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The sample and task design need to correct the external-validity limits of current work. A credible main sample should be </w:t>
      </w:r>
      <w:r>
        <w:rPr>
          <w:rStyle w:val="Strong"/>
          <w:rFonts w:ascii="Segoe UI" w:eastAsiaTheme="majorEastAsia" w:hAnsi="Segoe UI" w:cs="Segoe UI"/>
          <w:color w:val="0D0D0D"/>
          <w:spacing w:val="-2"/>
          <w:sz w:val="22"/>
          <w:szCs w:val="22"/>
          <w:bdr w:val="single" w:sz="2" w:space="0" w:color="auto" w:frame="1"/>
        </w:rPr>
        <w:t>professional developers</w:t>
      </w:r>
      <w:r>
        <w:rPr>
          <w:rFonts w:ascii="Segoe UI" w:hAnsi="Segoe UI" w:cs="Segoe UI"/>
          <w:color w:val="0D0D0D"/>
          <w:spacing w:val="-2"/>
          <w:sz w:val="22"/>
          <w:szCs w:val="22"/>
        </w:rPr>
        <w:t>, with students used only as pilots or comparison strata rather than as the primary evidence for deployment claims. Tasks should come from real, testable repositories and span multiple difficulty and familiarity levels: bug fixing, refactoring, unfamiliar API integration, security hardening, multi-file feature work, and bounded pull-request tasks. The same repos should be exercised under multiple autonomy levels, such as autocomplete/chat assistance, bounded tool-using agents, and PR-submitting agents, because the literature shows that rupture mechanisms change when responsibility shifts from suggestion to execution. Repository selection should favor repos with strong tests, stable issue histories, and reproducible CI so that delayed regressions can be attributed cleanly.</w:t>
      </w:r>
    </w:p>
    <w:p w14:paraId="6CF6BD6F"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Outcome metrics must extend beyond immediate completion. The minimum set is productivity, correctness, repair burden, abandonment, trust calibration, and long-term regressions. Productivity should include not just task time but </w:t>
      </w:r>
      <w:r>
        <w:rPr>
          <w:rStyle w:val="Strong"/>
          <w:rFonts w:ascii="Segoe UI" w:eastAsiaTheme="majorEastAsia" w:hAnsi="Segoe UI" w:cs="Segoe UI"/>
          <w:color w:val="0D0D0D"/>
          <w:spacing w:val="-2"/>
          <w:sz w:val="22"/>
          <w:szCs w:val="22"/>
          <w:bdr w:val="single" w:sz="2" w:space="0" w:color="auto" w:frame="1"/>
        </w:rPr>
        <w:t>net time after repair</w:t>
      </w:r>
      <w:r>
        <w:rPr>
          <w:rFonts w:ascii="Segoe UI" w:hAnsi="Segoe UI" w:cs="Segoe UI"/>
          <w:color w:val="0D0D0D"/>
          <w:spacing w:val="-2"/>
          <w:sz w:val="22"/>
          <w:szCs w:val="22"/>
        </w:rPr>
        <w:t xml:space="preserve">, number of abandoned branches, and rework required later. Correctness should include functional tests, semantic evaluation where possible, and security or policy checks for relevant tasks. Trust should be </w:t>
      </w:r>
      <w:r>
        <w:rPr>
          <w:rFonts w:ascii="Segoe UI" w:hAnsi="Segoe UI" w:cs="Segoe UI"/>
          <w:color w:val="0D0D0D"/>
          <w:spacing w:val="-2"/>
          <w:sz w:val="22"/>
          <w:szCs w:val="22"/>
        </w:rPr>
        <w:lastRenderedPageBreak/>
        <w:t>measured repeatedly rather than once, with emphasis on </w:t>
      </w:r>
      <w:r>
        <w:rPr>
          <w:rStyle w:val="Strong"/>
          <w:rFonts w:ascii="Segoe UI" w:eastAsiaTheme="majorEastAsia" w:hAnsi="Segoe UI" w:cs="Segoe UI"/>
          <w:color w:val="0D0D0D"/>
          <w:spacing w:val="-2"/>
          <w:sz w:val="22"/>
          <w:szCs w:val="22"/>
          <w:bdr w:val="single" w:sz="2" w:space="0" w:color="auto" w:frame="1"/>
        </w:rPr>
        <w:t>task-goal alignment, perceived recoverability, and calibrated confidence</w:t>
      </w:r>
      <w:r>
        <w:rPr>
          <w:rFonts w:ascii="Segoe UI" w:hAnsi="Segoe UI" w:cs="Segoe UI"/>
          <w:color w:val="0D0D0D"/>
          <w:spacing w:val="-2"/>
          <w:sz w:val="22"/>
          <w:szCs w:val="22"/>
        </w:rPr>
        <w:t xml:space="preserve"> instead of a single generic satisfaction item. Long-term outcomes should include reopened issues, reverted commits, reviewer churn, regression introductions, and repository health checks after merge or handoff. These choices are motivated by the misalignment between subjective preference and objective outcomes in </w:t>
      </w:r>
      <w:proofErr w:type="spellStart"/>
      <w:r>
        <w:rPr>
          <w:rFonts w:ascii="Segoe UI" w:hAnsi="Segoe UI" w:cs="Segoe UI"/>
          <w:color w:val="0D0D0D"/>
          <w:spacing w:val="-2"/>
          <w:sz w:val="22"/>
          <w:szCs w:val="22"/>
        </w:rPr>
        <w:t>Vaithilingam</w:t>
      </w:r>
      <w:proofErr w:type="spellEnd"/>
      <w:r>
        <w:rPr>
          <w:rFonts w:ascii="Segoe UI" w:hAnsi="Segoe UI" w:cs="Segoe UI"/>
          <w:color w:val="0D0D0D"/>
          <w:spacing w:val="-2"/>
          <w:sz w:val="22"/>
          <w:szCs w:val="22"/>
        </w:rPr>
        <w:t xml:space="preserve"> and Perry, the abandonment dynamics in Tie, and the delayed derailments seen in Ehsani and SWE-CI.</w:t>
      </w:r>
    </w:p>
    <w:p w14:paraId="50CE2D68"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Power should be planned at the </w:t>
      </w:r>
      <w:r>
        <w:rPr>
          <w:rStyle w:val="Strong"/>
          <w:rFonts w:ascii="Segoe UI" w:eastAsiaTheme="majorEastAsia" w:hAnsi="Segoe UI" w:cs="Segoe UI"/>
          <w:color w:val="0D0D0D"/>
          <w:spacing w:val="-2"/>
          <w:sz w:val="22"/>
          <w:szCs w:val="22"/>
          <w:bdr w:val="single" w:sz="2" w:space="0" w:color="auto" w:frame="1"/>
        </w:rPr>
        <w:t>event level</w:t>
      </w:r>
      <w:r>
        <w:rPr>
          <w:rFonts w:ascii="Segoe UI" w:hAnsi="Segoe UI" w:cs="Segoe UI"/>
          <w:color w:val="0D0D0D"/>
          <w:spacing w:val="-2"/>
          <w:sz w:val="22"/>
          <w:szCs w:val="22"/>
        </w:rPr>
        <w:t>, not only at the participant level. The data structure will be nested—rupture events within sessions, sessions within developers, developers within repos—so mixed-effects models and survival/event-history models are the natural analysis framework. Because existing human studies are small and do not provide stable interaction-effect estimates, the safest approach is </w:t>
      </w:r>
      <w:r>
        <w:rPr>
          <w:rStyle w:val="Strong"/>
          <w:rFonts w:ascii="Segoe UI" w:eastAsiaTheme="majorEastAsia" w:hAnsi="Segoe UI" w:cs="Segoe UI"/>
          <w:color w:val="0D0D0D"/>
          <w:spacing w:val="-2"/>
          <w:sz w:val="22"/>
          <w:szCs w:val="22"/>
          <w:bdr w:val="single" w:sz="2" w:space="0" w:color="auto" w:frame="1"/>
        </w:rPr>
        <w:t>simulation-based power analysis</w:t>
      </w:r>
      <w:r>
        <w:rPr>
          <w:rFonts w:ascii="Segoe UI" w:hAnsi="Segoe UI" w:cs="Segoe UI"/>
          <w:color w:val="0D0D0D"/>
          <w:spacing w:val="-2"/>
          <w:sz w:val="22"/>
          <w:szCs w:val="22"/>
        </w:rPr>
        <w:t>, using plausible rupture and abandonment rates informed by Tie’s failure counts and by pilot data from the instrumentation phase. As a practical design target, a strong panel would aim for roughly </w:t>
      </w:r>
      <w:r>
        <w:rPr>
          <w:rStyle w:val="Strong"/>
          <w:rFonts w:ascii="Segoe UI" w:eastAsiaTheme="majorEastAsia" w:hAnsi="Segoe UI" w:cs="Segoe UI"/>
          <w:color w:val="0D0D0D"/>
          <w:spacing w:val="-2"/>
          <w:sz w:val="22"/>
          <w:szCs w:val="22"/>
          <w:bdr w:val="single" w:sz="2" w:space="0" w:color="auto" w:frame="1"/>
        </w:rPr>
        <w:t>150–300 professional developers</w:t>
      </w:r>
      <w:r>
        <w:rPr>
          <w:rFonts w:ascii="Segoe UI" w:hAnsi="Segoe UI" w:cs="Segoe UI"/>
          <w:color w:val="0D0D0D"/>
          <w:spacing w:val="-2"/>
          <w:sz w:val="22"/>
          <w:szCs w:val="22"/>
        </w:rPr>
        <w:t> with </w:t>
      </w:r>
      <w:r>
        <w:rPr>
          <w:rStyle w:val="Strong"/>
          <w:rFonts w:ascii="Segoe UI" w:eastAsiaTheme="majorEastAsia" w:hAnsi="Segoe UI" w:cs="Segoe UI"/>
          <w:color w:val="0D0D0D"/>
          <w:spacing w:val="-2"/>
          <w:sz w:val="22"/>
          <w:szCs w:val="22"/>
          <w:bdr w:val="single" w:sz="2" w:space="0" w:color="auto" w:frame="1"/>
        </w:rPr>
        <w:t>8–12 instrumented sessions each</w:t>
      </w:r>
      <w:r>
        <w:rPr>
          <w:rFonts w:ascii="Segoe UI" w:hAnsi="Segoe UI" w:cs="Segoe UI"/>
          <w:color w:val="0D0D0D"/>
          <w:spacing w:val="-2"/>
          <w:sz w:val="22"/>
          <w:szCs w:val="22"/>
        </w:rPr>
        <w:t>, or an equivalent number of repeated observations that yields hundreds of common rupture events per repair arm; rarer outcomes such as abandonment, security regressions, or PR rejection will require either larger samples, longer follow-up, or deliberate oversampling of high-risk tasks. A smaller student-heavy study can be valuable as a pilot, but it should not be treated as definitive evidence about production use.</w:t>
      </w:r>
    </w:p>
    <w:p w14:paraId="10B0BFC8"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120" w:afterAutospacing="0"/>
        <w:rPr>
          <w:rFonts w:ascii="Segoe UI" w:hAnsi="Segoe UI" w:cs="Segoe UI"/>
          <w:color w:val="0D0D0D"/>
          <w:spacing w:val="-2"/>
          <w:sz w:val="22"/>
          <w:szCs w:val="22"/>
        </w:rPr>
      </w:pPr>
      <w:r>
        <w:rPr>
          <w:rFonts w:ascii="Segoe UI" w:hAnsi="Segoe UI" w:cs="Segoe UI"/>
          <w:color w:val="0D0D0D"/>
          <w:spacing w:val="-2"/>
          <w:sz w:val="22"/>
          <w:szCs w:val="22"/>
        </w:rPr>
        <w:t>Operationally, the study must be built as if it were handling sensitive production telemetry, because it probably will. Ethical review should require explicit consent, separation of research data from employee performance evaluation, and clear redaction/secrets policies. Raw prompts, diffs, and repository traces should be stored only as long as necessary, with de-identification, secret scanning, and access controls built into the pipeline. Model versions, dependency snapshots, seeded rupture scripts, and validators should be containerized and version-locked so that every failure and repair episode is reproducible. The most credible seeding/validation setup would combine deterministic task seeds, frozen repository snapshots, mirrored CI, and pre-registered evaluation criteria. Otherwise, the study risks confounding model drift, repository drift, and human adaptation.</w:t>
      </w:r>
    </w:p>
    <w:p w14:paraId="67BA1CB1" w14:textId="77777777" w:rsidR="00F603CB" w:rsidRDefault="00F603CB" w:rsidP="00F603CB">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Measure-to-instrument map</w:t>
      </w:r>
    </w:p>
    <w:tbl>
      <w:tblPr>
        <w:tblW w:w="936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18"/>
        <w:gridCol w:w="3347"/>
        <w:gridCol w:w="4295"/>
      </w:tblGrid>
      <w:tr w:rsidR="00F603CB" w14:paraId="00499D40" w14:textId="77777777">
        <w:trPr>
          <w:tblHeader/>
        </w:trPr>
        <w:tc>
          <w:tcPr>
            <w:tcW w:w="0" w:type="auto"/>
            <w:tcBorders>
              <w:top w:val="single" w:sz="2" w:space="0" w:color="111111"/>
              <w:left w:val="single" w:sz="2" w:space="0" w:color="111111"/>
              <w:bottom w:val="single" w:sz="6" w:space="0" w:color="111111"/>
              <w:right w:val="single" w:sz="2" w:space="0" w:color="111111"/>
            </w:tcBorders>
            <w:vAlign w:val="center"/>
            <w:hideMark/>
          </w:tcPr>
          <w:p w14:paraId="69EBA59D" w14:textId="77777777" w:rsidR="00F603CB" w:rsidRDefault="00F603CB">
            <w:pPr>
              <w:rPr>
                <w:rFonts w:ascii="Times New Roman" w:hAnsi="Times New Roman" w:cs="Times New Roman"/>
                <w:b/>
                <w:bCs/>
                <w:color w:val="0D0D0D"/>
                <w:sz w:val="20"/>
                <w:szCs w:val="20"/>
              </w:rPr>
            </w:pPr>
            <w:r>
              <w:rPr>
                <w:b/>
                <w:bCs/>
                <w:color w:val="0D0D0D"/>
                <w:sz w:val="20"/>
                <w:szCs w:val="20"/>
              </w:rPr>
              <w:t>Proposed measure</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03D66C8" w14:textId="77777777" w:rsidR="00F603CB" w:rsidRDefault="00F603CB">
            <w:pPr>
              <w:rPr>
                <w:b/>
                <w:bCs/>
                <w:color w:val="0D0D0D"/>
                <w:sz w:val="20"/>
                <w:szCs w:val="20"/>
              </w:rPr>
            </w:pPr>
            <w:r>
              <w:rPr>
                <w:b/>
                <w:bCs/>
                <w:color w:val="0D0D0D"/>
                <w:sz w:val="20"/>
                <w:szCs w:val="20"/>
              </w:rPr>
              <w:t>Why it matters</w:t>
            </w:r>
          </w:p>
        </w:tc>
        <w:tc>
          <w:tcPr>
            <w:tcW w:w="0" w:type="auto"/>
            <w:tcBorders>
              <w:top w:val="single" w:sz="2" w:space="0" w:color="111111"/>
              <w:left w:val="single" w:sz="2" w:space="0" w:color="111111"/>
              <w:bottom w:val="single" w:sz="6" w:space="0" w:color="111111"/>
              <w:right w:val="single" w:sz="2" w:space="0" w:color="111111"/>
            </w:tcBorders>
            <w:vAlign w:val="center"/>
            <w:hideMark/>
          </w:tcPr>
          <w:p w14:paraId="1E9CCBF8" w14:textId="77777777" w:rsidR="00F603CB" w:rsidRDefault="00F603CB">
            <w:pPr>
              <w:rPr>
                <w:b/>
                <w:bCs/>
                <w:color w:val="0D0D0D"/>
                <w:sz w:val="20"/>
                <w:szCs w:val="20"/>
              </w:rPr>
            </w:pPr>
            <w:r>
              <w:rPr>
                <w:b/>
                <w:bCs/>
                <w:color w:val="0D0D0D"/>
                <w:sz w:val="20"/>
                <w:szCs w:val="20"/>
              </w:rPr>
              <w:t>How to instrument it</w:t>
            </w:r>
          </w:p>
        </w:tc>
      </w:tr>
      <w:tr w:rsidR="00F603CB" w14:paraId="437B5975" w14:textId="77777777">
        <w:tc>
          <w:tcPr>
            <w:tcW w:w="0" w:type="auto"/>
            <w:tcBorders>
              <w:top w:val="single" w:sz="2" w:space="0" w:color="auto"/>
              <w:left w:val="single" w:sz="2" w:space="0" w:color="auto"/>
              <w:bottom w:val="single" w:sz="2" w:space="0" w:color="auto"/>
              <w:right w:val="single" w:sz="2" w:space="0" w:color="auto"/>
            </w:tcBorders>
            <w:hideMark/>
          </w:tcPr>
          <w:p w14:paraId="23223D8D" w14:textId="77777777" w:rsidR="00F603CB" w:rsidRDefault="00F603CB">
            <w:pPr>
              <w:rPr>
                <w:color w:val="0D0D0D"/>
                <w:sz w:val="20"/>
                <w:szCs w:val="20"/>
              </w:rPr>
            </w:pPr>
            <w:r>
              <w:rPr>
                <w:color w:val="0D0D0D"/>
                <w:sz w:val="20"/>
                <w:szCs w:val="20"/>
              </w:rPr>
              <w:t>Time-to-suspicion</w:t>
            </w:r>
          </w:p>
        </w:tc>
        <w:tc>
          <w:tcPr>
            <w:tcW w:w="0" w:type="auto"/>
            <w:tcBorders>
              <w:top w:val="single" w:sz="2" w:space="0" w:color="auto"/>
              <w:left w:val="single" w:sz="2" w:space="0" w:color="auto"/>
              <w:bottom w:val="single" w:sz="2" w:space="0" w:color="auto"/>
              <w:right w:val="single" w:sz="2" w:space="0" w:color="auto"/>
            </w:tcBorders>
            <w:hideMark/>
          </w:tcPr>
          <w:p w14:paraId="739FFE85" w14:textId="77777777" w:rsidR="00F603CB" w:rsidRDefault="00F603CB">
            <w:pPr>
              <w:rPr>
                <w:color w:val="0D0D0D"/>
                <w:sz w:val="20"/>
                <w:szCs w:val="20"/>
              </w:rPr>
            </w:pPr>
            <w:r>
              <w:rPr>
                <w:color w:val="0D0D0D"/>
                <w:sz w:val="20"/>
                <w:szCs w:val="20"/>
              </w:rPr>
              <w:t>Separates “the model was wrong” from “the developer noticed it was wrong.” This is the first missing latency variable in current work.</w:t>
            </w:r>
          </w:p>
        </w:tc>
        <w:tc>
          <w:tcPr>
            <w:tcW w:w="0" w:type="auto"/>
            <w:tcBorders>
              <w:top w:val="single" w:sz="2" w:space="0" w:color="auto"/>
              <w:left w:val="single" w:sz="2" w:space="0" w:color="auto"/>
              <w:bottom w:val="single" w:sz="2" w:space="0" w:color="auto"/>
              <w:right w:val="single" w:sz="2" w:space="0" w:color="auto"/>
            </w:tcBorders>
            <w:hideMark/>
          </w:tcPr>
          <w:p w14:paraId="5BF43AA9" w14:textId="77777777" w:rsidR="00F603CB" w:rsidRDefault="00F603CB">
            <w:pPr>
              <w:rPr>
                <w:color w:val="0D0D0D"/>
                <w:sz w:val="20"/>
                <w:szCs w:val="20"/>
              </w:rPr>
            </w:pPr>
            <w:r>
              <w:rPr>
                <w:color w:val="0D0D0D"/>
                <w:sz w:val="20"/>
                <w:szCs w:val="20"/>
              </w:rPr>
              <w:t>Timestamp first explicit doubt marker, branch pause, validation action, or negative verbal/self-report signal via IDE telemetry plus brief post-step probes.</w:t>
            </w:r>
          </w:p>
        </w:tc>
      </w:tr>
      <w:tr w:rsidR="00F603CB" w14:paraId="03CD65C8" w14:textId="77777777">
        <w:tc>
          <w:tcPr>
            <w:tcW w:w="0" w:type="auto"/>
            <w:tcBorders>
              <w:top w:val="single" w:sz="2" w:space="0" w:color="auto"/>
              <w:left w:val="single" w:sz="2" w:space="0" w:color="auto"/>
              <w:bottom w:val="single" w:sz="2" w:space="0" w:color="auto"/>
              <w:right w:val="single" w:sz="2" w:space="0" w:color="auto"/>
            </w:tcBorders>
            <w:hideMark/>
          </w:tcPr>
          <w:p w14:paraId="6E23C534" w14:textId="77777777" w:rsidR="00F603CB" w:rsidRDefault="00F603CB">
            <w:pPr>
              <w:rPr>
                <w:color w:val="0D0D0D"/>
                <w:sz w:val="20"/>
                <w:szCs w:val="20"/>
              </w:rPr>
            </w:pPr>
            <w:r>
              <w:rPr>
                <w:color w:val="0D0D0D"/>
                <w:sz w:val="20"/>
                <w:szCs w:val="20"/>
              </w:rPr>
              <w:t>Time-to-localization</w:t>
            </w:r>
          </w:p>
        </w:tc>
        <w:tc>
          <w:tcPr>
            <w:tcW w:w="0" w:type="auto"/>
            <w:tcBorders>
              <w:top w:val="single" w:sz="2" w:space="0" w:color="auto"/>
              <w:left w:val="single" w:sz="2" w:space="0" w:color="auto"/>
              <w:bottom w:val="single" w:sz="2" w:space="0" w:color="auto"/>
              <w:right w:val="single" w:sz="2" w:space="0" w:color="auto"/>
            </w:tcBorders>
            <w:hideMark/>
          </w:tcPr>
          <w:p w14:paraId="6D5144B6" w14:textId="77777777" w:rsidR="00F603CB" w:rsidRDefault="00F603CB">
            <w:pPr>
              <w:rPr>
                <w:color w:val="0D0D0D"/>
                <w:sz w:val="20"/>
                <w:szCs w:val="20"/>
              </w:rPr>
            </w:pPr>
            <w:r>
              <w:rPr>
                <w:color w:val="0D0D0D"/>
                <w:sz w:val="20"/>
                <w:szCs w:val="20"/>
              </w:rPr>
              <w:t>Knowing something is wrong is different from knowing </w:t>
            </w:r>
            <w:r>
              <w:rPr>
                <w:rStyle w:val="Strong"/>
                <w:color w:val="0D0D0D"/>
                <w:sz w:val="20"/>
                <w:szCs w:val="20"/>
                <w:bdr w:val="single" w:sz="2" w:space="0" w:color="auto" w:frame="1"/>
              </w:rPr>
              <w:t>where</w:t>
            </w:r>
            <w:r>
              <w:rPr>
                <w:color w:val="0D0D0D"/>
                <w:sz w:val="20"/>
                <w:szCs w:val="20"/>
              </w:rPr>
              <w:t> it is wrong. Localization is often the hardest part of repair.</w:t>
            </w:r>
          </w:p>
        </w:tc>
        <w:tc>
          <w:tcPr>
            <w:tcW w:w="0" w:type="auto"/>
            <w:tcBorders>
              <w:top w:val="single" w:sz="2" w:space="0" w:color="auto"/>
              <w:left w:val="single" w:sz="2" w:space="0" w:color="auto"/>
              <w:bottom w:val="single" w:sz="2" w:space="0" w:color="auto"/>
              <w:right w:val="single" w:sz="2" w:space="0" w:color="auto"/>
            </w:tcBorders>
            <w:hideMark/>
          </w:tcPr>
          <w:p w14:paraId="61C5FED0" w14:textId="77777777" w:rsidR="00F603CB" w:rsidRDefault="00F603CB">
            <w:pPr>
              <w:rPr>
                <w:color w:val="0D0D0D"/>
                <w:sz w:val="20"/>
                <w:szCs w:val="20"/>
              </w:rPr>
            </w:pPr>
            <w:r>
              <w:rPr>
                <w:color w:val="0D0D0D"/>
                <w:sz w:val="20"/>
                <w:szCs w:val="20"/>
              </w:rPr>
              <w:t>Mark first file/line/constraint correctly identified as the source of trouble; infer from edits, comments, navigation logs, and think-aloud or micro-survey confirmation.</w:t>
            </w:r>
          </w:p>
        </w:tc>
      </w:tr>
      <w:tr w:rsidR="00F603CB" w14:paraId="39D0508C" w14:textId="77777777">
        <w:tc>
          <w:tcPr>
            <w:tcW w:w="0" w:type="auto"/>
            <w:tcBorders>
              <w:top w:val="single" w:sz="2" w:space="0" w:color="auto"/>
              <w:left w:val="single" w:sz="2" w:space="0" w:color="auto"/>
              <w:bottom w:val="single" w:sz="2" w:space="0" w:color="auto"/>
              <w:right w:val="single" w:sz="2" w:space="0" w:color="auto"/>
            </w:tcBorders>
            <w:hideMark/>
          </w:tcPr>
          <w:p w14:paraId="79C65290" w14:textId="77777777" w:rsidR="00F603CB" w:rsidRDefault="00F603CB">
            <w:pPr>
              <w:rPr>
                <w:color w:val="0D0D0D"/>
                <w:sz w:val="20"/>
                <w:szCs w:val="20"/>
              </w:rPr>
            </w:pPr>
            <w:r>
              <w:rPr>
                <w:color w:val="0D0D0D"/>
                <w:sz w:val="20"/>
                <w:szCs w:val="20"/>
              </w:rPr>
              <w:t>Time-to-repair</w:t>
            </w:r>
          </w:p>
        </w:tc>
        <w:tc>
          <w:tcPr>
            <w:tcW w:w="0" w:type="auto"/>
            <w:tcBorders>
              <w:top w:val="single" w:sz="2" w:space="0" w:color="auto"/>
              <w:left w:val="single" w:sz="2" w:space="0" w:color="auto"/>
              <w:bottom w:val="single" w:sz="2" w:space="0" w:color="auto"/>
              <w:right w:val="single" w:sz="2" w:space="0" w:color="auto"/>
            </w:tcBorders>
            <w:hideMark/>
          </w:tcPr>
          <w:p w14:paraId="485A6542" w14:textId="77777777" w:rsidR="00F603CB" w:rsidRDefault="00F603CB">
            <w:pPr>
              <w:rPr>
                <w:color w:val="0D0D0D"/>
                <w:sz w:val="20"/>
                <w:szCs w:val="20"/>
              </w:rPr>
            </w:pPr>
            <w:r>
              <w:rPr>
                <w:color w:val="0D0D0D"/>
                <w:sz w:val="20"/>
                <w:szCs w:val="20"/>
              </w:rPr>
              <w:t xml:space="preserve">Captures whether the session </w:t>
            </w:r>
            <w:proofErr w:type="gramStart"/>
            <w:r>
              <w:rPr>
                <w:color w:val="0D0D0D"/>
                <w:sz w:val="20"/>
                <w:szCs w:val="20"/>
              </w:rPr>
              <w:t>actually recovers</w:t>
            </w:r>
            <w:proofErr w:type="gramEnd"/>
            <w:r>
              <w:rPr>
                <w:color w:val="0D0D0D"/>
                <w:sz w:val="20"/>
                <w:szCs w:val="20"/>
              </w:rPr>
              <w:t xml:space="preserve"> rather than merely </w:t>
            </w:r>
            <w:r>
              <w:rPr>
                <w:color w:val="0D0D0D"/>
                <w:sz w:val="20"/>
                <w:szCs w:val="20"/>
              </w:rPr>
              <w:lastRenderedPageBreak/>
              <w:t>continuing.</w:t>
            </w:r>
          </w:p>
        </w:tc>
        <w:tc>
          <w:tcPr>
            <w:tcW w:w="0" w:type="auto"/>
            <w:tcBorders>
              <w:top w:val="single" w:sz="2" w:space="0" w:color="auto"/>
              <w:left w:val="single" w:sz="2" w:space="0" w:color="auto"/>
              <w:bottom w:val="single" w:sz="2" w:space="0" w:color="auto"/>
              <w:right w:val="single" w:sz="2" w:space="0" w:color="auto"/>
            </w:tcBorders>
            <w:hideMark/>
          </w:tcPr>
          <w:p w14:paraId="4EEB740F" w14:textId="77777777" w:rsidR="00F603CB" w:rsidRDefault="00F603CB">
            <w:pPr>
              <w:rPr>
                <w:color w:val="0D0D0D"/>
                <w:sz w:val="20"/>
                <w:szCs w:val="20"/>
              </w:rPr>
            </w:pPr>
            <w:r>
              <w:rPr>
                <w:color w:val="0D0D0D"/>
                <w:sz w:val="20"/>
                <w:szCs w:val="20"/>
              </w:rPr>
              <w:lastRenderedPageBreak/>
              <w:t xml:space="preserve">Timestamp first validator-confirmed fix after a rupture; compute elapsed time from suspicion </w:t>
            </w:r>
            <w:r>
              <w:rPr>
                <w:color w:val="0D0D0D"/>
                <w:sz w:val="20"/>
                <w:szCs w:val="20"/>
              </w:rPr>
              <w:lastRenderedPageBreak/>
              <w:t>and from localization.</w:t>
            </w:r>
          </w:p>
        </w:tc>
      </w:tr>
      <w:tr w:rsidR="00F603CB" w14:paraId="01B753F3" w14:textId="77777777">
        <w:tc>
          <w:tcPr>
            <w:tcW w:w="0" w:type="auto"/>
            <w:tcBorders>
              <w:top w:val="single" w:sz="2" w:space="0" w:color="auto"/>
              <w:left w:val="single" w:sz="2" w:space="0" w:color="auto"/>
              <w:bottom w:val="single" w:sz="2" w:space="0" w:color="auto"/>
              <w:right w:val="single" w:sz="2" w:space="0" w:color="auto"/>
            </w:tcBorders>
            <w:hideMark/>
          </w:tcPr>
          <w:p w14:paraId="07AED052" w14:textId="77777777" w:rsidR="00F603CB" w:rsidRDefault="00F603CB">
            <w:pPr>
              <w:rPr>
                <w:color w:val="0D0D0D"/>
                <w:sz w:val="20"/>
                <w:szCs w:val="20"/>
              </w:rPr>
            </w:pPr>
            <w:r>
              <w:rPr>
                <w:color w:val="0D0D0D"/>
                <w:sz w:val="20"/>
                <w:szCs w:val="20"/>
              </w:rPr>
              <w:lastRenderedPageBreak/>
              <w:t>Rupture type</w:t>
            </w:r>
          </w:p>
        </w:tc>
        <w:tc>
          <w:tcPr>
            <w:tcW w:w="0" w:type="auto"/>
            <w:tcBorders>
              <w:top w:val="single" w:sz="2" w:space="0" w:color="auto"/>
              <w:left w:val="single" w:sz="2" w:space="0" w:color="auto"/>
              <w:bottom w:val="single" w:sz="2" w:space="0" w:color="auto"/>
              <w:right w:val="single" w:sz="2" w:space="0" w:color="auto"/>
            </w:tcBorders>
            <w:hideMark/>
          </w:tcPr>
          <w:p w14:paraId="587A9BE0" w14:textId="77777777" w:rsidR="00F603CB" w:rsidRDefault="00F603CB">
            <w:pPr>
              <w:rPr>
                <w:color w:val="0D0D0D"/>
                <w:sz w:val="20"/>
                <w:szCs w:val="20"/>
              </w:rPr>
            </w:pPr>
            <w:r>
              <w:rPr>
                <w:color w:val="0D0D0D"/>
                <w:sz w:val="20"/>
                <w:szCs w:val="20"/>
              </w:rPr>
              <w:t>Different failures likely have different detection channels and repair probabilities.</w:t>
            </w:r>
          </w:p>
        </w:tc>
        <w:tc>
          <w:tcPr>
            <w:tcW w:w="0" w:type="auto"/>
            <w:tcBorders>
              <w:top w:val="single" w:sz="2" w:space="0" w:color="auto"/>
              <w:left w:val="single" w:sz="2" w:space="0" w:color="auto"/>
              <w:bottom w:val="single" w:sz="2" w:space="0" w:color="auto"/>
              <w:right w:val="single" w:sz="2" w:space="0" w:color="auto"/>
            </w:tcBorders>
            <w:hideMark/>
          </w:tcPr>
          <w:p w14:paraId="72BAC227" w14:textId="77777777" w:rsidR="00F603CB" w:rsidRDefault="00F603CB">
            <w:pPr>
              <w:rPr>
                <w:color w:val="0D0D0D"/>
                <w:sz w:val="20"/>
                <w:szCs w:val="20"/>
              </w:rPr>
            </w:pPr>
            <w:r>
              <w:rPr>
                <w:color w:val="0D0D0D"/>
                <w:sz w:val="20"/>
                <w:szCs w:val="20"/>
              </w:rPr>
              <w:t>Seed or code events into categories such as silent semantic, partial/missing preconditions, context loss, cognitive overload, tool-use failure, security failure, and repository misalignment.</w:t>
            </w:r>
          </w:p>
        </w:tc>
      </w:tr>
      <w:tr w:rsidR="00F603CB" w14:paraId="3B240A6F" w14:textId="77777777">
        <w:tc>
          <w:tcPr>
            <w:tcW w:w="0" w:type="auto"/>
            <w:tcBorders>
              <w:top w:val="single" w:sz="2" w:space="0" w:color="auto"/>
              <w:left w:val="single" w:sz="2" w:space="0" w:color="auto"/>
              <w:bottom w:val="single" w:sz="2" w:space="0" w:color="auto"/>
              <w:right w:val="single" w:sz="2" w:space="0" w:color="auto"/>
            </w:tcBorders>
            <w:hideMark/>
          </w:tcPr>
          <w:p w14:paraId="711C3577" w14:textId="77777777" w:rsidR="00F603CB" w:rsidRDefault="00F603CB">
            <w:pPr>
              <w:rPr>
                <w:color w:val="0D0D0D"/>
                <w:sz w:val="20"/>
                <w:szCs w:val="20"/>
              </w:rPr>
            </w:pPr>
            <w:r>
              <w:rPr>
                <w:color w:val="0D0D0D"/>
                <w:sz w:val="20"/>
                <w:szCs w:val="20"/>
              </w:rPr>
              <w:t>Prompt history and context-state changes</w:t>
            </w:r>
          </w:p>
        </w:tc>
        <w:tc>
          <w:tcPr>
            <w:tcW w:w="0" w:type="auto"/>
            <w:tcBorders>
              <w:top w:val="single" w:sz="2" w:space="0" w:color="auto"/>
              <w:left w:val="single" w:sz="2" w:space="0" w:color="auto"/>
              <w:bottom w:val="single" w:sz="2" w:space="0" w:color="auto"/>
              <w:right w:val="single" w:sz="2" w:space="0" w:color="auto"/>
            </w:tcBorders>
            <w:hideMark/>
          </w:tcPr>
          <w:p w14:paraId="623C0C2B" w14:textId="77777777" w:rsidR="00F603CB" w:rsidRDefault="00F603CB">
            <w:pPr>
              <w:rPr>
                <w:color w:val="0D0D0D"/>
                <w:sz w:val="20"/>
                <w:szCs w:val="20"/>
              </w:rPr>
            </w:pPr>
            <w:r>
              <w:rPr>
                <w:color w:val="0D0D0D"/>
                <w:sz w:val="20"/>
                <w:szCs w:val="20"/>
              </w:rPr>
              <w:t>Repair often happens through prompting, but current studies rarely model prompt sequence structure directly.</w:t>
            </w:r>
          </w:p>
        </w:tc>
        <w:tc>
          <w:tcPr>
            <w:tcW w:w="0" w:type="auto"/>
            <w:tcBorders>
              <w:top w:val="single" w:sz="2" w:space="0" w:color="auto"/>
              <w:left w:val="single" w:sz="2" w:space="0" w:color="auto"/>
              <w:bottom w:val="single" w:sz="2" w:space="0" w:color="auto"/>
              <w:right w:val="single" w:sz="2" w:space="0" w:color="auto"/>
            </w:tcBorders>
            <w:hideMark/>
          </w:tcPr>
          <w:p w14:paraId="34ABBAA5" w14:textId="77777777" w:rsidR="00F603CB" w:rsidRDefault="00F603CB">
            <w:pPr>
              <w:rPr>
                <w:color w:val="0D0D0D"/>
                <w:sz w:val="20"/>
                <w:szCs w:val="20"/>
              </w:rPr>
            </w:pPr>
            <w:r>
              <w:rPr>
                <w:color w:val="0D0D0D"/>
                <w:sz w:val="20"/>
                <w:szCs w:val="20"/>
              </w:rPr>
              <w:t>Store full prompt/response history, retrieved context, tool calls, model version, and context-window truncation or memory updates.</w:t>
            </w:r>
          </w:p>
        </w:tc>
      </w:tr>
      <w:tr w:rsidR="00F603CB" w14:paraId="5DB78D4B" w14:textId="77777777">
        <w:tc>
          <w:tcPr>
            <w:tcW w:w="0" w:type="auto"/>
            <w:tcBorders>
              <w:top w:val="single" w:sz="2" w:space="0" w:color="auto"/>
              <w:left w:val="single" w:sz="2" w:space="0" w:color="auto"/>
              <w:bottom w:val="single" w:sz="2" w:space="0" w:color="auto"/>
              <w:right w:val="single" w:sz="2" w:space="0" w:color="auto"/>
            </w:tcBorders>
            <w:hideMark/>
          </w:tcPr>
          <w:p w14:paraId="70B10A88" w14:textId="77777777" w:rsidR="00F603CB" w:rsidRDefault="00F603CB">
            <w:pPr>
              <w:rPr>
                <w:color w:val="0D0D0D"/>
                <w:sz w:val="20"/>
                <w:szCs w:val="20"/>
              </w:rPr>
            </w:pPr>
            <w:r>
              <w:rPr>
                <w:color w:val="0D0D0D"/>
                <w:sz w:val="20"/>
                <w:szCs w:val="20"/>
              </w:rPr>
              <w:t>Code diffs and file-touch scope</w:t>
            </w:r>
          </w:p>
        </w:tc>
        <w:tc>
          <w:tcPr>
            <w:tcW w:w="0" w:type="auto"/>
            <w:tcBorders>
              <w:top w:val="single" w:sz="2" w:space="0" w:color="auto"/>
              <w:left w:val="single" w:sz="2" w:space="0" w:color="auto"/>
              <w:bottom w:val="single" w:sz="2" w:space="0" w:color="auto"/>
              <w:right w:val="single" w:sz="2" w:space="0" w:color="auto"/>
            </w:tcBorders>
            <w:hideMark/>
          </w:tcPr>
          <w:p w14:paraId="52EDE4D0" w14:textId="77777777" w:rsidR="00F603CB" w:rsidRDefault="00F603CB">
            <w:pPr>
              <w:rPr>
                <w:color w:val="0D0D0D"/>
                <w:sz w:val="20"/>
                <w:szCs w:val="20"/>
              </w:rPr>
            </w:pPr>
            <w:r>
              <w:rPr>
                <w:color w:val="0D0D0D"/>
                <w:sz w:val="20"/>
                <w:szCs w:val="20"/>
              </w:rPr>
              <w:t>Compounding failures often expand the size and spread of change before they are caught.</w:t>
            </w:r>
          </w:p>
        </w:tc>
        <w:tc>
          <w:tcPr>
            <w:tcW w:w="0" w:type="auto"/>
            <w:tcBorders>
              <w:top w:val="single" w:sz="2" w:space="0" w:color="auto"/>
              <w:left w:val="single" w:sz="2" w:space="0" w:color="auto"/>
              <w:bottom w:val="single" w:sz="2" w:space="0" w:color="auto"/>
              <w:right w:val="single" w:sz="2" w:space="0" w:color="auto"/>
            </w:tcBorders>
            <w:hideMark/>
          </w:tcPr>
          <w:p w14:paraId="0B6FDE80" w14:textId="77777777" w:rsidR="00F603CB" w:rsidRDefault="00F603CB">
            <w:pPr>
              <w:rPr>
                <w:color w:val="0D0D0D"/>
                <w:sz w:val="20"/>
                <w:szCs w:val="20"/>
              </w:rPr>
            </w:pPr>
            <w:r>
              <w:rPr>
                <w:color w:val="0D0D0D"/>
                <w:sz w:val="20"/>
                <w:szCs w:val="20"/>
              </w:rPr>
              <w:t>Collect git diffs, touched files, diff size, revert events, and branch divergence metrics automatically.</w:t>
            </w:r>
          </w:p>
        </w:tc>
      </w:tr>
      <w:tr w:rsidR="00F603CB" w14:paraId="3DBBA300" w14:textId="77777777">
        <w:tc>
          <w:tcPr>
            <w:tcW w:w="0" w:type="auto"/>
            <w:tcBorders>
              <w:top w:val="single" w:sz="2" w:space="0" w:color="auto"/>
              <w:left w:val="single" w:sz="2" w:space="0" w:color="auto"/>
              <w:bottom w:val="single" w:sz="2" w:space="0" w:color="auto"/>
              <w:right w:val="single" w:sz="2" w:space="0" w:color="auto"/>
            </w:tcBorders>
            <w:hideMark/>
          </w:tcPr>
          <w:p w14:paraId="65B46A4F" w14:textId="77777777" w:rsidR="00F603CB" w:rsidRDefault="00F603CB">
            <w:pPr>
              <w:rPr>
                <w:color w:val="0D0D0D"/>
                <w:sz w:val="20"/>
                <w:szCs w:val="20"/>
              </w:rPr>
            </w:pPr>
            <w:r>
              <w:rPr>
                <w:color w:val="0D0D0D"/>
                <w:sz w:val="20"/>
                <w:szCs w:val="20"/>
              </w:rPr>
              <w:t>Validator outcomes</w:t>
            </w:r>
          </w:p>
        </w:tc>
        <w:tc>
          <w:tcPr>
            <w:tcW w:w="0" w:type="auto"/>
            <w:tcBorders>
              <w:top w:val="single" w:sz="2" w:space="0" w:color="auto"/>
              <w:left w:val="single" w:sz="2" w:space="0" w:color="auto"/>
              <w:bottom w:val="single" w:sz="2" w:space="0" w:color="auto"/>
              <w:right w:val="single" w:sz="2" w:space="0" w:color="auto"/>
            </w:tcBorders>
            <w:hideMark/>
          </w:tcPr>
          <w:p w14:paraId="555F4066" w14:textId="77777777" w:rsidR="00F603CB" w:rsidRDefault="00F603CB">
            <w:pPr>
              <w:rPr>
                <w:color w:val="0D0D0D"/>
                <w:sz w:val="20"/>
                <w:szCs w:val="20"/>
              </w:rPr>
            </w:pPr>
            <w:r>
              <w:rPr>
                <w:color w:val="0D0D0D"/>
                <w:sz w:val="20"/>
                <w:szCs w:val="20"/>
              </w:rPr>
              <w:t>Many important failures surface only through external validation, not by reading the response.</w:t>
            </w:r>
          </w:p>
        </w:tc>
        <w:tc>
          <w:tcPr>
            <w:tcW w:w="0" w:type="auto"/>
            <w:tcBorders>
              <w:top w:val="single" w:sz="2" w:space="0" w:color="auto"/>
              <w:left w:val="single" w:sz="2" w:space="0" w:color="auto"/>
              <w:bottom w:val="single" w:sz="2" w:space="0" w:color="auto"/>
              <w:right w:val="single" w:sz="2" w:space="0" w:color="auto"/>
            </w:tcBorders>
            <w:hideMark/>
          </w:tcPr>
          <w:p w14:paraId="423671E1" w14:textId="77777777" w:rsidR="00F603CB" w:rsidRDefault="00F603CB">
            <w:pPr>
              <w:rPr>
                <w:color w:val="0D0D0D"/>
                <w:sz w:val="20"/>
                <w:szCs w:val="20"/>
              </w:rPr>
            </w:pPr>
            <w:r>
              <w:rPr>
                <w:color w:val="0D0D0D"/>
                <w:sz w:val="20"/>
                <w:szCs w:val="20"/>
              </w:rPr>
              <w:t>Capture tests, CI, lint, type-check, static-analysis, security-scan, and benchmark outcomes at each interaction step.</w:t>
            </w:r>
          </w:p>
        </w:tc>
      </w:tr>
      <w:tr w:rsidR="00F603CB" w14:paraId="06DFF460" w14:textId="77777777">
        <w:tc>
          <w:tcPr>
            <w:tcW w:w="0" w:type="auto"/>
            <w:tcBorders>
              <w:top w:val="single" w:sz="2" w:space="0" w:color="auto"/>
              <w:left w:val="single" w:sz="2" w:space="0" w:color="auto"/>
              <w:bottom w:val="single" w:sz="2" w:space="0" w:color="auto"/>
              <w:right w:val="single" w:sz="2" w:space="0" w:color="auto"/>
            </w:tcBorders>
            <w:hideMark/>
          </w:tcPr>
          <w:p w14:paraId="6268FDCE" w14:textId="77777777" w:rsidR="00F603CB" w:rsidRDefault="00F603CB">
            <w:pPr>
              <w:rPr>
                <w:color w:val="0D0D0D"/>
                <w:sz w:val="20"/>
                <w:szCs w:val="20"/>
              </w:rPr>
            </w:pPr>
            <w:r>
              <w:rPr>
                <w:color w:val="0D0D0D"/>
                <w:sz w:val="20"/>
                <w:szCs w:val="20"/>
              </w:rPr>
              <w:t>Escalation path</w:t>
            </w:r>
          </w:p>
        </w:tc>
        <w:tc>
          <w:tcPr>
            <w:tcW w:w="0" w:type="auto"/>
            <w:tcBorders>
              <w:top w:val="single" w:sz="2" w:space="0" w:color="auto"/>
              <w:left w:val="single" w:sz="2" w:space="0" w:color="auto"/>
              <w:bottom w:val="single" w:sz="2" w:space="0" w:color="auto"/>
              <w:right w:val="single" w:sz="2" w:space="0" w:color="auto"/>
            </w:tcBorders>
            <w:hideMark/>
          </w:tcPr>
          <w:p w14:paraId="70DDBAA0" w14:textId="77777777" w:rsidR="00F603CB" w:rsidRDefault="00F603CB">
            <w:pPr>
              <w:rPr>
                <w:color w:val="0D0D0D"/>
                <w:sz w:val="20"/>
                <w:szCs w:val="20"/>
              </w:rPr>
            </w:pPr>
            <w:r>
              <w:rPr>
                <w:color w:val="0D0D0D"/>
                <w:sz w:val="20"/>
                <w:szCs w:val="20"/>
              </w:rPr>
              <w:t xml:space="preserve">Re-prompting, manual override, switching tools, or asking a human </w:t>
            </w:r>
            <w:proofErr w:type="gramStart"/>
            <w:r>
              <w:rPr>
                <w:color w:val="0D0D0D"/>
                <w:sz w:val="20"/>
                <w:szCs w:val="20"/>
              </w:rPr>
              <w:t>have</w:t>
            </w:r>
            <w:proofErr w:type="gramEnd"/>
            <w:r>
              <w:rPr>
                <w:color w:val="0D0D0D"/>
                <w:sz w:val="20"/>
                <w:szCs w:val="20"/>
              </w:rPr>
              <w:t xml:space="preserve"> different costs and different recovery rates.</w:t>
            </w:r>
          </w:p>
        </w:tc>
        <w:tc>
          <w:tcPr>
            <w:tcW w:w="0" w:type="auto"/>
            <w:tcBorders>
              <w:top w:val="single" w:sz="2" w:space="0" w:color="auto"/>
              <w:left w:val="single" w:sz="2" w:space="0" w:color="auto"/>
              <w:bottom w:val="single" w:sz="2" w:space="0" w:color="auto"/>
              <w:right w:val="single" w:sz="2" w:space="0" w:color="auto"/>
            </w:tcBorders>
            <w:hideMark/>
          </w:tcPr>
          <w:p w14:paraId="054D7075" w14:textId="77777777" w:rsidR="00F603CB" w:rsidRDefault="00F603CB">
            <w:pPr>
              <w:rPr>
                <w:color w:val="0D0D0D"/>
                <w:sz w:val="20"/>
                <w:szCs w:val="20"/>
              </w:rPr>
            </w:pPr>
            <w:r>
              <w:rPr>
                <w:color w:val="0D0D0D"/>
                <w:sz w:val="20"/>
                <w:szCs w:val="20"/>
              </w:rPr>
              <w:t>Log tool switches, doc openings, external searches, human handoff requests, and abandonment markers; code repair path sequence per rupture.</w:t>
            </w:r>
          </w:p>
        </w:tc>
      </w:tr>
      <w:tr w:rsidR="00F603CB" w14:paraId="40542CF2" w14:textId="77777777">
        <w:tc>
          <w:tcPr>
            <w:tcW w:w="0" w:type="auto"/>
            <w:tcBorders>
              <w:top w:val="single" w:sz="2" w:space="0" w:color="auto"/>
              <w:left w:val="single" w:sz="2" w:space="0" w:color="auto"/>
              <w:bottom w:val="single" w:sz="2" w:space="0" w:color="auto"/>
              <w:right w:val="single" w:sz="2" w:space="0" w:color="auto"/>
            </w:tcBorders>
            <w:hideMark/>
          </w:tcPr>
          <w:p w14:paraId="58AEBF5F" w14:textId="77777777" w:rsidR="00F603CB" w:rsidRDefault="00F603CB">
            <w:pPr>
              <w:rPr>
                <w:color w:val="0D0D0D"/>
                <w:sz w:val="20"/>
                <w:szCs w:val="20"/>
              </w:rPr>
            </w:pPr>
            <w:r>
              <w:rPr>
                <w:color w:val="0D0D0D"/>
                <w:sz w:val="20"/>
                <w:szCs w:val="20"/>
              </w:rPr>
              <w:t>Trust calibration and task-goal alignment</w:t>
            </w:r>
          </w:p>
        </w:tc>
        <w:tc>
          <w:tcPr>
            <w:tcW w:w="0" w:type="auto"/>
            <w:tcBorders>
              <w:top w:val="single" w:sz="2" w:space="0" w:color="auto"/>
              <w:left w:val="single" w:sz="2" w:space="0" w:color="auto"/>
              <w:bottom w:val="single" w:sz="2" w:space="0" w:color="auto"/>
              <w:right w:val="single" w:sz="2" w:space="0" w:color="auto"/>
            </w:tcBorders>
            <w:hideMark/>
          </w:tcPr>
          <w:p w14:paraId="42F077B4" w14:textId="77777777" w:rsidR="00F603CB" w:rsidRDefault="00F603CB">
            <w:pPr>
              <w:rPr>
                <w:color w:val="0D0D0D"/>
                <w:sz w:val="20"/>
                <w:szCs w:val="20"/>
              </w:rPr>
            </w:pPr>
            <w:r>
              <w:rPr>
                <w:color w:val="0D0D0D"/>
                <w:sz w:val="20"/>
                <w:szCs w:val="20"/>
              </w:rPr>
              <w:t>Current work shows preference and confidence can diverge from correctness or security.</w:t>
            </w:r>
          </w:p>
        </w:tc>
        <w:tc>
          <w:tcPr>
            <w:tcW w:w="0" w:type="auto"/>
            <w:tcBorders>
              <w:top w:val="single" w:sz="2" w:space="0" w:color="auto"/>
              <w:left w:val="single" w:sz="2" w:space="0" w:color="auto"/>
              <w:bottom w:val="single" w:sz="2" w:space="0" w:color="auto"/>
              <w:right w:val="single" w:sz="2" w:space="0" w:color="auto"/>
            </w:tcBorders>
            <w:hideMark/>
          </w:tcPr>
          <w:p w14:paraId="1E2D0637" w14:textId="77777777" w:rsidR="00F603CB" w:rsidRDefault="00F603CB">
            <w:pPr>
              <w:rPr>
                <w:color w:val="0D0D0D"/>
                <w:sz w:val="20"/>
                <w:szCs w:val="20"/>
              </w:rPr>
            </w:pPr>
            <w:r>
              <w:rPr>
                <w:color w:val="0D0D0D"/>
                <w:sz w:val="20"/>
                <w:szCs w:val="20"/>
              </w:rPr>
              <w:t>Use repeated micro-surveys after each major step: confidence in correctness, confidence in security, perceived goal alignment, perceived recoverability, expected need for further repair.</w:t>
            </w:r>
          </w:p>
        </w:tc>
      </w:tr>
      <w:tr w:rsidR="00F603CB" w14:paraId="47E45E82" w14:textId="77777777">
        <w:tc>
          <w:tcPr>
            <w:tcW w:w="0" w:type="auto"/>
            <w:tcBorders>
              <w:top w:val="single" w:sz="2" w:space="0" w:color="auto"/>
              <w:left w:val="single" w:sz="2" w:space="0" w:color="auto"/>
              <w:bottom w:val="single" w:sz="2" w:space="0" w:color="auto"/>
              <w:right w:val="single" w:sz="2" w:space="0" w:color="auto"/>
            </w:tcBorders>
            <w:hideMark/>
          </w:tcPr>
          <w:p w14:paraId="784D05E5" w14:textId="77777777" w:rsidR="00F603CB" w:rsidRDefault="00F603CB">
            <w:pPr>
              <w:rPr>
                <w:color w:val="0D0D0D"/>
                <w:sz w:val="20"/>
                <w:szCs w:val="20"/>
              </w:rPr>
            </w:pPr>
            <w:r>
              <w:rPr>
                <w:color w:val="0D0D0D"/>
                <w:sz w:val="20"/>
                <w:szCs w:val="20"/>
              </w:rPr>
              <w:t>Abandonment and fallback acceptance</w:t>
            </w:r>
          </w:p>
        </w:tc>
        <w:tc>
          <w:tcPr>
            <w:tcW w:w="0" w:type="auto"/>
            <w:tcBorders>
              <w:top w:val="single" w:sz="2" w:space="0" w:color="auto"/>
              <w:left w:val="single" w:sz="2" w:space="0" w:color="auto"/>
              <w:bottom w:val="single" w:sz="2" w:space="0" w:color="auto"/>
              <w:right w:val="single" w:sz="2" w:space="0" w:color="auto"/>
            </w:tcBorders>
            <w:hideMark/>
          </w:tcPr>
          <w:p w14:paraId="3DE8150F" w14:textId="77777777" w:rsidR="00F603CB" w:rsidRDefault="00F603CB">
            <w:pPr>
              <w:rPr>
                <w:color w:val="0D0D0D"/>
                <w:sz w:val="20"/>
                <w:szCs w:val="20"/>
              </w:rPr>
            </w:pPr>
            <w:r>
              <w:rPr>
                <w:color w:val="0D0D0D"/>
                <w:sz w:val="20"/>
                <w:szCs w:val="20"/>
              </w:rPr>
              <w:t>Some users quit; others accept a suboptimal outcome. Those are different endpoints.</w:t>
            </w:r>
          </w:p>
        </w:tc>
        <w:tc>
          <w:tcPr>
            <w:tcW w:w="0" w:type="auto"/>
            <w:tcBorders>
              <w:top w:val="single" w:sz="2" w:space="0" w:color="auto"/>
              <w:left w:val="single" w:sz="2" w:space="0" w:color="auto"/>
              <w:bottom w:val="single" w:sz="2" w:space="0" w:color="auto"/>
              <w:right w:val="single" w:sz="2" w:space="0" w:color="auto"/>
            </w:tcBorders>
            <w:hideMark/>
          </w:tcPr>
          <w:p w14:paraId="0B7CA576" w14:textId="77777777" w:rsidR="00F603CB" w:rsidRDefault="00F603CB">
            <w:pPr>
              <w:rPr>
                <w:color w:val="0D0D0D"/>
                <w:sz w:val="20"/>
                <w:szCs w:val="20"/>
              </w:rPr>
            </w:pPr>
            <w:r>
              <w:rPr>
                <w:color w:val="0D0D0D"/>
                <w:sz w:val="20"/>
                <w:szCs w:val="20"/>
              </w:rPr>
              <w:t>Code terminal states as successful repair, abandoned session, switched task, accepted partial answer, or escalated handoff.</w:t>
            </w:r>
          </w:p>
        </w:tc>
      </w:tr>
      <w:tr w:rsidR="00F603CB" w14:paraId="61E21B98" w14:textId="77777777">
        <w:tc>
          <w:tcPr>
            <w:tcW w:w="0" w:type="auto"/>
            <w:tcBorders>
              <w:top w:val="single" w:sz="2" w:space="0" w:color="auto"/>
              <w:left w:val="single" w:sz="2" w:space="0" w:color="auto"/>
              <w:bottom w:val="single" w:sz="2" w:space="0" w:color="auto"/>
              <w:right w:val="single" w:sz="2" w:space="0" w:color="auto"/>
            </w:tcBorders>
            <w:hideMark/>
          </w:tcPr>
          <w:p w14:paraId="1F0A7560" w14:textId="77777777" w:rsidR="00F603CB" w:rsidRDefault="00F603CB">
            <w:pPr>
              <w:rPr>
                <w:color w:val="0D0D0D"/>
                <w:sz w:val="20"/>
                <w:szCs w:val="20"/>
              </w:rPr>
            </w:pPr>
            <w:r>
              <w:rPr>
                <w:color w:val="0D0D0D"/>
                <w:sz w:val="20"/>
                <w:szCs w:val="20"/>
              </w:rPr>
              <w:t>Long-term regressions and repository health</w:t>
            </w:r>
          </w:p>
        </w:tc>
        <w:tc>
          <w:tcPr>
            <w:tcW w:w="0" w:type="auto"/>
            <w:tcBorders>
              <w:top w:val="single" w:sz="2" w:space="0" w:color="auto"/>
              <w:left w:val="single" w:sz="2" w:space="0" w:color="auto"/>
              <w:bottom w:val="single" w:sz="2" w:space="0" w:color="auto"/>
              <w:right w:val="single" w:sz="2" w:space="0" w:color="auto"/>
            </w:tcBorders>
            <w:hideMark/>
          </w:tcPr>
          <w:p w14:paraId="6F4596AC" w14:textId="77777777" w:rsidR="00F603CB" w:rsidRDefault="00F603CB">
            <w:pPr>
              <w:rPr>
                <w:color w:val="0D0D0D"/>
                <w:sz w:val="20"/>
                <w:szCs w:val="20"/>
              </w:rPr>
            </w:pPr>
            <w:r>
              <w:rPr>
                <w:color w:val="0D0D0D"/>
                <w:sz w:val="20"/>
                <w:szCs w:val="20"/>
              </w:rPr>
              <w:t>One-shot correctness misses delayed damage.</w:t>
            </w:r>
          </w:p>
        </w:tc>
        <w:tc>
          <w:tcPr>
            <w:tcW w:w="0" w:type="auto"/>
            <w:tcBorders>
              <w:top w:val="single" w:sz="2" w:space="0" w:color="auto"/>
              <w:left w:val="single" w:sz="2" w:space="0" w:color="auto"/>
              <w:bottom w:val="single" w:sz="2" w:space="0" w:color="auto"/>
              <w:right w:val="single" w:sz="2" w:space="0" w:color="auto"/>
            </w:tcBorders>
            <w:hideMark/>
          </w:tcPr>
          <w:p w14:paraId="5BB24A88" w14:textId="77777777" w:rsidR="00F603CB" w:rsidRDefault="00F603CB">
            <w:pPr>
              <w:rPr>
                <w:color w:val="0D0D0D"/>
                <w:sz w:val="20"/>
                <w:szCs w:val="20"/>
              </w:rPr>
            </w:pPr>
            <w:r>
              <w:rPr>
                <w:color w:val="0D0D0D"/>
                <w:sz w:val="20"/>
                <w:szCs w:val="20"/>
              </w:rPr>
              <w:t>Re-run tests and linters after later changes; track reverts, reopened issues, reviewer requests, PR rejection, and regression tickets at follow-up checkpoints.</w:t>
            </w:r>
          </w:p>
        </w:tc>
      </w:tr>
      <w:tr w:rsidR="00F603CB" w14:paraId="21400604" w14:textId="77777777">
        <w:tc>
          <w:tcPr>
            <w:tcW w:w="0" w:type="auto"/>
            <w:tcBorders>
              <w:top w:val="single" w:sz="2" w:space="0" w:color="auto"/>
              <w:left w:val="single" w:sz="2" w:space="0" w:color="auto"/>
              <w:bottom w:val="single" w:sz="2" w:space="0" w:color="auto"/>
              <w:right w:val="single" w:sz="2" w:space="0" w:color="auto"/>
            </w:tcBorders>
            <w:hideMark/>
          </w:tcPr>
          <w:p w14:paraId="3A498E68" w14:textId="77777777" w:rsidR="00F603CB" w:rsidRDefault="00F603CB">
            <w:pPr>
              <w:rPr>
                <w:color w:val="0D0D0D"/>
                <w:sz w:val="20"/>
                <w:szCs w:val="20"/>
              </w:rPr>
            </w:pPr>
            <w:r>
              <w:rPr>
                <w:color w:val="0D0D0D"/>
                <w:sz w:val="20"/>
                <w:szCs w:val="20"/>
              </w:rPr>
              <w:t>Autonomy level</w:t>
            </w:r>
          </w:p>
        </w:tc>
        <w:tc>
          <w:tcPr>
            <w:tcW w:w="0" w:type="auto"/>
            <w:tcBorders>
              <w:top w:val="single" w:sz="2" w:space="0" w:color="auto"/>
              <w:left w:val="single" w:sz="2" w:space="0" w:color="auto"/>
              <w:bottom w:val="single" w:sz="2" w:space="0" w:color="auto"/>
              <w:right w:val="single" w:sz="2" w:space="0" w:color="auto"/>
            </w:tcBorders>
            <w:hideMark/>
          </w:tcPr>
          <w:p w14:paraId="32E8ECBF" w14:textId="77777777" w:rsidR="00F603CB" w:rsidRDefault="00F603CB">
            <w:pPr>
              <w:rPr>
                <w:color w:val="0D0D0D"/>
                <w:sz w:val="20"/>
                <w:szCs w:val="20"/>
              </w:rPr>
            </w:pPr>
            <w:r>
              <w:rPr>
                <w:color w:val="0D0D0D"/>
                <w:sz w:val="20"/>
                <w:szCs w:val="20"/>
              </w:rPr>
              <w:t>Failure and repair dynamics change when the system acts versus merely suggests.</w:t>
            </w:r>
          </w:p>
        </w:tc>
        <w:tc>
          <w:tcPr>
            <w:tcW w:w="0" w:type="auto"/>
            <w:tcBorders>
              <w:top w:val="single" w:sz="2" w:space="0" w:color="auto"/>
              <w:left w:val="single" w:sz="2" w:space="0" w:color="auto"/>
              <w:bottom w:val="single" w:sz="2" w:space="0" w:color="auto"/>
              <w:right w:val="single" w:sz="2" w:space="0" w:color="auto"/>
            </w:tcBorders>
            <w:hideMark/>
          </w:tcPr>
          <w:p w14:paraId="2CCF215F" w14:textId="77777777" w:rsidR="00F603CB" w:rsidRDefault="00F603CB">
            <w:pPr>
              <w:rPr>
                <w:color w:val="0D0D0D"/>
                <w:sz w:val="20"/>
                <w:szCs w:val="20"/>
              </w:rPr>
            </w:pPr>
            <w:r>
              <w:rPr>
                <w:color w:val="0D0D0D"/>
                <w:sz w:val="20"/>
                <w:szCs w:val="20"/>
              </w:rPr>
              <w:t>Tag sessions by mode: assistive suggestion, bounded tool-using assistant, autonomous agent task execution, PR-submitting agent.</w:t>
            </w:r>
          </w:p>
        </w:tc>
      </w:tr>
    </w:tbl>
    <w:p w14:paraId="30338C63"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120" w:afterAutospacing="0"/>
        <w:rPr>
          <w:rFonts w:ascii="Segoe UI" w:hAnsi="Segoe UI" w:cs="Segoe UI"/>
          <w:color w:val="0D0D0D"/>
          <w:spacing w:val="-2"/>
          <w:sz w:val="22"/>
          <w:szCs w:val="22"/>
        </w:rPr>
      </w:pPr>
      <w:r>
        <w:rPr>
          <w:rFonts w:ascii="Segoe UI" w:hAnsi="Segoe UI" w:cs="Segoe UI"/>
          <w:color w:val="0D0D0D"/>
          <w:spacing w:val="-2"/>
          <w:sz w:val="22"/>
          <w:szCs w:val="22"/>
        </w:rPr>
        <w:t>These measures directly target the main blind spots left by the current literature: event-level latency, repair pathway efficacy, and delayed repository consequences.</w:t>
      </w:r>
    </w:p>
    <w:p w14:paraId="449D9000" w14:textId="77777777" w:rsidR="00F603CB" w:rsidRDefault="00F603CB" w:rsidP="00F603CB">
      <w:pPr>
        <w:pStyle w:val="Heading2"/>
        <w:pBdr>
          <w:top w:val="single" w:sz="2" w:space="0" w:color="auto"/>
          <w:left w:val="single" w:sz="2" w:space="0" w:color="auto"/>
          <w:bottom w:val="single" w:sz="2" w:space="0" w:color="auto"/>
          <w:right w:val="single" w:sz="2" w:space="0" w:color="auto"/>
        </w:pBdr>
        <w:shd w:val="clear" w:color="auto" w:fill="FFFFFF"/>
        <w:spacing w:before="320" w:after="120"/>
        <w:rPr>
          <w:rFonts w:ascii="Segoe UI" w:hAnsi="Segoe UI" w:cs="Segoe UI"/>
          <w:color w:val="0D0D0D"/>
          <w:spacing w:val="-2"/>
        </w:rPr>
      </w:pPr>
      <w:r>
        <w:rPr>
          <w:rFonts w:ascii="Segoe UI" w:hAnsi="Segoe UI" w:cs="Segoe UI"/>
          <w:color w:val="0D0D0D"/>
          <w:spacing w:val="-2"/>
        </w:rPr>
        <w:t>Illustrative panel cadence</w:t>
      </w:r>
    </w:p>
    <w:p w14:paraId="6BAA2843" w14:textId="77777777" w:rsidR="00F603CB" w:rsidRDefault="00F603CB" w:rsidP="00F603CB">
      <w:pPr>
        <w:pStyle w:val="HTMLPreformatted"/>
        <w:pBdr>
          <w:top w:val="single" w:sz="2" w:space="0" w:color="auto"/>
          <w:left w:val="single" w:sz="2" w:space="0" w:color="auto"/>
          <w:bottom w:val="single" w:sz="2" w:space="0" w:color="auto"/>
          <w:right w:val="single" w:sz="2" w:space="0" w:color="auto"/>
        </w:pBdr>
        <w:shd w:val="clear" w:color="auto" w:fill="FFFFFF"/>
        <w:rPr>
          <w:rFonts w:ascii="Menlo" w:hAnsi="Menlo" w:cs="Menlo"/>
          <w:color w:val="0D0D0D"/>
          <w:spacing w:val="-2"/>
          <w:sz w:val="22"/>
          <w:szCs w:val="22"/>
        </w:rPr>
      </w:pPr>
      <w:r>
        <w:rPr>
          <w:rFonts w:ascii="Menlo" w:hAnsi="Menlo" w:cs="Menlo"/>
          <w:color w:val="0D0D0D"/>
          <w:spacing w:val="-2"/>
          <w:sz w:val="22"/>
          <w:szCs w:val="22"/>
        </w:rPr>
        <w:t xml:space="preserve">Month 0ethics </w:t>
      </w:r>
      <w:proofErr w:type="spellStart"/>
      <w:r>
        <w:rPr>
          <w:rFonts w:ascii="Menlo" w:hAnsi="Menlo" w:cs="Menlo"/>
          <w:color w:val="0D0D0D"/>
          <w:spacing w:val="-2"/>
          <w:sz w:val="22"/>
          <w:szCs w:val="22"/>
        </w:rPr>
        <w:t>reviewconsent</w:t>
      </w:r>
      <w:proofErr w:type="spellEnd"/>
      <w:r>
        <w:rPr>
          <w:rFonts w:ascii="Menlo" w:hAnsi="Menlo" w:cs="Menlo"/>
          <w:color w:val="0D0D0D"/>
          <w:spacing w:val="-2"/>
          <w:sz w:val="22"/>
          <w:szCs w:val="22"/>
        </w:rPr>
        <w:t xml:space="preserve"> and </w:t>
      </w:r>
      <w:proofErr w:type="spellStart"/>
      <w:r>
        <w:rPr>
          <w:rFonts w:ascii="Menlo" w:hAnsi="Menlo" w:cs="Menlo"/>
          <w:color w:val="0D0D0D"/>
          <w:spacing w:val="-2"/>
          <w:sz w:val="22"/>
          <w:szCs w:val="22"/>
        </w:rPr>
        <w:t>baselineprofilinginstrumentationsetuprepositorysnapshotting</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andseed</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lastRenderedPageBreak/>
        <w:t>validationMonths</w:t>
      </w:r>
      <w:proofErr w:type="spellEnd"/>
      <w:r>
        <w:rPr>
          <w:rFonts w:ascii="Menlo" w:hAnsi="Menlo" w:cs="Menlo"/>
          <w:color w:val="0D0D0D"/>
          <w:spacing w:val="-2"/>
          <w:sz w:val="22"/>
          <w:szCs w:val="22"/>
        </w:rPr>
        <w:t xml:space="preserve"> 1-2pilot </w:t>
      </w:r>
      <w:proofErr w:type="spellStart"/>
      <w:r>
        <w:rPr>
          <w:rFonts w:ascii="Menlo" w:hAnsi="Menlo" w:cs="Menlo"/>
          <w:color w:val="0D0D0D"/>
          <w:spacing w:val="-2"/>
          <w:sz w:val="22"/>
          <w:szCs w:val="22"/>
        </w:rPr>
        <w:t>sessionstelemetry</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shakeoutpower-modelcalibrationMonths</w:t>
      </w:r>
      <w:proofErr w:type="spellEnd"/>
      <w:r>
        <w:rPr>
          <w:rFonts w:ascii="Menlo" w:hAnsi="Menlo" w:cs="Menlo"/>
          <w:color w:val="0D0D0D"/>
          <w:spacing w:val="-2"/>
          <w:sz w:val="22"/>
          <w:szCs w:val="22"/>
        </w:rPr>
        <w:t xml:space="preserve"> 2-6repeatedinstrumented </w:t>
      </w:r>
      <w:proofErr w:type="spellStart"/>
      <w:r>
        <w:rPr>
          <w:rFonts w:ascii="Menlo" w:hAnsi="Menlo" w:cs="Menlo"/>
          <w:color w:val="0D0D0D"/>
          <w:spacing w:val="-2"/>
          <w:sz w:val="22"/>
          <w:szCs w:val="22"/>
        </w:rPr>
        <w:t>codingsessionspost</w:t>
      </w:r>
      <w:proofErr w:type="spellEnd"/>
      <w:r>
        <w:rPr>
          <w:rFonts w:ascii="Menlo" w:hAnsi="Menlo" w:cs="Menlo"/>
          <w:color w:val="0D0D0D"/>
          <w:spacing w:val="-2"/>
          <w:sz w:val="22"/>
          <w:szCs w:val="22"/>
        </w:rPr>
        <w:t xml:space="preserve">-session </w:t>
      </w:r>
      <w:proofErr w:type="spellStart"/>
      <w:r>
        <w:rPr>
          <w:rFonts w:ascii="Menlo" w:hAnsi="Menlo" w:cs="Menlo"/>
          <w:color w:val="0D0D0D"/>
          <w:spacing w:val="-2"/>
          <w:sz w:val="22"/>
          <w:szCs w:val="22"/>
        </w:rPr>
        <w:t>trustand</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recoverabilitysurveysmonthlyCI</w:t>
      </w:r>
      <w:proofErr w:type="spellEnd"/>
      <w:r>
        <w:rPr>
          <w:rFonts w:ascii="Menlo" w:hAnsi="Menlo" w:cs="Menlo"/>
          <w:color w:val="0D0D0D"/>
          <w:spacing w:val="-2"/>
          <w:sz w:val="22"/>
          <w:szCs w:val="22"/>
        </w:rPr>
        <w:t>/test/</w:t>
      </w:r>
      <w:proofErr w:type="spellStart"/>
      <w:r>
        <w:rPr>
          <w:rFonts w:ascii="Menlo" w:hAnsi="Menlo" w:cs="Menlo"/>
          <w:color w:val="0D0D0D"/>
          <w:spacing w:val="-2"/>
          <w:sz w:val="22"/>
          <w:szCs w:val="22"/>
        </w:rPr>
        <w:t>securityharvestsMonths</w:t>
      </w:r>
      <w:proofErr w:type="spellEnd"/>
      <w:r>
        <w:rPr>
          <w:rFonts w:ascii="Menlo" w:hAnsi="Menlo" w:cs="Menlo"/>
          <w:color w:val="0D0D0D"/>
          <w:spacing w:val="-2"/>
          <w:sz w:val="22"/>
          <w:szCs w:val="22"/>
        </w:rPr>
        <w:t xml:space="preserve"> 3, 6, 9, 12qualitative follow-</w:t>
      </w:r>
      <w:proofErr w:type="spellStart"/>
      <w:r>
        <w:rPr>
          <w:rFonts w:ascii="Menlo" w:hAnsi="Menlo" w:cs="Menlo"/>
          <w:color w:val="0D0D0D"/>
          <w:spacing w:val="-2"/>
          <w:sz w:val="22"/>
          <w:szCs w:val="22"/>
        </w:rPr>
        <w:t>upinterviewsrepository</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healthchecksregression</w:t>
      </w:r>
      <w:proofErr w:type="spellEnd"/>
      <w:r>
        <w:rPr>
          <w:rFonts w:ascii="Menlo" w:hAnsi="Menlo" w:cs="Menlo"/>
          <w:color w:val="0D0D0D"/>
          <w:spacing w:val="-2"/>
          <w:sz w:val="22"/>
          <w:szCs w:val="22"/>
        </w:rPr>
        <w:t xml:space="preserve"> and </w:t>
      </w:r>
      <w:proofErr w:type="spellStart"/>
      <w:r>
        <w:rPr>
          <w:rFonts w:ascii="Menlo" w:hAnsi="Menlo" w:cs="Menlo"/>
          <w:color w:val="0D0D0D"/>
          <w:spacing w:val="-2"/>
          <w:sz w:val="22"/>
          <w:szCs w:val="22"/>
        </w:rPr>
        <w:t>revertauditsMonths</w:t>
      </w:r>
      <w:proofErr w:type="spellEnd"/>
      <w:r>
        <w:rPr>
          <w:rFonts w:ascii="Menlo" w:hAnsi="Menlo" w:cs="Menlo"/>
          <w:color w:val="0D0D0D"/>
          <w:spacing w:val="-2"/>
          <w:sz w:val="22"/>
          <w:szCs w:val="22"/>
        </w:rPr>
        <w:t xml:space="preserve"> 12-18continued </w:t>
      </w:r>
      <w:proofErr w:type="spellStart"/>
      <w:r>
        <w:rPr>
          <w:rFonts w:ascii="Menlo" w:hAnsi="Menlo" w:cs="Menlo"/>
          <w:color w:val="0D0D0D"/>
          <w:spacing w:val="-2"/>
          <w:sz w:val="22"/>
          <w:szCs w:val="22"/>
        </w:rPr>
        <w:t>sessionsfor</w:t>
      </w:r>
      <w:proofErr w:type="spellEnd"/>
      <w:r>
        <w:rPr>
          <w:rFonts w:ascii="Menlo" w:hAnsi="Menlo" w:cs="Menlo"/>
          <w:color w:val="0D0D0D"/>
          <w:spacing w:val="-2"/>
          <w:sz w:val="22"/>
          <w:szCs w:val="22"/>
        </w:rPr>
        <w:t xml:space="preserve"> long-</w:t>
      </w:r>
      <w:proofErr w:type="spellStart"/>
      <w:r>
        <w:rPr>
          <w:rFonts w:ascii="Menlo" w:hAnsi="Menlo" w:cs="Menlo"/>
          <w:color w:val="0D0D0D"/>
          <w:spacing w:val="-2"/>
          <w:sz w:val="22"/>
          <w:szCs w:val="22"/>
        </w:rPr>
        <w:t>horizonsubgroupautonomy</w:t>
      </w:r>
      <w:proofErr w:type="spellEnd"/>
      <w:r>
        <w:rPr>
          <w:rFonts w:ascii="Menlo" w:hAnsi="Menlo" w:cs="Menlo"/>
          <w:color w:val="0D0D0D"/>
          <w:spacing w:val="-2"/>
          <w:sz w:val="22"/>
          <w:szCs w:val="22"/>
        </w:rPr>
        <w:t>-</w:t>
      </w:r>
      <w:proofErr w:type="spellStart"/>
      <w:r>
        <w:rPr>
          <w:rFonts w:ascii="Menlo" w:hAnsi="Menlo" w:cs="Menlo"/>
          <w:color w:val="0D0D0D"/>
          <w:spacing w:val="-2"/>
          <w:sz w:val="22"/>
          <w:szCs w:val="22"/>
        </w:rPr>
        <w:t>levelcrossoversreviewer</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andmaintainer</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feedbackcollectionMonths</w:t>
      </w:r>
      <w:proofErr w:type="spellEnd"/>
      <w:r>
        <w:rPr>
          <w:rFonts w:ascii="Menlo" w:hAnsi="Menlo" w:cs="Menlo"/>
          <w:color w:val="0D0D0D"/>
          <w:spacing w:val="-2"/>
          <w:sz w:val="22"/>
          <w:szCs w:val="22"/>
        </w:rPr>
        <w:t xml:space="preserve"> 18-24final follow-</w:t>
      </w:r>
      <w:proofErr w:type="spellStart"/>
      <w:r>
        <w:rPr>
          <w:rFonts w:ascii="Menlo" w:hAnsi="Menlo" w:cs="Menlo"/>
          <w:color w:val="0D0D0D"/>
          <w:spacing w:val="-2"/>
          <w:sz w:val="22"/>
          <w:szCs w:val="22"/>
        </w:rPr>
        <w:t>upsdelayed</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regressionscansretention</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auditpreregisteredcloseout</w:t>
      </w:r>
      <w:proofErr w:type="spellEnd"/>
      <w:r>
        <w:rPr>
          <w:rFonts w:ascii="Menlo" w:hAnsi="Menlo" w:cs="Menlo"/>
          <w:color w:val="0D0D0D"/>
          <w:spacing w:val="-2"/>
          <w:sz w:val="22"/>
          <w:szCs w:val="22"/>
        </w:rPr>
        <w:t xml:space="preserve"> </w:t>
      </w:r>
      <w:proofErr w:type="spellStart"/>
      <w:r>
        <w:rPr>
          <w:rFonts w:ascii="Menlo" w:hAnsi="Menlo" w:cs="Menlo"/>
          <w:color w:val="0D0D0D"/>
          <w:spacing w:val="-2"/>
          <w:sz w:val="22"/>
          <w:szCs w:val="22"/>
        </w:rPr>
        <w:t>analysisRupture</w:t>
      </w:r>
      <w:proofErr w:type="spellEnd"/>
      <w:r>
        <w:rPr>
          <w:rFonts w:ascii="Menlo" w:hAnsi="Menlo" w:cs="Menlo"/>
          <w:color w:val="0D0D0D"/>
          <w:spacing w:val="-2"/>
          <w:sz w:val="22"/>
          <w:szCs w:val="22"/>
        </w:rPr>
        <w:t>-and-repair panel cadence for a 6–24 month study</w:t>
      </w:r>
    </w:p>
    <w:p w14:paraId="79D7917D" w14:textId="77777777" w:rsidR="00F603CB" w:rsidRDefault="00F603CB" w:rsidP="00F603CB">
      <w:pPr>
        <w:pStyle w:val="HTMLPreformatted"/>
        <w:pBdr>
          <w:top w:val="single" w:sz="2" w:space="0" w:color="auto"/>
          <w:left w:val="single" w:sz="2" w:space="0" w:color="auto"/>
          <w:bottom w:val="single" w:sz="2" w:space="0" w:color="auto"/>
          <w:right w:val="single" w:sz="2" w:space="0" w:color="auto"/>
        </w:pBdr>
        <w:shd w:val="clear" w:color="auto" w:fill="FFFFFF"/>
        <w:rPr>
          <w:rFonts w:ascii="Menlo" w:hAnsi="Menlo" w:cs="Menlo"/>
          <w:color w:val="0D0D0D"/>
          <w:spacing w:val="-2"/>
          <w:sz w:val="22"/>
          <w:szCs w:val="22"/>
        </w:rPr>
      </w:pPr>
      <w:r>
        <w:rPr>
          <w:rFonts w:ascii="Menlo" w:hAnsi="Menlo" w:cs="Menlo"/>
          <w:color w:val="0D0D0D"/>
          <w:spacing w:val="-2"/>
          <w:sz w:val="22"/>
          <w:szCs w:val="22"/>
        </w:rPr>
        <w:t>Show code</w:t>
      </w:r>
    </w:p>
    <w:p w14:paraId="5DF5720D" w14:textId="77777777" w:rsidR="00F603CB" w:rsidRDefault="00F603CB" w:rsidP="00F603CB">
      <w:pPr>
        <w:pStyle w:val="text-token-text-primary"/>
        <w:pBdr>
          <w:top w:val="single" w:sz="2" w:space="0" w:color="auto"/>
          <w:left w:val="single" w:sz="2" w:space="0" w:color="auto"/>
          <w:bottom w:val="single" w:sz="2" w:space="0" w:color="auto"/>
          <w:right w:val="single" w:sz="2" w:space="0" w:color="auto"/>
        </w:pBdr>
        <w:shd w:val="clear" w:color="auto" w:fill="FFFFFF"/>
        <w:spacing w:before="0" w:beforeAutospacing="0" w:after="0" w:afterAutospacing="0"/>
        <w:rPr>
          <w:rFonts w:ascii="Segoe UI" w:hAnsi="Segoe UI" w:cs="Segoe UI"/>
          <w:color w:val="0D0D0D"/>
          <w:spacing w:val="-2"/>
          <w:sz w:val="22"/>
          <w:szCs w:val="22"/>
        </w:rPr>
      </w:pPr>
      <w:r>
        <w:rPr>
          <w:rFonts w:ascii="Segoe UI" w:hAnsi="Segoe UI" w:cs="Segoe UI"/>
          <w:color w:val="0D0D0D"/>
          <w:spacing w:val="-2"/>
          <w:sz w:val="22"/>
          <w:szCs w:val="22"/>
        </w:rPr>
        <w:t>This cadence is designed to capture both </w:t>
      </w:r>
      <w:r>
        <w:rPr>
          <w:rStyle w:val="Strong"/>
          <w:rFonts w:ascii="Segoe UI" w:eastAsiaTheme="majorEastAsia" w:hAnsi="Segoe UI" w:cs="Segoe UI"/>
          <w:color w:val="0D0D0D"/>
          <w:spacing w:val="-2"/>
          <w:sz w:val="22"/>
          <w:szCs w:val="22"/>
          <w:bdr w:val="single" w:sz="2" w:space="0" w:color="auto" w:frame="1"/>
        </w:rPr>
        <w:t>short-lag derailments</w:t>
      </w:r>
      <w:r>
        <w:rPr>
          <w:rFonts w:ascii="Segoe UI" w:hAnsi="Segoe UI" w:cs="Segoe UI"/>
          <w:color w:val="0D0D0D"/>
          <w:spacing w:val="-2"/>
          <w:sz w:val="22"/>
          <w:szCs w:val="22"/>
        </w:rPr>
        <w:t> that appear within a session and </w:t>
      </w:r>
      <w:r>
        <w:rPr>
          <w:rStyle w:val="Strong"/>
          <w:rFonts w:ascii="Segoe UI" w:eastAsiaTheme="majorEastAsia" w:hAnsi="Segoe UI" w:cs="Segoe UI"/>
          <w:color w:val="0D0D0D"/>
          <w:spacing w:val="-2"/>
          <w:sz w:val="22"/>
          <w:szCs w:val="22"/>
          <w:bdr w:val="single" w:sz="2" w:space="0" w:color="auto" w:frame="1"/>
        </w:rPr>
        <w:t>delayed repository consequences</w:t>
      </w:r>
      <w:r>
        <w:rPr>
          <w:rFonts w:ascii="Segoe UI" w:hAnsi="Segoe UI" w:cs="Segoe UI"/>
          <w:color w:val="0D0D0D"/>
          <w:spacing w:val="-2"/>
          <w:sz w:val="22"/>
          <w:szCs w:val="22"/>
        </w:rPr>
        <w:t> that only emerge after more code, more review, and more CI cycles. That is the central empirical gap left by the present literature: short lab studies reveal rupture and repair pressure, while the autonomous-agent studies reveal delayed compounding, but almost no study yet connects the two in one longitudinal design.</w:t>
      </w:r>
    </w:p>
    <w:p w14:paraId="468F6466" w14:textId="77777777" w:rsidR="00F603CB" w:rsidRDefault="00F603CB"/>
    <w:sectPr w:rsidR="00F603C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C7AA66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947823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DA55E9"/>
    <w:rsid w:val="00220F6A"/>
    <w:rsid w:val="00DA55E9"/>
    <w:rsid w:val="00F6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D75B00"/>
  <w15:docId w15:val="{27F41BFD-175F-3141-92F6-9FA54B6A1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text-token-text-primary">
    <w:name w:val="text-token-text-primary"/>
    <w:basedOn w:val="Normal"/>
    <w:rsid w:val="00F603CB"/>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F603CB"/>
    <w:rPr>
      <w:b/>
      <w:bCs/>
    </w:rPr>
  </w:style>
  <w:style w:type="paragraph" w:styleId="HTMLPreformatted">
    <w:name w:val="HTML Preformatted"/>
    <w:basedOn w:val="Normal"/>
    <w:link w:val="HTMLPreformattedChar"/>
    <w:uiPriority w:val="99"/>
    <w:unhideWhenUsed/>
    <w:rsid w:val="00F603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F603CB"/>
    <w:rPr>
      <w:rFonts w:ascii="Courier New" w:eastAsia="Times New Roman" w:hAnsi="Courier New" w:cs="Courier New"/>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par.nsf.gov/biblio/10472235-do-users-write-more-insecure-code-ai-assistants" TargetMode="External"/><Relationship Id="rId13" Type="http://schemas.openxmlformats.org/officeDocument/2006/relationships/hyperlink" Target="https://arxiv.org/abs/2411.09916" TargetMode="External"/><Relationship Id="rId18" Type="http://schemas.openxmlformats.org/officeDocument/2006/relationships/hyperlink" Target="https://doi.org/10.1177/17504813241271492"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par.nsf.gov/servlets/purl/10467112" TargetMode="External"/><Relationship Id="rId12" Type="http://schemas.openxmlformats.org/officeDocument/2006/relationships/hyperlink" Target="https://arxiv.org/abs/2603.03823" TargetMode="External"/><Relationship Id="rId17" Type="http://schemas.openxmlformats.org/officeDocument/2006/relationships/hyperlink" Target="https://openreview.net/forum?id=5qeQhMymF1" TargetMode="External"/><Relationship Id="rId2" Type="http://schemas.openxmlformats.org/officeDocument/2006/relationships/styles" Target="styles.xml"/><Relationship Id="rId16" Type="http://schemas.openxmlformats.org/officeDocument/2006/relationships/hyperlink" Target="https://par.nsf.gov/biblio/10472235-do-users-write-more-insecure-code-ai-assistants" TargetMode="External"/><Relationship Id="rId20" Type="http://schemas.openxmlformats.org/officeDocument/2006/relationships/hyperlink" Target="https://arxiv.org/abs/2603.03823" TargetMode="External"/><Relationship Id="rId1" Type="http://schemas.openxmlformats.org/officeDocument/2006/relationships/numbering" Target="numbering.xml"/><Relationship Id="rId6" Type="http://schemas.openxmlformats.org/officeDocument/2006/relationships/hyperlink" Target="https://par.nsf.gov/biblio/10366304-expectation-vs-experience-evaluating-usability-code-generation-tools-powered-large-language-models" TargetMode="External"/><Relationship Id="rId11" Type="http://schemas.openxmlformats.org/officeDocument/2006/relationships/hyperlink" Target="https://pubmed.ncbi.nlm.nih.gov/41868778/" TargetMode="External"/><Relationship Id="rId5" Type="http://schemas.openxmlformats.org/officeDocument/2006/relationships/hyperlink" Target="https://arxiv.org/abs/2411.09916" TargetMode="External"/><Relationship Id="rId15" Type="http://schemas.openxmlformats.org/officeDocument/2006/relationships/hyperlink" Target="https://par.nsf.gov/servlets/purl/10467112" TargetMode="External"/><Relationship Id="rId10" Type="http://schemas.openxmlformats.org/officeDocument/2006/relationships/hyperlink" Target="https://doi.org/10.1177/17504813241271492" TargetMode="External"/><Relationship Id="rId19" Type="http://schemas.openxmlformats.org/officeDocument/2006/relationships/hyperlink" Target="https://pubmed.ncbi.nlm.nih.gov/41868778/" TargetMode="External"/><Relationship Id="rId4" Type="http://schemas.openxmlformats.org/officeDocument/2006/relationships/webSettings" Target="webSettings.xml"/><Relationship Id="rId9" Type="http://schemas.openxmlformats.org/officeDocument/2006/relationships/hyperlink" Target="https://openreview.net/forum?id=5qeQhMymF1" TargetMode="External"/><Relationship Id="rId14" Type="http://schemas.openxmlformats.org/officeDocument/2006/relationships/hyperlink" Target="https://par.nsf.gov/biblio/10366304-expectation-vs-experience-evaluating-usability-code-generation-tools-powered-large-language-models"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32</Pages>
  <Words>6429</Words>
  <Characters>41214</Characters>
  <Application>Microsoft Office Word</Application>
  <DocSecurity>0</DocSecurity>
  <Lines>2943</Lines>
  <Paragraphs>369</Paragraphs>
  <ScaleCrop>false</ScaleCrop>
  <Company/>
  <LinksUpToDate>false</LinksUpToDate>
  <CharactersWithSpaces>47274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2026-05-01T18:57:00Z</dcterms:created>
  <dcterms:modified xsi:type="dcterms:W3CDTF">2026-05-01T19:07:00Z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