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Builders Toolkit</w:t>
      </w:r>
    </w:p>
    <w:p/>
    <w:p>
      <w:pPr>
        <w:jc w:val="center"/>
      </w:pPr>
      <w:r>
        <w:t>Tools and Templates for Project Success</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Builders Toolkit</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your AI (your AI chat interface)</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your preferred AI chat interface.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This Edition Tips</w:t>
      </w:r>
    </w:p>
    <w:p>
      <w:r>
        <w:t>This chapter provides tips specifically optimized for This Edition. While AIXORD works with any AI platform, each has unique characteristics that affect how governance should be applied. Use these tips to get the most out of your This Edition sessions.</w:t>
      </w:r>
    </w:p>
    <w:p/>
    <w:p>
      <w:pPr>
        <w:pStyle w:val="Heading2"/>
      </w:pPr>
      <w:r>
        <w:t>Template Library</w:t>
      </w:r>
    </w:p>
    <w:p>
      <w:r>
        <w:t>The Builders Toolkit includes templates for common project types: web apps, APIs, documentation, marketing campaigns, and more.</w:t>
      </w:r>
    </w:p>
    <w:p/>
    <w:p>
      <w:pPr>
        <w:pStyle w:val="Heading2"/>
      </w:pPr>
      <w:r>
        <w:t>SCOPE Templates</w:t>
      </w:r>
    </w:p>
    <w:p>
      <w:r>
        <w:t>Pre-built SCOPE templates help you decompose projects quickly. Customize them for your specific needs.</w:t>
      </w:r>
    </w:p>
    <w:p/>
    <w:p>
      <w:pPr>
        <w:pStyle w:val="Heading2"/>
      </w:pPr>
      <w:r>
        <w:t>Handoff Templates</w:t>
      </w:r>
    </w:p>
    <w:p>
      <w:r>
        <w:t>Standardized handoff templates ensure consistent session transfers. No important context is ever lost.</w:t>
      </w:r>
    </w:p>
    <w:p/>
    <w:p>
      <w:pPr>
        <w:pStyle w:val="Heading2"/>
      </w:pPr>
      <w:r>
        <w:t>Audit Checklists</w:t>
      </w:r>
    </w:p>
    <w:p>
      <w:r>
        <w:t>Pre-built audit checklists for visual verification. Ensure nothing is missed during the AUDIT phase.</w:t>
      </w:r>
    </w:p>
    <w:p/>
    <w:p>
      <w:pPr>
        <w:pStyle w:val="Heading2"/>
      </w:pPr>
      <w:r>
        <w:t>Command Quick Reference</w:t>
      </w:r>
    </w:p>
    <w:p>
      <w:r>
        <w:t>Printable command reference cards for your desk. Quick access to all AIXORD commands during sessions.</w:t>
      </w:r>
    </w:p>
    <w:p/>
    <w:p>
      <w:pPr>
        <w:pStyle w:val="Heading2"/>
      </w:pPr>
      <w:r>
        <w:t>Project Starter Kits</w:t>
      </w:r>
    </w:p>
    <w:p>
      <w:r>
        <w:t>Complete starter kits for common project types. Begin with proven structures rather than starting from scratch.</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