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for DeepSeek Users</w:t>
      </w:r>
    </w:p>
    <w:p/>
    <w:p>
      <w:pPr>
        <w:jc w:val="center"/>
      </w:pPr>
      <w:r>
        <w:t>AI Governance Optimized for DeepSeek</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for DeepSeek Users</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guide is specifically optimized for DeepSeek users. While AIXORD works with any AI platform, each has unique characteristics that affect how governance should be applied. This book covers both the universal AIXORD principles and the specific techniques that work best with DeepSeek.</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t>This edition is specifically written for DeepSeek users, with examples and techniques tailored to that platform. However, the core AIXORD principles apply to any AI system, so you can transfer your knowledge if you switch platforms.</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DeepSeek (chat.deepseek.com)</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DeepSeek.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DeepSeek Tips</w:t>
      </w:r>
    </w:p>
    <w:p>
      <w:r>
        <w:t>This chapter provides tips specifically optimized for DeepSeek. While AIXORD works with any AI platform, each has unique characteristics that affect how governance should be applied. Use these tips to get the most out of your DeepSeek sessions.</w:t>
      </w:r>
    </w:p>
    <w:p/>
    <w:p>
      <w:pPr>
        <w:pStyle w:val="Heading2"/>
      </w:pPr>
      <w:r>
        <w:t>Leverage Deep Reasoning</w:t>
      </w:r>
    </w:p>
    <w:p>
      <w:r>
        <w:t>DeepSeek excels at step-by-step reasoning. For complex problems, ask for detailed reasoning traces. The model will show its work, making it easier to verify logic. Use phrases like "think through this step by step" to activate deep reasoning mode.</w:t>
      </w:r>
    </w:p>
    <w:p/>
    <w:p>
      <w:pPr>
        <w:pStyle w:val="Heading2"/>
      </w:pPr>
      <w:r>
        <w:t>Code Generation Excellence</w:t>
      </w:r>
    </w:p>
    <w:p>
      <w:r>
        <w:t>DeepSeek Coder is optimized for programming. Request complete, production-ready implementations with inline documentation. The model handles complex codebases well and can maintain context across multiple files.</w:t>
      </w:r>
    </w:p>
    <w:p/>
    <w:p>
      <w:pPr>
        <w:pStyle w:val="Heading2"/>
      </w:pPr>
      <w:r>
        <w:t>Knowledge Recency Awareness</w:t>
      </w:r>
    </w:p>
    <w:p>
      <w:r>
        <w:t>DeepSeek training data has a cutoff date. Always verify current versions of APIs, libraries, and pricing. When working with external services, ask the model to note which information may need verification.</w:t>
      </w:r>
    </w:p>
    <w:p/>
    <w:p>
      <w:pPr>
        <w:pStyle w:val="Heading2"/>
      </w:pPr>
      <w:r>
        <w:t>Mathematical Precision</w:t>
      </w:r>
    </w:p>
    <w:p>
      <w:r>
        <w:t>DeepSeek handles complex calculations well. Ask for intermediate steps to verify accuracy. The model can show its mathematical reasoning clearly.</w:t>
      </w:r>
    </w:p>
    <w:p/>
    <w:p>
      <w:pPr>
        <w:pStyle w:val="Heading2"/>
      </w:pPr>
      <w:r>
        <w:t>Cost Efficiency</w:t>
      </w:r>
    </w:p>
    <w:p>
      <w:r>
        <w:t>DeepSeek offers competitive pricing. For large projects, this allows more iterations and experimentation without budget concerns.</w:t>
      </w:r>
    </w:p>
    <w:p/>
    <w:p>
      <w:pPr>
        <w:pStyle w:val="Heading2"/>
      </w:pPr>
      <w:r>
        <w:t>Context Window Usage</w:t>
      </w:r>
    </w:p>
    <w:p>
      <w:r>
        <w:t>DeepSeek handles long contexts well. You can paste full governance documents plus handoffs plus project files without truncation issues.</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