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B6" w:rsidRPr="00C650B6" w:rsidRDefault="00C650B6" w:rsidP="0080480D">
      <w:pPr>
        <w:pStyle w:val="sajatfocim1"/>
      </w:pPr>
      <w:bookmarkStart w:id="0" w:name="_Toc382906717"/>
      <w:r w:rsidRPr="00C650B6">
        <w:t>Nyári</w:t>
      </w:r>
      <w:r w:rsidR="00F258DE">
        <w:t xml:space="preserve"> </w:t>
      </w:r>
      <w:r w:rsidRPr="00C650B6">
        <w:t>időszámítás</w:t>
      </w:r>
      <w:bookmarkEnd w:id="0"/>
    </w:p>
    <w:p w:rsidR="00C650B6" w:rsidRPr="00FE6BF1" w:rsidRDefault="00C650B6" w:rsidP="00FE6BF1">
      <w:pPr>
        <w:shd w:val="clear" w:color="auto" w:fill="FFFFFF"/>
        <w:spacing w:before="0"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bCs/>
          <w:color w:val="000000"/>
          <w:sz w:val="24"/>
          <w:szCs w:val="24"/>
        </w:rPr>
        <w:t>nyári</w:t>
      </w:r>
      <w:r w:rsidR="00F258DE" w:rsidRPr="00FE6BF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bCs/>
          <w:color w:val="000000"/>
          <w:sz w:val="24"/>
          <w:szCs w:val="24"/>
        </w:rPr>
        <w:t>időszámítás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(angol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rövidítése: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DST)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széles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körben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elfogadott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rendszer,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melyben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helyi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időt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órával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előre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állítják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adott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időzóna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idejéhez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képest.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elnevezés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onnan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ered,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hogy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időszámítás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nagyrészt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nyári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időszakra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esik.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Európában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nyári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időszámítás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március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utolsó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vasárnapján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kezdődik</w:t>
      </w:r>
      <w:bookmarkStart w:id="1" w:name="_GoBack"/>
      <w:bookmarkEnd w:id="1"/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és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október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utolsó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vasárnapjáig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tart.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Ennek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megfelelően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minden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évben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más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dátumra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esik,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átállítás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napja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mindig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vasárnap.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óraátállítás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UTC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szerint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hajnali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órakor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történik,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vagyis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Magyarországon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márciusban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helyi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idő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szerint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órakor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előre,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októberben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órakor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vissza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kell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állítani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órákat.</w:t>
      </w:r>
    </w:p>
    <w:p w:rsidR="00F258DE" w:rsidRPr="002031BE" w:rsidRDefault="00F258DE" w:rsidP="002031BE">
      <w:pPr>
        <w:pStyle w:val="sajatalcim1"/>
      </w:pPr>
      <w:bookmarkStart w:id="2" w:name="_Toc382906718"/>
      <w:r w:rsidRPr="002031BE">
        <w:t>Energiamegtakarítás Magyarországon</w:t>
      </w:r>
      <w:bookmarkEnd w:id="2"/>
    </w:p>
    <w:p w:rsidR="00F258DE" w:rsidRPr="00FE6BF1" w:rsidRDefault="00F258DE" w:rsidP="00FE6BF1">
      <w:pPr>
        <w:shd w:val="clear" w:color="auto" w:fill="FFFFFF"/>
        <w:spacing w:before="0"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A hazai villamosenergia-rendszert irányító Magyar Villamosenergia-ipari Átviteli Rendszerirányító </w:t>
      </w:r>
      <w:proofErr w:type="spellStart"/>
      <w:r w:rsidRPr="00FE6BF1">
        <w:rPr>
          <w:rFonts w:ascii="Times New Roman" w:hAnsi="Times New Roman" w:cs="Times New Roman"/>
          <w:color w:val="000000"/>
          <w:sz w:val="24"/>
          <w:szCs w:val="24"/>
        </w:rPr>
        <w:t>Zrt</w:t>
      </w:r>
      <w:proofErr w:type="spellEnd"/>
      <w:r w:rsidRPr="00FE6BF1">
        <w:rPr>
          <w:rFonts w:ascii="Times New Roman" w:hAnsi="Times New Roman" w:cs="Times New Roman"/>
          <w:color w:val="000000"/>
          <w:sz w:val="24"/>
          <w:szCs w:val="24"/>
        </w:rPr>
        <w:t>. (MAVIR) szakemberei 1949 óta gyűjtik és elemzik a mindenkori fogyasztási adatokat. A MAVIR 2012-es közleménye szerint az óraátállításoknak köszönhetően éves szinten mintegy 120 gigawattórával (</w:t>
      </w:r>
      <w:proofErr w:type="spellStart"/>
      <w:r w:rsidRPr="00FE6BF1">
        <w:rPr>
          <w:rFonts w:ascii="Times New Roman" w:hAnsi="Times New Roman" w:cs="Times New Roman"/>
          <w:color w:val="000000"/>
          <w:sz w:val="24"/>
          <w:szCs w:val="24"/>
        </w:rPr>
        <w:t>GWh</w:t>
      </w:r>
      <w:proofErr w:type="spellEnd"/>
      <w:r w:rsidRPr="00FE6BF1">
        <w:rPr>
          <w:rFonts w:ascii="Times New Roman" w:hAnsi="Times New Roman" w:cs="Times New Roman"/>
          <w:color w:val="000000"/>
          <w:sz w:val="24"/>
          <w:szCs w:val="24"/>
        </w:rPr>
        <w:t>) kevesebb áramot használ fel az ország, ami 30-40 ezer háztartás éves fogyasztásának felel meg.</w:t>
      </w:r>
    </w:p>
    <w:p w:rsidR="005A761C" w:rsidRPr="002031BE" w:rsidRDefault="005A761C" w:rsidP="002031BE">
      <w:pPr>
        <w:pStyle w:val="sajatalcim1"/>
      </w:pPr>
      <w:bookmarkStart w:id="3" w:name="_Toc382906719"/>
      <w:r w:rsidRPr="002031BE">
        <w:t>Hasznos</w:t>
      </w:r>
      <w:r w:rsidR="00F258DE" w:rsidRPr="002031BE">
        <w:t xml:space="preserve"> </w:t>
      </w:r>
      <w:r w:rsidRPr="002031BE">
        <w:t>vagy</w:t>
      </w:r>
      <w:r w:rsidR="00F258DE" w:rsidRPr="002031BE">
        <w:t xml:space="preserve"> </w:t>
      </w:r>
      <w:r w:rsidRPr="002031BE">
        <w:t>káros?</w:t>
      </w:r>
      <w:bookmarkEnd w:id="3"/>
    </w:p>
    <w:p w:rsidR="005A761C" w:rsidRPr="00FE6BF1" w:rsidRDefault="005A761C" w:rsidP="00FE6BF1">
      <w:pPr>
        <w:shd w:val="clear" w:color="auto" w:fill="FFFFFF"/>
        <w:spacing w:before="0"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nyári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időszámítás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20.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század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elején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történt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bevezetése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</w:t>
      </w:r>
      <w:r w:rsidR="00E8046F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folyamatosan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vita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zajlik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eljárás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kellően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hasznos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voltáról,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illetve,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hogy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előnyös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vonások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ellensúlyozzák-e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hátrányokat.</w:t>
      </w:r>
    </w:p>
    <w:p w:rsidR="005A761C" w:rsidRPr="006F4A30" w:rsidRDefault="005A761C" w:rsidP="006F4A30">
      <w:pPr>
        <w:pStyle w:val="sajatalcim2"/>
      </w:pPr>
      <w:bookmarkStart w:id="4" w:name="_Toc382906720"/>
      <w:r w:rsidRPr="006F4A30">
        <w:t>Előnyök</w:t>
      </w:r>
      <w:bookmarkEnd w:id="4"/>
    </w:p>
    <w:p w:rsidR="005A761C" w:rsidRPr="00DB7BE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legtöbb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dolgozó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ember,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akik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túlnyomó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többsége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nappali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műszakban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dolgozik,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előnynek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tartja,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hogy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délután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tovább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van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világos,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és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szabadidő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eltöltésének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lehetősége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szabadban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egy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órával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meghosszabbodik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hosszabb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ideig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tartó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világosság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miatt.</w:t>
      </w:r>
    </w:p>
    <w:p w:rsidR="005A761C" w:rsidRPr="00DB7BE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7BEC">
        <w:rPr>
          <w:rFonts w:ascii="Times New Roman" w:hAnsi="Times New Roman" w:cs="Times New Roman"/>
          <w:color w:val="000000"/>
          <w:sz w:val="24"/>
          <w:szCs w:val="24"/>
        </w:rPr>
        <w:t>Csökken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délutáni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szürkület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miatt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bekövetkező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közúti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balesetek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száma.</w:t>
      </w:r>
    </w:p>
    <w:p w:rsidR="005A761C" w:rsidRPr="00DB7BE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családtagok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hosszabb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időt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tudnak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együtt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eltölteni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szabadban,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ez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javítja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családon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belüli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kapcsolatokat,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szülő-gyermek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viszonyt.</w:t>
      </w:r>
    </w:p>
    <w:p w:rsidR="005A761C" w:rsidRPr="00DB7BE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7BEC">
        <w:rPr>
          <w:rFonts w:ascii="Times New Roman" w:hAnsi="Times New Roman" w:cs="Times New Roman"/>
          <w:color w:val="000000"/>
          <w:sz w:val="24"/>
          <w:szCs w:val="24"/>
        </w:rPr>
        <w:t>Ha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család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több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időt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tölt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szabadban,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otthon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kevesebb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áramot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fogyaszt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(feltéve,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hogy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olyankor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tévé,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számítógép,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hifi,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légkondicionáló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ki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van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kapcsolva).</w:t>
      </w:r>
    </w:p>
    <w:p w:rsidR="005A761C" w:rsidRPr="00DB7BE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kevesebb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mesterséges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világítás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miatt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energiamegtakarítás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jelentkezik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országos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szinten.</w:t>
      </w:r>
    </w:p>
    <w:p w:rsidR="005A761C" w:rsidRPr="00DB7BE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turizmusból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származó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bevétel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növekszik,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mivel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turistáknak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több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idejük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van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pénzüket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nappali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tevékenység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közben</w:t>
      </w:r>
      <w:r w:rsidR="00F258DE"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>elkölteni.</w:t>
      </w:r>
    </w:p>
    <w:p w:rsidR="005A761C" w:rsidRPr="002031BE" w:rsidRDefault="005A761C" w:rsidP="007B1CD5">
      <w:pPr>
        <w:pStyle w:val="sajatalcim2"/>
      </w:pPr>
      <w:bookmarkStart w:id="5" w:name="_Toc382906721"/>
      <w:r w:rsidRPr="002031BE">
        <w:t>Hátrányok</w:t>
      </w:r>
      <w:bookmarkEnd w:id="5"/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ellenzők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egy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része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szerint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energiamegtakarítás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nem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jelentős.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emberi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egészségre,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közérzetre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rövid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távon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hátrányos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hatású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óra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átállítása.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átállítás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időszakában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közúti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balesetek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száma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megugrik.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Kényelmetlen,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és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zavart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okoz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különféle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elektronikus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berendezések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óráinak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átállítása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évente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kétszer.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B28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Magyar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Államvasutak</w:t>
      </w:r>
      <w:r w:rsidR="00F258DE" w:rsidRPr="00FB28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jelenlegi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gyakorlata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szerint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őszi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óraátállításkor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vonatok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órát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vesztegelnek.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szezonális</w:t>
      </w:r>
      <w:r w:rsidR="00F258DE" w:rsidRPr="00FB28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depresszióban</w:t>
      </w:r>
      <w:r w:rsidR="00F258DE" w:rsidRPr="00FB28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szenvedőknek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kedvezőtlen,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hogy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reggelek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újra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sötétek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(ezt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nem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ellensúlyozza,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hogy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esténként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tovább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van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világos).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Ha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állatok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fejési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idején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változtatnak,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hátrányosan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érinti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lefejt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tej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mennyiségét.</w:t>
      </w:r>
    </w:p>
    <w:p w:rsidR="00FE6D07" w:rsidRDefault="00FE6D07">
      <w:pP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4"/>
          <w:lang w:eastAsia="hu-HU"/>
        </w:rPr>
      </w:pPr>
      <w:r>
        <w:br w:type="page"/>
      </w:r>
    </w:p>
    <w:p w:rsidR="005A761C" w:rsidRDefault="00F258DE" w:rsidP="00DB7BEC">
      <w:pPr>
        <w:pStyle w:val="sajatalcim1"/>
      </w:pPr>
      <w:bookmarkStart w:id="6" w:name="_Toc382906722"/>
      <w:r w:rsidRPr="00F258DE">
        <w:lastRenderedPageBreak/>
        <w:t>Egészségügyi</w:t>
      </w:r>
      <w:r>
        <w:t xml:space="preserve"> </w:t>
      </w:r>
      <w:r w:rsidRPr="00F258DE">
        <w:t>vonatkozások</w:t>
      </w:r>
      <w:bookmarkEnd w:id="6"/>
    </w:p>
    <w:p w:rsidR="005A761C" w:rsidRPr="00FE6BF1" w:rsidRDefault="005A761C" w:rsidP="00FE6BF1">
      <w:pPr>
        <w:shd w:val="clear" w:color="auto" w:fill="FFFFFF"/>
        <w:spacing w:before="0"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6BF1">
        <w:rPr>
          <w:rFonts w:ascii="Times New Roman" w:hAnsi="Times New Roman" w:cs="Times New Roman"/>
          <w:color w:val="000000"/>
          <w:sz w:val="24"/>
          <w:szCs w:val="24"/>
        </w:rPr>
        <w:t>Sokak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számára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óraátállítás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akár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1-2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hétig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tartó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kellemetlen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közérzettel,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fejfájással,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figyelmetlenséggel,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csökkent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koncentrálóképességgel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jár,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mivel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ember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belső,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biológiai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óráját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nem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lehet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egy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pillanat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alatt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átállítani.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alvási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ciklus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felborul,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ember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este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nem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tud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elaludni,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reggel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pedig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kialvatlanul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ébred.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tavaszi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óraátállítás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utáni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három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napban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jelentősen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megnövekszik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infarktusos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esetek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száma.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8046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őszi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visszaállításkor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hasonló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mértékben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csökken</w:t>
      </w:r>
      <w:r w:rsidR="00E804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tavasszal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néhány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napig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(egyénenként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változó)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reggelente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jellemző,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hogy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8" w:tooltip="Melatonin" w:history="1">
        <w:proofErr w:type="spellStart"/>
        <w:r w:rsidRPr="00FE6BF1">
          <w:rPr>
            <w:rFonts w:ascii="Times New Roman" w:hAnsi="Times New Roman" w:cs="Times New Roman"/>
            <w:color w:val="000000"/>
            <w:sz w:val="24"/>
            <w:szCs w:val="24"/>
          </w:rPr>
          <w:t>melatonintermelés</w:t>
        </w:r>
        <w:proofErr w:type="spellEnd"/>
      </w:hyperlink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még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nem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állt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át,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6BF1">
        <w:rPr>
          <w:rFonts w:ascii="Times New Roman" w:hAnsi="Times New Roman" w:cs="Times New Roman"/>
          <w:color w:val="000000"/>
          <w:sz w:val="24"/>
          <w:szCs w:val="24"/>
        </w:rPr>
        <w:t>glükokortikoidszint</w:t>
      </w:r>
      <w:proofErr w:type="spellEnd"/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alacsony.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vércukorszint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még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alvási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időnek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megfelelő,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ami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nem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elég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nappali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aktivitáshoz.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csecsemők,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gyerekek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és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idősek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szervezete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nehezebben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alkalmazkodik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óraátállításhoz.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Különösen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megterhelő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évi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kétszeri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óraátállítás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alvászavarokkal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küzdő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és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szervi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betegségekben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szenvedő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embereknek.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Amíg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belső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és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külső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óra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nem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kerül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összhangba,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tünetek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léphetnek</w:t>
      </w:r>
      <w:r w:rsidR="00F258DE" w:rsidRPr="00FE6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6BF1">
        <w:rPr>
          <w:rFonts w:ascii="Times New Roman" w:hAnsi="Times New Roman" w:cs="Times New Roman"/>
          <w:color w:val="000000"/>
          <w:sz w:val="24"/>
          <w:szCs w:val="24"/>
        </w:rPr>
        <w:t>fel: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Alvászavarok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Fáradtság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Depresszív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hangulat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szívfrekvencia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ingadozása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koncentrálóképesség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csökkenése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Ingerültség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Étvágytalanság</w:t>
      </w:r>
    </w:p>
    <w:p w:rsidR="005A761C" w:rsidRPr="005A761C" w:rsidRDefault="005A761C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761C">
        <w:rPr>
          <w:rFonts w:ascii="Times New Roman" w:hAnsi="Times New Roman" w:cs="Times New Roman"/>
          <w:color w:val="000000"/>
          <w:sz w:val="24"/>
          <w:szCs w:val="24"/>
        </w:rPr>
        <w:t>Emésztési</w:t>
      </w:r>
      <w:r w:rsidR="00F25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761C">
        <w:rPr>
          <w:rFonts w:ascii="Times New Roman" w:hAnsi="Times New Roman" w:cs="Times New Roman"/>
          <w:color w:val="000000"/>
          <w:sz w:val="24"/>
          <w:szCs w:val="24"/>
        </w:rPr>
        <w:t>problémák</w:t>
      </w:r>
    </w:p>
    <w:p w:rsidR="0037773F" w:rsidRPr="0037773F" w:rsidRDefault="0037773F" w:rsidP="00DB7BEC">
      <w:pPr>
        <w:pStyle w:val="sajatalcim1"/>
      </w:pPr>
      <w:bookmarkStart w:id="7" w:name="_Toc382906723"/>
      <w:r w:rsidRPr="0037773F">
        <w:t>Tanácsok az átálláshoz</w:t>
      </w:r>
      <w:bookmarkEnd w:id="7"/>
    </w:p>
    <w:p w:rsidR="0037773F" w:rsidRPr="0037773F" w:rsidRDefault="0037773F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73F">
        <w:rPr>
          <w:rFonts w:ascii="Times New Roman" w:hAnsi="Times New Roman" w:cs="Times New Roman"/>
          <w:color w:val="000000"/>
          <w:sz w:val="24"/>
          <w:szCs w:val="24"/>
        </w:rPr>
        <w:t>A szabadban végzett reggeli könnyű futás vagy gyors séta növeli a</w:t>
      </w:r>
      <w:r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9" w:tooltip="Szerotonin" w:history="1">
        <w:r w:rsidRPr="0037773F">
          <w:rPr>
            <w:rFonts w:ascii="Times New Roman" w:hAnsi="Times New Roman" w:cs="Times New Roman"/>
            <w:color w:val="000000"/>
            <w:sz w:val="24"/>
            <w:szCs w:val="24"/>
          </w:rPr>
          <w:t>szerotonin</w:t>
        </w:r>
      </w:hyperlink>
      <w:r w:rsidRPr="00DB7B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73F">
        <w:rPr>
          <w:rFonts w:ascii="Times New Roman" w:hAnsi="Times New Roman" w:cs="Times New Roman"/>
          <w:color w:val="000000"/>
          <w:sz w:val="24"/>
          <w:szCs w:val="24"/>
        </w:rPr>
        <w:t>előállítását az agyban, ami elősegíti a megváltozott külső ciklushoz való igazodást.</w:t>
      </w:r>
    </w:p>
    <w:p w:rsidR="0037773F" w:rsidRPr="0037773F" w:rsidRDefault="0037773F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73F">
        <w:rPr>
          <w:rFonts w:ascii="Times New Roman" w:hAnsi="Times New Roman" w:cs="Times New Roman"/>
          <w:color w:val="000000"/>
          <w:sz w:val="24"/>
          <w:szCs w:val="24"/>
        </w:rPr>
        <w:t>A reggeli sötétségben az erős mesterséges fény alkalmazása meggyorsítja a belső óra fényhez való szinkronizálását.</w:t>
      </w:r>
    </w:p>
    <w:p w:rsidR="0037773F" w:rsidRPr="0037773F" w:rsidRDefault="0037773F" w:rsidP="00FB2864">
      <w:pPr>
        <w:pStyle w:val="Listaszerbekezds"/>
        <w:numPr>
          <w:ilvl w:val="0"/>
          <w:numId w:val="6"/>
        </w:numPr>
        <w:shd w:val="clear" w:color="auto" w:fill="FFFFFF"/>
        <w:spacing w:before="0" w:after="0" w:line="240" w:lineRule="auto"/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73F">
        <w:rPr>
          <w:rFonts w:ascii="Times New Roman" w:hAnsi="Times New Roman" w:cs="Times New Roman"/>
          <w:color w:val="000000"/>
          <w:sz w:val="24"/>
          <w:szCs w:val="24"/>
        </w:rPr>
        <w:t>Az óraátállítást követő 10 napban legyünk különösen óvatosak és körültekintőek a közlekedésben, és a balesetveszélyes otthoni elfoglaltságokat is kerüljük (például ablakmosás).</w:t>
      </w:r>
    </w:p>
    <w:p w:rsidR="00C87742" w:rsidRPr="005A761C" w:rsidRDefault="007A61CB" w:rsidP="007A61CB">
      <w:pPr>
        <w:pStyle w:val="sajatalcim1"/>
      </w:pPr>
      <w:bookmarkStart w:id="8" w:name="_Toc382906724"/>
      <w:r>
        <w:t>A nyári időszámítás alkalmazása</w:t>
      </w:r>
      <w:r w:rsidR="002031BE">
        <w:t xml:space="preserve"> az</w:t>
      </w:r>
      <w:r w:rsidR="00FE6D07">
        <w:t xml:space="preserve"> egyes országokban</w:t>
      </w:r>
      <w:bookmarkEnd w:id="8"/>
    </w:p>
    <w:p w:rsidR="00C650B6" w:rsidRPr="005A761C" w:rsidRDefault="007A61CB" w:rsidP="007A61CB">
      <w:pPr>
        <w:spacing w:before="0"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400000" cy="2392648"/>
            <wp:effectExtent l="19050" t="0" r="0" b="0"/>
            <wp:docPr id="2" name="Kép 1" descr="DaylightSaving-World-Subdivi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lightSaving-World-Subdivision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850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"/>
        <w:gridCol w:w="2268"/>
        <w:gridCol w:w="567"/>
        <w:gridCol w:w="2268"/>
        <w:gridCol w:w="567"/>
        <w:gridCol w:w="2268"/>
      </w:tblGrid>
      <w:tr w:rsidR="00FE6D07" w:rsidTr="00FE6D07">
        <w:trPr>
          <w:trHeight w:hRule="exact" w:val="567"/>
        </w:trPr>
        <w:tc>
          <w:tcPr>
            <w:tcW w:w="567" w:type="dxa"/>
            <w:shd w:val="clear" w:color="auto" w:fill="0070C0"/>
            <w:vAlign w:val="center"/>
          </w:tcPr>
          <w:p w:rsidR="00FE6D07" w:rsidRPr="00FE6D07" w:rsidRDefault="00FE6D07" w:rsidP="00FE6D07">
            <w:pPr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E6D07" w:rsidRPr="00373849" w:rsidRDefault="00FE6D07" w:rsidP="00FE6D07">
            <w:pPr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73849">
              <w:rPr>
                <w:rFonts w:ascii="Times New Roman" w:hAnsi="Times New Roman" w:cs="Times New Roman"/>
                <w:sz w:val="16"/>
                <w:szCs w:val="16"/>
              </w:rPr>
              <w:t>alkalmazzák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FE6D07" w:rsidRPr="00FE6D07" w:rsidRDefault="00FE6D07" w:rsidP="00FE6D07">
            <w:pPr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E6D07" w:rsidRPr="00373849" w:rsidRDefault="00FE6D07" w:rsidP="00FE6D07">
            <w:pPr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73849">
              <w:rPr>
                <w:rFonts w:ascii="Times New Roman" w:hAnsi="Times New Roman" w:cs="Times New Roman"/>
                <w:sz w:val="16"/>
                <w:szCs w:val="16"/>
              </w:rPr>
              <w:t>soha nem alkalmazták</w:t>
            </w:r>
          </w:p>
        </w:tc>
        <w:tc>
          <w:tcPr>
            <w:tcW w:w="567" w:type="dxa"/>
            <w:shd w:val="clear" w:color="auto" w:fill="F79646" w:themeFill="accent6"/>
            <w:vAlign w:val="center"/>
          </w:tcPr>
          <w:p w:rsidR="00FE6D07" w:rsidRPr="00FE6D07" w:rsidRDefault="00FE6D07" w:rsidP="00FE6D07">
            <w:pPr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E6D07" w:rsidRPr="00373849" w:rsidRDefault="00FE6D07" w:rsidP="00FE6D07">
            <w:pPr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373849">
              <w:rPr>
                <w:rFonts w:ascii="Times New Roman" w:hAnsi="Times New Roman" w:cs="Times New Roman"/>
                <w:sz w:val="16"/>
                <w:szCs w:val="16"/>
              </w:rPr>
              <w:t>régebben alkalmazták, de ma már nem alkalmazzák</w:t>
            </w:r>
          </w:p>
        </w:tc>
      </w:tr>
    </w:tbl>
    <w:p w:rsidR="00C650B6" w:rsidRPr="005A761C" w:rsidRDefault="00C650B6" w:rsidP="00866394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C650B6" w:rsidRPr="005A761C" w:rsidSect="00F258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F4D" w:rsidRDefault="00A01F4D" w:rsidP="00866394">
      <w:pPr>
        <w:spacing w:before="0" w:after="0" w:line="240" w:lineRule="auto"/>
      </w:pPr>
      <w:r>
        <w:separator/>
      </w:r>
    </w:p>
  </w:endnote>
  <w:endnote w:type="continuationSeparator" w:id="0">
    <w:p w:rsidR="00A01F4D" w:rsidRDefault="00A01F4D" w:rsidP="008663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94A" w:rsidRDefault="006E194A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94A" w:rsidRDefault="006E194A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94A" w:rsidRDefault="006E194A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F4D" w:rsidRDefault="00A01F4D" w:rsidP="00866394">
      <w:pPr>
        <w:spacing w:before="0" w:after="0" w:line="240" w:lineRule="auto"/>
      </w:pPr>
      <w:r>
        <w:separator/>
      </w:r>
    </w:p>
  </w:footnote>
  <w:footnote w:type="continuationSeparator" w:id="0">
    <w:p w:rsidR="00A01F4D" w:rsidRDefault="00A01F4D" w:rsidP="008663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94A" w:rsidRDefault="006E194A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94A" w:rsidRDefault="006E194A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94A" w:rsidRDefault="006E194A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55FB"/>
    <w:multiLevelType w:val="hybridMultilevel"/>
    <w:tmpl w:val="6B96F72A"/>
    <w:lvl w:ilvl="0" w:tplc="2BFE218C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77694"/>
    <w:multiLevelType w:val="hybridMultilevel"/>
    <w:tmpl w:val="D514E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17EB8"/>
    <w:multiLevelType w:val="multilevel"/>
    <w:tmpl w:val="356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D154DC"/>
    <w:multiLevelType w:val="multilevel"/>
    <w:tmpl w:val="BE2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A25B2E"/>
    <w:multiLevelType w:val="multilevel"/>
    <w:tmpl w:val="9A7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D70D5F"/>
    <w:multiLevelType w:val="multilevel"/>
    <w:tmpl w:val="51F0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 w:grammar="clean"/>
  <w:trackRevision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650B6"/>
    <w:rsid w:val="0000325F"/>
    <w:rsid w:val="00016A15"/>
    <w:rsid w:val="0012492E"/>
    <w:rsid w:val="00140108"/>
    <w:rsid w:val="002031BE"/>
    <w:rsid w:val="00306063"/>
    <w:rsid w:val="00373849"/>
    <w:rsid w:val="0037773F"/>
    <w:rsid w:val="003B148B"/>
    <w:rsid w:val="003C2FCE"/>
    <w:rsid w:val="003D35A8"/>
    <w:rsid w:val="003F7BEF"/>
    <w:rsid w:val="00565A0A"/>
    <w:rsid w:val="005A761C"/>
    <w:rsid w:val="005E0C70"/>
    <w:rsid w:val="0062132E"/>
    <w:rsid w:val="00627774"/>
    <w:rsid w:val="006E194A"/>
    <w:rsid w:val="006F4A30"/>
    <w:rsid w:val="00710D2E"/>
    <w:rsid w:val="007A61CB"/>
    <w:rsid w:val="007B1CD5"/>
    <w:rsid w:val="0080480D"/>
    <w:rsid w:val="00866394"/>
    <w:rsid w:val="00A01F4D"/>
    <w:rsid w:val="00A15A4F"/>
    <w:rsid w:val="00B83D90"/>
    <w:rsid w:val="00B84885"/>
    <w:rsid w:val="00C177D8"/>
    <w:rsid w:val="00C36FE7"/>
    <w:rsid w:val="00C54B30"/>
    <w:rsid w:val="00C56C74"/>
    <w:rsid w:val="00C650B6"/>
    <w:rsid w:val="00C87742"/>
    <w:rsid w:val="00C9691A"/>
    <w:rsid w:val="00CF152C"/>
    <w:rsid w:val="00DB7BEC"/>
    <w:rsid w:val="00E8046F"/>
    <w:rsid w:val="00F258DE"/>
    <w:rsid w:val="00F31C72"/>
    <w:rsid w:val="00FB2864"/>
    <w:rsid w:val="00FE6BF1"/>
    <w:rsid w:val="00FE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before="120" w:after="120" w:line="276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F4A30"/>
  </w:style>
  <w:style w:type="paragraph" w:styleId="Cmsor1">
    <w:name w:val="heading 1"/>
    <w:basedOn w:val="Norml"/>
    <w:link w:val="Cmsor1Char"/>
    <w:uiPriority w:val="9"/>
    <w:qFormat/>
    <w:rsid w:val="00C650B6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A7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76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50B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A7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76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ajatfocim1">
    <w:name w:val="sajatfocim1"/>
    <w:basedOn w:val="Norml"/>
    <w:qFormat/>
    <w:rsid w:val="007B1CD5"/>
    <w:pPr>
      <w:spacing w:before="240" w:after="360" w:line="240" w:lineRule="auto"/>
      <w:ind w:left="0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kern w:val="36"/>
      <w:sz w:val="36"/>
      <w:szCs w:val="24"/>
      <w:lang w:eastAsia="hu-HU"/>
    </w:rPr>
  </w:style>
  <w:style w:type="paragraph" w:customStyle="1" w:styleId="sajatalcim1">
    <w:name w:val="sajatalcim1"/>
    <w:basedOn w:val="Norml"/>
    <w:qFormat/>
    <w:rsid w:val="00FE6BF1"/>
    <w:pPr>
      <w:shd w:val="clear" w:color="auto" w:fill="FFFFFF"/>
      <w:spacing w:before="240" w:line="240" w:lineRule="auto"/>
      <w:ind w:left="0"/>
      <w:jc w:val="both"/>
    </w:pPr>
    <w:rPr>
      <w:rFonts w:ascii="Times New Roman" w:eastAsia="Times New Roman" w:hAnsi="Times New Roman" w:cs="Times New Roman"/>
      <w:b/>
      <w:bCs/>
      <w:smallCaps/>
      <w:color w:val="000000"/>
      <w:sz w:val="28"/>
      <w:szCs w:val="24"/>
      <w:lang w:eastAsia="hu-HU"/>
    </w:rPr>
  </w:style>
  <w:style w:type="paragraph" w:customStyle="1" w:styleId="sajatalcim2">
    <w:name w:val="sajatalcim2"/>
    <w:basedOn w:val="sajatalcim1"/>
    <w:qFormat/>
    <w:rsid w:val="007B1CD5"/>
    <w:pPr>
      <w:spacing w:before="120"/>
      <w:ind w:left="567"/>
    </w:pPr>
    <w:rPr>
      <w:sz w:val="24"/>
    </w:rPr>
  </w:style>
  <w:style w:type="paragraph" w:styleId="Listaszerbekezds">
    <w:name w:val="List Paragraph"/>
    <w:basedOn w:val="Norml"/>
    <w:uiPriority w:val="34"/>
    <w:qFormat/>
    <w:rsid w:val="00DB7BE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A61C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A61CB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7A61C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66394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6639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66394"/>
    <w:rPr>
      <w:vertAlign w:val="superscript"/>
    </w:rPr>
  </w:style>
  <w:style w:type="paragraph" w:styleId="lfej">
    <w:name w:val="header"/>
    <w:basedOn w:val="Norml"/>
    <w:link w:val="lfejChar"/>
    <w:uiPriority w:val="99"/>
    <w:semiHidden/>
    <w:unhideWhenUsed/>
    <w:rsid w:val="006E194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E194A"/>
  </w:style>
  <w:style w:type="paragraph" w:styleId="llb">
    <w:name w:val="footer"/>
    <w:basedOn w:val="Norml"/>
    <w:link w:val="llbChar"/>
    <w:uiPriority w:val="99"/>
    <w:semiHidden/>
    <w:unhideWhenUsed/>
    <w:rsid w:val="006E194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E1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Melatoni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hu.wikipedia.org/wiki/Szerotoni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492A7-1DCC-4DC5-83B5-92C80C27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2014-06-10T07:43:00Z</dcterms:created>
  <dcterms:modified xsi:type="dcterms:W3CDTF">2014-06-10T07:44:00Z</dcterms:modified>
</cp:coreProperties>
</file>