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135" w:rsidRPr="00EC3CF5" w:rsidRDefault="007A0AC1" w:rsidP="00283CCF">
      <w:pPr>
        <w:shd w:val="clear" w:color="auto" w:fill="BFBFBF" w:themeFill="background1" w:themeFillShade="BF"/>
        <w:spacing w:before="0" w:after="200" w:line="240" w:lineRule="auto"/>
        <w:ind w:left="0" w:right="2835" w:firstLine="425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EC3CF5">
        <w:rPr>
          <w:rFonts w:ascii="Times New Roman" w:hAnsi="Times New Roman" w:cs="Times New Roman"/>
          <w:b/>
          <w:sz w:val="40"/>
          <w:szCs w:val="40"/>
        </w:rPr>
        <w:t>Asztrológia</w:t>
      </w:r>
    </w:p>
    <w:p w:rsidR="00775B6E" w:rsidRPr="00EC3CF5" w:rsidRDefault="00775B6E" w:rsidP="00696FEE">
      <w:pPr>
        <w:spacing w:before="0" w:after="0" w:line="240" w:lineRule="auto"/>
        <w:ind w:left="0"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3C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Az</w:t>
      </w:r>
      <w:r w:rsidRPr="00EC3CF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C3CF5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asztrológia</w:t>
      </w:r>
      <w:r w:rsidRPr="00EC3CF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C3C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vagy</w:t>
      </w:r>
      <w:r w:rsidRPr="00EC3CF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C3CF5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csillagjóslás</w:t>
      </w:r>
      <w:r w:rsidRPr="00EC3C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kifejezés a görög</w:t>
      </w:r>
      <w:r w:rsidRPr="00EC3CF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C3CF5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  <w:shd w:val="clear" w:color="auto" w:fill="FFFFFF"/>
        </w:rPr>
        <w:t>asztron</w:t>
      </w:r>
      <w:proofErr w:type="spellEnd"/>
      <w:r w:rsidR="007A0AC1" w:rsidRPr="00EC3CF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A0AC1" w:rsidRPr="004561F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r w:rsidR="007A0AC1" w:rsidRPr="004561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csillag)</w:t>
      </w:r>
      <w:r w:rsidRPr="00EC3C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és</w:t>
      </w:r>
      <w:r w:rsidR="007A0AC1" w:rsidRPr="00EC3CF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C3CF5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  <w:shd w:val="clear" w:color="auto" w:fill="FFFFFF"/>
        </w:rPr>
        <w:t>logosz</w:t>
      </w:r>
      <w:r w:rsidR="007A0AC1" w:rsidRPr="004561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r w:rsidRPr="004561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tudomány</w:t>
      </w:r>
      <w:r w:rsidR="007A0AC1" w:rsidRPr="004561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  <w:r w:rsidRPr="00EC3C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szavakból ered. Az úgynevezett</w:t>
      </w:r>
      <w:r w:rsidR="007A0AC1" w:rsidRPr="00EC3C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9" w:tooltip="Ezoterika" w:history="1">
        <w:r w:rsidRPr="00EC3CF5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ezoterikus tanok</w:t>
        </w:r>
      </w:hyperlink>
      <w:r w:rsidR="007A0AC1" w:rsidRPr="00EC3CF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C3C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egyike, és feladata a bolygók állásából egy adott időpontban bekövetkezett esemény (legtöbbször egy személy születése) sorsának minél pontosabb meghatározása. Tudománytörténeti szempontból a</w:t>
      </w:r>
      <w:r w:rsidR="007A0AC1" w:rsidRPr="00EC3C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0" w:tooltip="Csillagászat" w:history="1">
        <w:r w:rsidRPr="00EC3CF5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csillagászat</w:t>
        </w:r>
      </w:hyperlink>
      <w:r w:rsidR="007A0AC1" w:rsidRPr="00EC3CF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C3C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tudományának előfutára, míg a modern asztrológiát az</w:t>
      </w:r>
      <w:r w:rsidR="007A0AC1" w:rsidRPr="00EC3C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1" w:tooltip="Áltudomány" w:history="1">
        <w:r w:rsidRPr="00EC3CF5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áltudományokhoz</w:t>
        </w:r>
      </w:hyperlink>
      <w:r w:rsidR="007A0AC1" w:rsidRPr="00EC3CF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C3C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sorolják.</w:t>
      </w:r>
    </w:p>
    <w:p w:rsidR="00775B6E" w:rsidRPr="00283CCF" w:rsidRDefault="00775B6E" w:rsidP="00283CCF">
      <w:pPr>
        <w:shd w:val="clear" w:color="auto" w:fill="BFBFBF" w:themeFill="background1" w:themeFillShade="BF"/>
        <w:spacing w:before="200" w:line="240" w:lineRule="auto"/>
        <w:ind w:left="0" w:right="2835" w:firstLine="425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283CCF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Története</w:t>
      </w:r>
    </w:p>
    <w:p w:rsidR="00775B6E" w:rsidRPr="00EC3CF5" w:rsidRDefault="00775B6E" w:rsidP="00696FEE">
      <w:pPr>
        <w:shd w:val="clear" w:color="auto" w:fill="FFFFFF"/>
        <w:spacing w:before="0" w:after="0" w:line="240" w:lineRule="auto"/>
        <w:ind w:left="0" w:firstLine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EC3C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Az asztrológia kialakulását az</w:t>
      </w:r>
      <w:r w:rsidR="007A0AC1" w:rsidRPr="00EC3C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</w:t>
      </w:r>
      <w:hyperlink r:id="rId12" w:tooltip="Európa" w:history="1">
        <w:r w:rsidRPr="00EC3CF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hu-HU"/>
          </w:rPr>
          <w:t>európai</w:t>
        </w:r>
      </w:hyperlink>
      <w:r w:rsidR="007A0AC1" w:rsidRPr="00EC3C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</w:t>
      </w:r>
      <w:r w:rsidRPr="00EC3C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hagyományok elsősorban</w:t>
      </w:r>
      <w:r w:rsidR="007A0AC1" w:rsidRPr="00EC3C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</w:t>
      </w:r>
      <w:hyperlink r:id="rId13" w:tooltip="Mezopotámia" w:history="1">
        <w:r w:rsidRPr="00EC3CF5">
          <w:rPr>
            <w:rFonts w:ascii="Times New Roman" w:eastAsia="Times New Roman" w:hAnsi="Times New Roman" w:cs="Times New Roman"/>
            <w:b/>
            <w:smallCaps/>
            <w:color w:val="000000" w:themeColor="text1"/>
            <w:sz w:val="24"/>
            <w:szCs w:val="24"/>
            <w:lang w:eastAsia="hu-HU"/>
          </w:rPr>
          <w:t>Mezopotámia</w:t>
        </w:r>
      </w:hyperlink>
      <w:r w:rsidR="007A0AC1" w:rsidRPr="00EC3C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</w:t>
      </w:r>
      <w:r w:rsidRPr="004561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(Kr. e. 8. század), </w:t>
      </w:r>
      <w:r w:rsidRPr="00EC3C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illetve</w:t>
      </w:r>
      <w:r w:rsidR="007A0AC1" w:rsidRPr="00EC3C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</w:t>
      </w:r>
      <w:hyperlink r:id="rId14" w:tooltip="Babilónia" w:history="1">
        <w:r w:rsidRPr="00EC3CF5">
          <w:rPr>
            <w:rFonts w:ascii="Times New Roman" w:eastAsia="Times New Roman" w:hAnsi="Times New Roman" w:cs="Times New Roman"/>
            <w:b/>
            <w:smallCaps/>
            <w:color w:val="000000" w:themeColor="text1"/>
            <w:sz w:val="24"/>
            <w:szCs w:val="24"/>
            <w:lang w:eastAsia="hu-HU"/>
          </w:rPr>
          <w:t>Babilónia</w:t>
        </w:r>
      </w:hyperlink>
      <w:r w:rsidR="007A0AC1" w:rsidRPr="00EC3C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</w:t>
      </w:r>
      <w:r w:rsidRPr="004561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(Kr. e. 5. század) </w:t>
      </w:r>
      <w:r w:rsidRPr="00EC3C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papságához kötik. Hasonlóan alakult ki az asztrológia</w:t>
      </w:r>
      <w:r w:rsidR="007A0AC1" w:rsidRPr="00EC3C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</w:t>
      </w:r>
      <w:hyperlink r:id="rId15" w:tooltip="Ókori Egyiptom" w:history="1">
        <w:r w:rsidRPr="00EC3CF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hu-HU"/>
          </w:rPr>
          <w:t>Egyiptomban</w:t>
        </w:r>
      </w:hyperlink>
      <w:r w:rsidR="007A0AC1" w:rsidRPr="00EC3C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</w:t>
      </w:r>
      <w:r w:rsidRPr="00EC3C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és</w:t>
      </w:r>
      <w:r w:rsidR="007A0AC1" w:rsidRPr="00EC3C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</w:t>
      </w:r>
      <w:hyperlink r:id="rId16" w:tooltip="Görögország" w:history="1">
        <w:r w:rsidRPr="00EC3CF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hu-HU"/>
          </w:rPr>
          <w:t>Görögországban</w:t>
        </w:r>
      </w:hyperlink>
      <w:r w:rsidR="007A0AC1" w:rsidRPr="00EC3C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</w:t>
      </w:r>
      <w:r w:rsidRPr="00EC3C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a 2. században. Európán kívül</w:t>
      </w:r>
      <w:r w:rsidR="007A0AC1" w:rsidRPr="00EC3C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</w:t>
      </w:r>
      <w:hyperlink r:id="rId17" w:tooltip="India" w:history="1">
        <w:r w:rsidRPr="00EC3CF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hu-HU"/>
          </w:rPr>
          <w:t>Indiában</w:t>
        </w:r>
      </w:hyperlink>
      <w:r w:rsidRPr="00EC3C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,</w:t>
      </w:r>
      <w:r w:rsidR="007A0AC1" w:rsidRPr="00EC3C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</w:t>
      </w:r>
      <w:hyperlink r:id="rId18" w:tooltip="Kína" w:history="1">
        <w:r w:rsidRPr="00EC3CF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hu-HU"/>
          </w:rPr>
          <w:t>Kínában</w:t>
        </w:r>
      </w:hyperlink>
      <w:r w:rsidRPr="00EC3C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, valamint az</w:t>
      </w:r>
      <w:r w:rsidR="007A0AC1" w:rsidRPr="00EC3C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</w:t>
      </w:r>
      <w:hyperlink r:id="rId19" w:tooltip="Azték Birodalom" w:history="1">
        <w:r w:rsidRPr="00EC3CF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hu-HU"/>
          </w:rPr>
          <w:t>aztékoknál</w:t>
        </w:r>
      </w:hyperlink>
      <w:r w:rsidR="007A0AC1" w:rsidRPr="00EC3C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</w:t>
      </w:r>
      <w:r w:rsidRPr="00EC3C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és a</w:t>
      </w:r>
      <w:r w:rsidR="007A0AC1" w:rsidRPr="00EC3C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</w:t>
      </w:r>
      <w:hyperlink r:id="rId20" w:tooltip="Maja civilizáció" w:history="1">
        <w:r w:rsidRPr="00EC3CF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hu-HU"/>
          </w:rPr>
          <w:t>majáknál</w:t>
        </w:r>
      </w:hyperlink>
      <w:r w:rsidR="007A0AC1" w:rsidRPr="00EC3C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</w:t>
      </w:r>
      <w:r w:rsidRPr="00EC3C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is alkalmazták.</w:t>
      </w:r>
    </w:p>
    <w:p w:rsidR="00775B6E" w:rsidRPr="00EC3CF5" w:rsidRDefault="00775B6E" w:rsidP="00696FEE">
      <w:pPr>
        <w:shd w:val="clear" w:color="auto" w:fill="FFFFFF"/>
        <w:spacing w:before="0" w:after="0" w:line="240" w:lineRule="auto"/>
        <w:ind w:left="0" w:firstLine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EC3C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Az asztrológia szerint a születési horoszkóp </w:t>
      </w:r>
      <w:r w:rsidRPr="004561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(radix)</w:t>
      </w:r>
      <w:r w:rsidRPr="00EC3C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mutatja a személyt legmarkánsabban meghatározó jegyeket, az egyénben rejlő lehetőségeket és az előtte álló feladatokat. Minél pontosabb időt vesz figyelembe a horoszkóp, annál aprólékosabb, részletesebb az eredmény, ezért igen jelentős eltérések mutatkozhatnak a csak a születés hónapját vagy napját figyelembe vevő (úgynevezett) horoszkópok és a percre pontosan kiszámított horoszkópok között, melyek nemcsak a nap pozícióját, hanem az összes asztrológiai objektum helyzetét és kölcsönös elhelyezkedését is figyelembe veszik.</w:t>
      </w:r>
    </w:p>
    <w:p w:rsidR="00775B6E" w:rsidRPr="00283CCF" w:rsidRDefault="00775B6E" w:rsidP="00283CCF">
      <w:pPr>
        <w:shd w:val="clear" w:color="auto" w:fill="BFBFBF" w:themeFill="background1" w:themeFillShade="BF"/>
        <w:spacing w:before="200" w:line="240" w:lineRule="auto"/>
        <w:ind w:left="0" w:right="2835" w:firstLine="425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283CCF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Az év felosztása a nyugati asztrológusok szerint:</w:t>
      </w:r>
    </w:p>
    <w:tbl>
      <w:tblPr>
        <w:tblStyle w:val="Rcsostblzat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  <w:gridCol w:w="1474"/>
        <w:gridCol w:w="1474"/>
        <w:gridCol w:w="1474"/>
        <w:gridCol w:w="1474"/>
        <w:gridCol w:w="1474"/>
      </w:tblGrid>
      <w:tr w:rsidR="009061A6" w:rsidTr="00283CCF">
        <w:trPr>
          <w:trHeight w:hRule="exact" w:val="1474"/>
          <w:jc w:val="center"/>
        </w:trPr>
        <w:tc>
          <w:tcPr>
            <w:tcW w:w="88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061A6" w:rsidRPr="009061A6" w:rsidRDefault="009061A6" w:rsidP="00CE3D9E">
            <w:pPr>
              <w:spacing w:line="187" w:lineRule="atLeast"/>
              <w:ind w:left="0"/>
              <w:jc w:val="center"/>
              <w:outlineLvl w:val="1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eastAsia="hu-HU"/>
              </w:rPr>
              <w:drawing>
                <wp:inline distT="0" distB="0" distL="0" distR="0">
                  <wp:extent cx="5544000" cy="858361"/>
                  <wp:effectExtent l="19050" t="0" r="0" b="0"/>
                  <wp:docPr id="3" name="Kép 2" descr="sor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r1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000" cy="858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112" w:rsidRPr="007C5517" w:rsidTr="00283CCF">
        <w:trPr>
          <w:trHeight w:hRule="exact" w:val="680"/>
          <w:jc w:val="center"/>
        </w:trPr>
        <w:tc>
          <w:tcPr>
            <w:tcW w:w="1474" w:type="dxa"/>
            <w:tcBorders>
              <w:bottom w:val="single" w:sz="24" w:space="0" w:color="auto"/>
            </w:tcBorders>
            <w:vAlign w:val="center"/>
          </w:tcPr>
          <w:p w:rsidR="009061A6" w:rsidRPr="00EC3CF5" w:rsidRDefault="009061A6" w:rsidP="003602E7">
            <w:pPr>
              <w:ind w:left="0"/>
              <w:jc w:val="center"/>
              <w:outlineLvl w:val="1"/>
              <w:rPr>
                <w:rFonts w:ascii="Arial" w:eastAsia="Times New Roman" w:hAnsi="Arial" w:cs="Arial"/>
                <w:b/>
                <w:color w:val="000000" w:themeColor="text1"/>
                <w:sz w:val="18"/>
                <w:szCs w:val="18"/>
                <w:lang w:eastAsia="hu-HU"/>
              </w:rPr>
            </w:pPr>
            <w:r w:rsidRPr="00EC3C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hu-HU"/>
              </w:rPr>
              <w:t>Bak</w:t>
            </w:r>
            <w:r w:rsidRPr="00EC3C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hu-HU"/>
              </w:rPr>
              <w:br/>
              <w:t>XII.22 - I.19.</w:t>
            </w:r>
          </w:p>
        </w:tc>
        <w:tc>
          <w:tcPr>
            <w:tcW w:w="1474" w:type="dxa"/>
            <w:tcBorders>
              <w:bottom w:val="single" w:sz="24" w:space="0" w:color="auto"/>
            </w:tcBorders>
            <w:vAlign w:val="center"/>
          </w:tcPr>
          <w:p w:rsidR="009061A6" w:rsidRPr="00EC3CF5" w:rsidRDefault="00E55112" w:rsidP="003602E7">
            <w:pPr>
              <w:ind w:left="0"/>
              <w:jc w:val="center"/>
              <w:outlineLvl w:val="1"/>
              <w:rPr>
                <w:rFonts w:ascii="Arial" w:eastAsia="Times New Roman" w:hAnsi="Arial" w:cs="Arial"/>
                <w:b/>
                <w:color w:val="000000" w:themeColor="text1"/>
                <w:sz w:val="18"/>
                <w:szCs w:val="18"/>
                <w:lang w:eastAsia="hu-HU"/>
              </w:rPr>
            </w:pPr>
            <w:r w:rsidRPr="00EC3C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hu-HU"/>
              </w:rPr>
              <w:t>Vízöntő</w:t>
            </w:r>
            <w:r w:rsidRPr="00EC3C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hu-HU"/>
              </w:rPr>
              <w:br/>
              <w:t>I.20. - II.19.</w:t>
            </w:r>
          </w:p>
        </w:tc>
        <w:tc>
          <w:tcPr>
            <w:tcW w:w="1474" w:type="dxa"/>
            <w:tcBorders>
              <w:bottom w:val="single" w:sz="24" w:space="0" w:color="auto"/>
            </w:tcBorders>
            <w:vAlign w:val="center"/>
          </w:tcPr>
          <w:p w:rsidR="009061A6" w:rsidRPr="00EC3CF5" w:rsidRDefault="00E55112" w:rsidP="003602E7">
            <w:pPr>
              <w:ind w:left="0"/>
              <w:jc w:val="center"/>
              <w:outlineLvl w:val="1"/>
              <w:rPr>
                <w:rFonts w:ascii="Arial" w:eastAsia="Times New Roman" w:hAnsi="Arial" w:cs="Arial"/>
                <w:b/>
                <w:color w:val="000000" w:themeColor="text1"/>
                <w:sz w:val="18"/>
                <w:szCs w:val="18"/>
                <w:lang w:eastAsia="hu-HU"/>
              </w:rPr>
            </w:pPr>
            <w:r w:rsidRPr="00EC3C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hu-HU"/>
              </w:rPr>
              <w:t>Halak</w:t>
            </w:r>
            <w:r w:rsidRPr="00EC3C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hu-HU"/>
              </w:rPr>
              <w:br/>
              <w:t>II.20. - III.20.</w:t>
            </w:r>
          </w:p>
        </w:tc>
        <w:tc>
          <w:tcPr>
            <w:tcW w:w="1474" w:type="dxa"/>
            <w:tcBorders>
              <w:bottom w:val="single" w:sz="24" w:space="0" w:color="auto"/>
            </w:tcBorders>
            <w:vAlign w:val="center"/>
          </w:tcPr>
          <w:p w:rsidR="009061A6" w:rsidRPr="00EC3CF5" w:rsidRDefault="00E55112" w:rsidP="003602E7">
            <w:pPr>
              <w:ind w:left="0"/>
              <w:jc w:val="center"/>
              <w:outlineLvl w:val="1"/>
              <w:rPr>
                <w:rFonts w:ascii="Arial" w:eastAsia="Times New Roman" w:hAnsi="Arial" w:cs="Arial"/>
                <w:b/>
                <w:color w:val="000000" w:themeColor="text1"/>
                <w:sz w:val="18"/>
                <w:szCs w:val="18"/>
                <w:lang w:eastAsia="hu-HU"/>
              </w:rPr>
            </w:pPr>
            <w:r w:rsidRPr="00EC3C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hu-HU"/>
              </w:rPr>
              <w:t>Kos</w:t>
            </w:r>
            <w:r w:rsidRPr="00EC3C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hu-HU"/>
              </w:rPr>
              <w:br/>
              <w:t>III.21 - IV.19.</w:t>
            </w:r>
          </w:p>
        </w:tc>
        <w:tc>
          <w:tcPr>
            <w:tcW w:w="1474" w:type="dxa"/>
            <w:tcBorders>
              <w:bottom w:val="single" w:sz="24" w:space="0" w:color="auto"/>
            </w:tcBorders>
            <w:vAlign w:val="center"/>
          </w:tcPr>
          <w:p w:rsidR="009061A6" w:rsidRPr="00EC3CF5" w:rsidRDefault="00E55112" w:rsidP="003602E7">
            <w:pPr>
              <w:ind w:left="0"/>
              <w:jc w:val="center"/>
              <w:outlineLvl w:val="1"/>
              <w:rPr>
                <w:rFonts w:ascii="Arial" w:eastAsia="Times New Roman" w:hAnsi="Arial" w:cs="Arial"/>
                <w:b/>
                <w:color w:val="000000" w:themeColor="text1"/>
                <w:sz w:val="18"/>
                <w:szCs w:val="18"/>
                <w:lang w:eastAsia="hu-HU"/>
              </w:rPr>
            </w:pPr>
            <w:r w:rsidRPr="00EC3C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hu-HU"/>
              </w:rPr>
              <w:t>Bika</w:t>
            </w:r>
            <w:r w:rsidRPr="00EC3C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hu-HU"/>
              </w:rPr>
              <w:br/>
              <w:t>IV.20 - V.20.</w:t>
            </w:r>
          </w:p>
        </w:tc>
        <w:tc>
          <w:tcPr>
            <w:tcW w:w="1474" w:type="dxa"/>
            <w:tcBorders>
              <w:bottom w:val="single" w:sz="24" w:space="0" w:color="auto"/>
            </w:tcBorders>
            <w:vAlign w:val="center"/>
          </w:tcPr>
          <w:p w:rsidR="009061A6" w:rsidRPr="00EC3CF5" w:rsidRDefault="00E55112" w:rsidP="003602E7">
            <w:pPr>
              <w:ind w:left="0"/>
              <w:jc w:val="center"/>
              <w:outlineLvl w:val="1"/>
              <w:rPr>
                <w:rFonts w:ascii="Arial" w:eastAsia="Times New Roman" w:hAnsi="Arial" w:cs="Arial"/>
                <w:b/>
                <w:color w:val="000000" w:themeColor="text1"/>
                <w:sz w:val="18"/>
                <w:szCs w:val="18"/>
                <w:lang w:eastAsia="hu-HU"/>
              </w:rPr>
            </w:pPr>
            <w:r w:rsidRPr="00EC3C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hu-HU"/>
              </w:rPr>
              <w:t>Ikrek</w:t>
            </w:r>
            <w:r w:rsidRPr="00EC3C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hu-HU"/>
              </w:rPr>
              <w:br/>
              <w:t>V.21. - V.21.</w:t>
            </w:r>
          </w:p>
        </w:tc>
      </w:tr>
      <w:tr w:rsidR="00E55112" w:rsidTr="00283CCF">
        <w:trPr>
          <w:trHeight w:hRule="exact" w:val="1474"/>
          <w:jc w:val="center"/>
        </w:trPr>
        <w:tc>
          <w:tcPr>
            <w:tcW w:w="8844" w:type="dxa"/>
            <w:gridSpan w:val="6"/>
            <w:tcBorders>
              <w:top w:val="single" w:sz="24" w:space="0" w:color="auto"/>
              <w:left w:val="nil"/>
              <w:right w:val="nil"/>
            </w:tcBorders>
            <w:vAlign w:val="center"/>
          </w:tcPr>
          <w:p w:rsidR="00E55112" w:rsidRDefault="00E55112" w:rsidP="00CE3D9E">
            <w:pPr>
              <w:spacing w:line="187" w:lineRule="atLeast"/>
              <w:ind w:left="0"/>
              <w:jc w:val="center"/>
              <w:outlineLvl w:val="1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eastAsia="hu-HU"/>
              </w:rPr>
              <w:drawing>
                <wp:inline distT="0" distB="0" distL="0" distR="0">
                  <wp:extent cx="5544000" cy="858361"/>
                  <wp:effectExtent l="19050" t="0" r="0" b="0"/>
                  <wp:docPr id="5" name="Kép 4" descr="sor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r2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000" cy="858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112" w:rsidRPr="007C5517" w:rsidTr="00283CCF">
        <w:trPr>
          <w:trHeight w:hRule="exact" w:val="680"/>
          <w:jc w:val="center"/>
        </w:trPr>
        <w:tc>
          <w:tcPr>
            <w:tcW w:w="1474" w:type="dxa"/>
            <w:vAlign w:val="center"/>
          </w:tcPr>
          <w:p w:rsidR="009061A6" w:rsidRPr="00EC3CF5" w:rsidRDefault="00E55112" w:rsidP="003602E7">
            <w:pPr>
              <w:ind w:left="0"/>
              <w:jc w:val="center"/>
              <w:outlineLvl w:val="1"/>
              <w:rPr>
                <w:rFonts w:ascii="Arial" w:eastAsia="Times New Roman" w:hAnsi="Arial" w:cs="Arial"/>
                <w:b/>
                <w:color w:val="000000" w:themeColor="text1"/>
                <w:sz w:val="18"/>
                <w:szCs w:val="18"/>
                <w:lang w:eastAsia="hu-HU"/>
              </w:rPr>
            </w:pPr>
            <w:r w:rsidRPr="00EC3C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hu-HU"/>
              </w:rPr>
              <w:t>Rák</w:t>
            </w:r>
            <w:r w:rsidRPr="00EC3C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hu-HU"/>
              </w:rPr>
              <w:br/>
              <w:t>VI.22. - VII.22.</w:t>
            </w:r>
          </w:p>
        </w:tc>
        <w:tc>
          <w:tcPr>
            <w:tcW w:w="1474" w:type="dxa"/>
            <w:vAlign w:val="center"/>
          </w:tcPr>
          <w:p w:rsidR="009061A6" w:rsidRPr="00EC3CF5" w:rsidRDefault="00E55112" w:rsidP="003602E7">
            <w:pPr>
              <w:ind w:left="0"/>
              <w:jc w:val="center"/>
              <w:outlineLvl w:val="1"/>
              <w:rPr>
                <w:rFonts w:ascii="Arial" w:eastAsia="Times New Roman" w:hAnsi="Arial" w:cs="Arial"/>
                <w:b/>
                <w:color w:val="000000" w:themeColor="text1"/>
                <w:sz w:val="18"/>
                <w:szCs w:val="18"/>
                <w:lang w:eastAsia="hu-HU"/>
              </w:rPr>
            </w:pPr>
            <w:r w:rsidRPr="00EC3C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hu-HU"/>
              </w:rPr>
              <w:t>Oroszlán</w:t>
            </w:r>
            <w:r w:rsidRPr="00EC3C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hu-HU"/>
              </w:rPr>
              <w:br/>
              <w:t>VII.23. - VIII.22.</w:t>
            </w:r>
          </w:p>
        </w:tc>
        <w:tc>
          <w:tcPr>
            <w:tcW w:w="1474" w:type="dxa"/>
            <w:vAlign w:val="center"/>
          </w:tcPr>
          <w:p w:rsidR="009061A6" w:rsidRPr="00EC3CF5" w:rsidRDefault="00E55112" w:rsidP="003602E7">
            <w:pPr>
              <w:ind w:left="0"/>
              <w:jc w:val="center"/>
              <w:outlineLvl w:val="1"/>
              <w:rPr>
                <w:rFonts w:ascii="Arial" w:eastAsia="Times New Roman" w:hAnsi="Arial" w:cs="Arial"/>
                <w:b/>
                <w:color w:val="000000" w:themeColor="text1"/>
                <w:sz w:val="18"/>
                <w:szCs w:val="18"/>
                <w:lang w:eastAsia="hu-HU"/>
              </w:rPr>
            </w:pPr>
            <w:r w:rsidRPr="00EC3C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hu-HU"/>
              </w:rPr>
              <w:t>Szűz</w:t>
            </w:r>
            <w:r w:rsidRPr="00EC3C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hu-HU"/>
              </w:rPr>
              <w:br/>
              <w:t>VIII.23. - IX.22.</w:t>
            </w:r>
          </w:p>
        </w:tc>
        <w:tc>
          <w:tcPr>
            <w:tcW w:w="1474" w:type="dxa"/>
            <w:vAlign w:val="center"/>
          </w:tcPr>
          <w:p w:rsidR="009061A6" w:rsidRPr="00EC3CF5" w:rsidRDefault="00E55112" w:rsidP="003602E7">
            <w:pPr>
              <w:ind w:left="0"/>
              <w:jc w:val="center"/>
              <w:outlineLvl w:val="1"/>
              <w:rPr>
                <w:rFonts w:ascii="Arial" w:eastAsia="Times New Roman" w:hAnsi="Arial" w:cs="Arial"/>
                <w:b/>
                <w:color w:val="000000" w:themeColor="text1"/>
                <w:sz w:val="18"/>
                <w:szCs w:val="18"/>
                <w:lang w:eastAsia="hu-HU"/>
              </w:rPr>
            </w:pPr>
            <w:r w:rsidRPr="00EC3C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hu-HU"/>
              </w:rPr>
              <w:t>Mérleg</w:t>
            </w:r>
            <w:r w:rsidRPr="00EC3C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hu-HU"/>
              </w:rPr>
              <w:br/>
              <w:t>IX.23. - X.22.</w:t>
            </w:r>
          </w:p>
        </w:tc>
        <w:tc>
          <w:tcPr>
            <w:tcW w:w="1474" w:type="dxa"/>
            <w:vAlign w:val="center"/>
          </w:tcPr>
          <w:p w:rsidR="009061A6" w:rsidRPr="00EC3CF5" w:rsidRDefault="00E55112" w:rsidP="003602E7">
            <w:pPr>
              <w:ind w:left="0"/>
              <w:jc w:val="center"/>
              <w:outlineLvl w:val="1"/>
              <w:rPr>
                <w:rFonts w:ascii="Arial" w:eastAsia="Times New Roman" w:hAnsi="Arial" w:cs="Arial"/>
                <w:b/>
                <w:color w:val="000000" w:themeColor="text1"/>
                <w:sz w:val="18"/>
                <w:szCs w:val="18"/>
                <w:lang w:eastAsia="hu-HU"/>
              </w:rPr>
            </w:pPr>
            <w:r w:rsidRPr="00EC3C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hu-HU"/>
              </w:rPr>
              <w:t>Skorpió</w:t>
            </w:r>
            <w:r w:rsidRPr="00EC3C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hu-HU"/>
              </w:rPr>
              <w:br/>
              <w:t>X. 23. - XI.21.</w:t>
            </w:r>
          </w:p>
        </w:tc>
        <w:tc>
          <w:tcPr>
            <w:tcW w:w="1474" w:type="dxa"/>
            <w:vAlign w:val="center"/>
          </w:tcPr>
          <w:p w:rsidR="009061A6" w:rsidRPr="00EC3CF5" w:rsidRDefault="00E55112" w:rsidP="003602E7">
            <w:pPr>
              <w:ind w:left="0"/>
              <w:jc w:val="center"/>
              <w:outlineLvl w:val="1"/>
              <w:rPr>
                <w:rFonts w:ascii="Arial" w:eastAsia="Times New Roman" w:hAnsi="Arial" w:cs="Arial"/>
                <w:b/>
                <w:color w:val="000000" w:themeColor="text1"/>
                <w:sz w:val="18"/>
                <w:szCs w:val="18"/>
                <w:lang w:eastAsia="hu-HU"/>
              </w:rPr>
            </w:pPr>
            <w:r w:rsidRPr="00EC3C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hu-HU"/>
              </w:rPr>
              <w:t>Nyilas</w:t>
            </w:r>
            <w:r w:rsidRPr="00EC3CF5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hu-HU"/>
              </w:rPr>
              <w:br/>
              <w:t>XI.22. - XII.21.</w:t>
            </w:r>
          </w:p>
        </w:tc>
      </w:tr>
    </w:tbl>
    <w:p w:rsidR="00666552" w:rsidRPr="00283CCF" w:rsidRDefault="00666552" w:rsidP="00283CCF">
      <w:pPr>
        <w:shd w:val="clear" w:color="auto" w:fill="BFBFBF" w:themeFill="background1" w:themeFillShade="BF"/>
        <w:spacing w:before="200" w:line="240" w:lineRule="auto"/>
        <w:ind w:left="0" w:right="2835" w:firstLine="425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283CCF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Kritikája</w:t>
      </w:r>
    </w:p>
    <w:p w:rsidR="00775B6E" w:rsidRPr="00EC3CF5" w:rsidRDefault="00775B6E" w:rsidP="00696FEE">
      <w:pPr>
        <w:pStyle w:val="NormlWeb"/>
        <w:shd w:val="clear" w:color="auto" w:fill="FFFFFF"/>
        <w:spacing w:before="0" w:beforeAutospacing="0" w:after="0" w:afterAutospacing="0"/>
        <w:ind w:firstLine="425"/>
        <w:jc w:val="both"/>
        <w:rPr>
          <w:color w:val="000000" w:themeColor="text1"/>
        </w:rPr>
      </w:pPr>
      <w:r w:rsidRPr="00EC3CF5">
        <w:rPr>
          <w:color w:val="000000" w:themeColor="text1"/>
        </w:rPr>
        <w:t>Az asztrológia kritikája elsősorban tudományos oldalról történik, és a</w:t>
      </w:r>
      <w:r w:rsidR="007A0AC1" w:rsidRPr="00EC3CF5">
        <w:rPr>
          <w:color w:val="000000" w:themeColor="text1"/>
        </w:rPr>
        <w:t xml:space="preserve"> </w:t>
      </w:r>
      <w:hyperlink r:id="rId23" w:tooltip="Tudományos módszer" w:history="1">
        <w:r w:rsidRPr="00EC3CF5">
          <w:rPr>
            <w:rStyle w:val="Hiperhivatkozs"/>
            <w:color w:val="000000" w:themeColor="text1"/>
            <w:u w:val="none"/>
          </w:rPr>
          <w:t>tudományos módszer</w:t>
        </w:r>
      </w:hyperlink>
      <w:r w:rsidR="007A0AC1" w:rsidRPr="00EC3CF5">
        <w:rPr>
          <w:color w:val="000000" w:themeColor="text1"/>
        </w:rPr>
        <w:t xml:space="preserve"> </w:t>
      </w:r>
      <w:r w:rsidRPr="00EC3CF5">
        <w:rPr>
          <w:color w:val="000000" w:themeColor="text1"/>
        </w:rPr>
        <w:t>elemeit kérik számon. Ennek megfelelően az empirikus igazolást hiányolják és az elméleti problémákat kritizálják.</w:t>
      </w:r>
    </w:p>
    <w:p w:rsidR="00CE3D9E" w:rsidRDefault="00CE3D9E" w:rsidP="00781140">
      <w:pPr>
        <w:ind w:left="0"/>
      </w:pPr>
    </w:p>
    <w:sectPr w:rsidR="00CE3D9E" w:rsidSect="00666552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88B" w:rsidRDefault="00C9688B" w:rsidP="0085569B">
      <w:pPr>
        <w:spacing w:before="0" w:after="0" w:line="240" w:lineRule="auto"/>
      </w:pPr>
      <w:r>
        <w:separator/>
      </w:r>
    </w:p>
  </w:endnote>
  <w:endnote w:type="continuationSeparator" w:id="0">
    <w:p w:rsidR="00C9688B" w:rsidRDefault="00C9688B" w:rsidP="0085569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88B" w:rsidRDefault="00C9688B" w:rsidP="0085569B">
      <w:pPr>
        <w:spacing w:before="0" w:after="0" w:line="240" w:lineRule="auto"/>
      </w:pPr>
      <w:r>
        <w:separator/>
      </w:r>
    </w:p>
  </w:footnote>
  <w:footnote w:type="continuationSeparator" w:id="0">
    <w:p w:rsidR="00C9688B" w:rsidRDefault="00C9688B" w:rsidP="0085569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4474C"/>
    <w:multiLevelType w:val="multilevel"/>
    <w:tmpl w:val="CF46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C67D59"/>
    <w:multiLevelType w:val="hybridMultilevel"/>
    <w:tmpl w:val="46E4ECC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1140"/>
    <w:rsid w:val="00003C25"/>
    <w:rsid w:val="00131420"/>
    <w:rsid w:val="001379EB"/>
    <w:rsid w:val="001C3751"/>
    <w:rsid w:val="001D07A3"/>
    <w:rsid w:val="0026445C"/>
    <w:rsid w:val="00283CCF"/>
    <w:rsid w:val="002D5C25"/>
    <w:rsid w:val="00307A1B"/>
    <w:rsid w:val="00325C0C"/>
    <w:rsid w:val="003602E7"/>
    <w:rsid w:val="003A7A98"/>
    <w:rsid w:val="00401DD9"/>
    <w:rsid w:val="004561F1"/>
    <w:rsid w:val="00482ABA"/>
    <w:rsid w:val="004A6087"/>
    <w:rsid w:val="00515BB7"/>
    <w:rsid w:val="005447DF"/>
    <w:rsid w:val="00592C95"/>
    <w:rsid w:val="00630503"/>
    <w:rsid w:val="00666552"/>
    <w:rsid w:val="00696FEE"/>
    <w:rsid w:val="006A0667"/>
    <w:rsid w:val="00731DB6"/>
    <w:rsid w:val="00775B6E"/>
    <w:rsid w:val="00781140"/>
    <w:rsid w:val="007A0AC1"/>
    <w:rsid w:val="007B72F2"/>
    <w:rsid w:val="007C5517"/>
    <w:rsid w:val="00800C91"/>
    <w:rsid w:val="0085569B"/>
    <w:rsid w:val="008632F7"/>
    <w:rsid w:val="008F74FB"/>
    <w:rsid w:val="00900720"/>
    <w:rsid w:val="009061A6"/>
    <w:rsid w:val="00974880"/>
    <w:rsid w:val="00992A20"/>
    <w:rsid w:val="00A449CE"/>
    <w:rsid w:val="00AD3D85"/>
    <w:rsid w:val="00B568B3"/>
    <w:rsid w:val="00B83DCC"/>
    <w:rsid w:val="00B86135"/>
    <w:rsid w:val="00B928AA"/>
    <w:rsid w:val="00B96199"/>
    <w:rsid w:val="00BD4D11"/>
    <w:rsid w:val="00C87742"/>
    <w:rsid w:val="00C87DB6"/>
    <w:rsid w:val="00C9688B"/>
    <w:rsid w:val="00CE3D9E"/>
    <w:rsid w:val="00D76A49"/>
    <w:rsid w:val="00D80F6F"/>
    <w:rsid w:val="00E46AE8"/>
    <w:rsid w:val="00E55112"/>
    <w:rsid w:val="00E865A2"/>
    <w:rsid w:val="00EC3CF5"/>
    <w:rsid w:val="00EF0390"/>
    <w:rsid w:val="00F2078A"/>
    <w:rsid w:val="00F5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before="120" w:after="120" w:line="276" w:lineRule="auto"/>
        <w:ind w:left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7742"/>
  </w:style>
  <w:style w:type="paragraph" w:styleId="Cmsor2">
    <w:name w:val="heading 2"/>
    <w:basedOn w:val="Norml"/>
    <w:link w:val="Cmsor2Char"/>
    <w:uiPriority w:val="9"/>
    <w:qFormat/>
    <w:rsid w:val="00775B6E"/>
    <w:pPr>
      <w:spacing w:before="100" w:beforeAutospacing="1" w:after="100" w:afterAutospacing="1" w:line="240" w:lineRule="auto"/>
      <w:ind w:lef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75B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75B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781140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78114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81140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1C3751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B8613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apple-converted-space">
    <w:name w:val="apple-converted-space"/>
    <w:basedOn w:val="Bekezdsalapbettpusa"/>
    <w:rsid w:val="00775B6E"/>
  </w:style>
  <w:style w:type="character" w:styleId="Hiperhivatkozs">
    <w:name w:val="Hyperlink"/>
    <w:basedOn w:val="Bekezdsalapbettpusa"/>
    <w:uiPriority w:val="99"/>
    <w:semiHidden/>
    <w:unhideWhenUsed/>
    <w:rsid w:val="00775B6E"/>
    <w:rPr>
      <w:color w:val="0000FF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775B6E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mw-headline">
    <w:name w:val="mw-headline"/>
    <w:basedOn w:val="Bekezdsalapbettpusa"/>
    <w:rsid w:val="00775B6E"/>
  </w:style>
  <w:style w:type="character" w:customStyle="1" w:styleId="mw-editsection">
    <w:name w:val="mw-editsection"/>
    <w:basedOn w:val="Bekezdsalapbettpusa"/>
    <w:rsid w:val="00775B6E"/>
  </w:style>
  <w:style w:type="character" w:customStyle="1" w:styleId="mw-editsection-bracket">
    <w:name w:val="mw-editsection-bracket"/>
    <w:basedOn w:val="Bekezdsalapbettpusa"/>
    <w:rsid w:val="00775B6E"/>
  </w:style>
  <w:style w:type="character" w:customStyle="1" w:styleId="Cmsor4Char">
    <w:name w:val="Címsor 4 Char"/>
    <w:basedOn w:val="Bekezdsalapbettpusa"/>
    <w:link w:val="Cmsor4"/>
    <w:uiPriority w:val="9"/>
    <w:semiHidden/>
    <w:rsid w:val="00775B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75B6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85569B"/>
    <w:pPr>
      <w:spacing w:before="0"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5569B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5569B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696FE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96FEE"/>
  </w:style>
  <w:style w:type="paragraph" w:styleId="llb">
    <w:name w:val="footer"/>
    <w:basedOn w:val="Norml"/>
    <w:link w:val="llbChar"/>
    <w:uiPriority w:val="99"/>
    <w:unhideWhenUsed/>
    <w:rsid w:val="00696FE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96F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hu.wikipedia.org/wiki/Mezopot%C3%A1mia" TargetMode="External"/><Relationship Id="rId18" Type="http://schemas.openxmlformats.org/officeDocument/2006/relationships/hyperlink" Target="http://hu.wikipedia.org/wiki/K%C3%ADna" TargetMode="Externa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footnotes" Target="footnotes.xml"/><Relationship Id="rId12" Type="http://schemas.openxmlformats.org/officeDocument/2006/relationships/hyperlink" Target="http://hu.wikipedia.org/wiki/Eur%C3%B3pa" TargetMode="External"/><Relationship Id="rId17" Type="http://schemas.openxmlformats.org/officeDocument/2006/relationships/hyperlink" Target="http://hu.wikipedia.org/wiki/India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hu.wikipedia.org/wiki/G%C3%B6r%C3%B6gorsz%C3%A1g" TargetMode="External"/><Relationship Id="rId20" Type="http://schemas.openxmlformats.org/officeDocument/2006/relationships/hyperlink" Target="http://hu.wikipedia.org/wiki/Maja_civiliz%C3%A1ci%C3%B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hu.wikipedia.org/wiki/%C3%81ltudom%C3%A1ny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hu.wikipedia.org/wiki/%C3%93kori_Egyiptom" TargetMode="External"/><Relationship Id="rId23" Type="http://schemas.openxmlformats.org/officeDocument/2006/relationships/hyperlink" Target="http://hu.wikipedia.org/wiki/Tudom%C3%A1nyos_m%C3%B3dszer" TargetMode="External"/><Relationship Id="rId10" Type="http://schemas.openxmlformats.org/officeDocument/2006/relationships/hyperlink" Target="http://hu.wikipedia.org/wiki/Csillag%C3%A1szat" TargetMode="External"/><Relationship Id="rId19" Type="http://schemas.openxmlformats.org/officeDocument/2006/relationships/hyperlink" Target="http://hu.wikipedia.org/wiki/Azt%C3%A9k_Birodal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hu.wikipedia.org/wiki/Ezoterika" TargetMode="External"/><Relationship Id="rId14" Type="http://schemas.openxmlformats.org/officeDocument/2006/relationships/hyperlink" Target="http://hu.wikipedia.org/wiki/Babil%C3%B3nia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1E86A5-A080-48B7-B89B-81A3958E3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2013-10-12T12:29:00Z</dcterms:created>
  <dcterms:modified xsi:type="dcterms:W3CDTF">2013-11-27T17:41:00Z</dcterms:modified>
</cp:coreProperties>
</file>