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Módulo de autenticación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Esta aplicación esta pensada para que los usuarios se registren y se autentiquen al acceder a las funcionalidades de ella.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llevar el control de la autenticación en la aplicación, se utilizará un programa de código abierto llamado Keycloak. </w:t>
      </w:r>
    </w:p>
    <w:p>
      <w:pPr>
        <w:rPr>
          <w:rFonts w:hint="default"/>
          <w:lang w:val="es-ES"/>
        </w:rPr>
      </w:pP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Configuración de Keycloak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Una vez arrancado Keycloak en el puerto correspondiente, acceder a la ventana de administración correspondiente. </w:t>
      </w:r>
    </w:p>
    <w:p>
      <w:pPr>
        <w:rPr>
          <w:rFonts w:hint="default"/>
          <w:lang w:val="es-ES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Crear un Realm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Primero de todo hay que crear un Realm. </w:t>
      </w:r>
    </w:p>
    <w:p>
      <w:r>
        <w:drawing>
          <wp:inline distT="0" distB="0" distL="114300" distR="114300">
            <wp:extent cx="2981325" cy="3505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Crear un cliente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Una vez creado el Realm, lo seleccionamos. Dentro de él, debemos crear un cliente: </w:t>
      </w:r>
    </w:p>
    <w:p>
      <w:r>
        <w:drawing>
          <wp:inline distT="0" distB="0" distL="114300" distR="114300">
            <wp:extent cx="5270500" cy="2997835"/>
            <wp:effectExtent l="0" t="0" r="635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61610" cy="1929765"/>
            <wp:effectExtent l="0" t="0" r="1524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5585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465070"/>
            <wp:effectExtent l="0" t="0" r="11430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46630"/>
            <wp:effectExtent l="0" t="0" r="825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Permitir registros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permitir que se registren usuarios nuevos, hay que activar la siguiente opción: </w:t>
      </w:r>
    </w:p>
    <w:p>
      <w:r>
        <w:drawing>
          <wp:inline distT="0" distB="0" distL="114300" distR="114300">
            <wp:extent cx="3731895" cy="2610485"/>
            <wp:effectExtent l="0" t="0" r="1905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Si queremos que se envíe un mail de verificación, se tendrá que activar la opción ‘Verify email’ y configurar el Email en la pestaña ‘Email’: 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69230" cy="4445000"/>
            <wp:effectExtent l="0" t="0" r="762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36215"/>
            <wp:effectExtent l="0" t="0" r="1270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/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Configurar aplicación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Una vez configurado Keycloak, se tiene que configurar la aplicación correspondiente.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En este caso, lo primero que hay que hacer es instalar los siguientes paquetes: </w:t>
      </w:r>
    </w:p>
    <w:p>
      <w:pPr>
        <w:rPr>
          <w:rFonts w:hint="default"/>
          <w:lang w:val="es-ES"/>
        </w:rPr>
      </w:pPr>
    </w:p>
    <w:p>
      <w:pPr>
        <w:rPr>
          <w:rFonts w:hint="default" w:ascii="Source Code Pro" w:hAnsi="Source Code Pro" w:cs="Source Code Pro"/>
          <w:highlight w:val="lightGray"/>
          <w:lang w:val="es-ES"/>
        </w:rPr>
      </w:pPr>
      <w:r>
        <w:rPr>
          <w:rFonts w:hint="default" w:ascii="Source Code Pro" w:hAnsi="Source Code Pro" w:cs="Source Code Pro"/>
          <w:highlight w:val="lightGray"/>
          <w:lang w:val="es-ES"/>
        </w:rPr>
        <w:t>npm install keycloak-js</w:t>
      </w:r>
    </w:p>
    <w:p>
      <w:pPr>
        <w:rPr>
          <w:rFonts w:hint="default" w:ascii="Source Code Pro" w:hAnsi="Source Code Pro"/>
          <w:highlight w:val="lightGray"/>
          <w:lang w:val="es-ES"/>
        </w:rPr>
      </w:pPr>
      <w:r>
        <w:rPr>
          <w:rFonts w:hint="default" w:ascii="Source Code Pro" w:hAnsi="Source Code Pro"/>
          <w:highlight w:val="lightGray"/>
          <w:lang w:val="es-ES"/>
        </w:rPr>
        <w:t>npm install @react-keycloak/web</w:t>
      </w:r>
    </w:p>
    <w:p>
      <w:pPr>
        <w:rPr>
          <w:rFonts w:hint="default" w:ascii="Source Code Pro" w:hAnsi="Source Code Pro"/>
          <w:highlight w:val="lightGray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Una vez instalados los paquetes correspondientes, crearemos el archivo de configuración ‘Keycloak.js’ dentro de la carpeta ‘src/’: </w:t>
      </w:r>
    </w:p>
    <w:p>
      <w:pPr>
        <w:rPr>
          <w:rFonts w:hint="default"/>
          <w:lang w:val="es-ES"/>
        </w:rPr>
      </w:pPr>
    </w:p>
    <w:p>
      <w:pPr>
        <w:pStyle w:val="7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</w:rPr>
      </w:pPr>
      <w:r>
        <w:rPr>
          <w:rFonts w:hint="default" w:ascii="monospace" w:hAnsi="monospace" w:eastAsia="monospace" w:cs="monospace"/>
          <w:color w:val="ED864A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hd w:val="clear" w:fill="131314"/>
        </w:rPr>
        <w:t xml:space="preserve">Keycloak </w:t>
      </w:r>
      <w:r>
        <w:rPr>
          <w:rFonts w:hint="default" w:ascii="monospace" w:hAnsi="monospace" w:eastAsia="monospace" w:cs="monospace"/>
          <w:color w:val="ED864A"/>
          <w:shd w:val="clear" w:fill="131314"/>
        </w:rPr>
        <w:t xml:space="preserve">from </w:t>
      </w:r>
      <w:r>
        <w:rPr>
          <w:rFonts w:hint="default" w:ascii="monospace" w:hAnsi="monospace" w:eastAsia="monospace" w:cs="monospace"/>
          <w:color w:val="54B33E"/>
          <w:shd w:val="clear" w:fill="131314"/>
        </w:rPr>
        <w:t>"keycloak-js"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hd w:val="clear" w:fill="131314"/>
        </w:rPr>
        <w:t xml:space="preserve">export const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hd w:val="clear" w:fill="131314"/>
        </w:rPr>
        <w:t xml:space="preserve">keycloak </w:t>
      </w:r>
      <w:r>
        <w:rPr>
          <w:rFonts w:hint="default" w:ascii="monospace" w:hAnsi="monospace" w:eastAsia="monospace" w:cs="monospace"/>
          <w:color w:val="EBEBEB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ED864A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FFFFFF"/>
          <w:shd w:val="clear" w:fill="131314"/>
        </w:rPr>
        <w:t>Keycloak</w:t>
      </w:r>
      <w:r>
        <w:rPr>
          <w:rFonts w:hint="default" w:ascii="monospace" w:hAnsi="monospace" w:eastAsia="monospace" w:cs="monospace"/>
          <w:color w:val="EBEBEB"/>
          <w:shd w:val="clear" w:fill="131314"/>
        </w:rPr>
        <w:t>({</w:t>
      </w:r>
      <w:r>
        <w:rPr>
          <w:rFonts w:hint="default" w:ascii="monospace" w:hAnsi="monospace" w:eastAsia="monospace" w:cs="monospace"/>
          <w:color w:val="EBEBEB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94FF"/>
          <w:shd w:val="clear" w:fill="131314"/>
        </w:rPr>
        <w:t>url</w:t>
      </w:r>
      <w:r>
        <w:rPr>
          <w:rFonts w:hint="default" w:ascii="monospace" w:hAnsi="monospace" w:eastAsia="monospace" w:cs="monospace"/>
          <w:color w:val="EBEBEB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hd w:val="clear" w:fill="131314"/>
        </w:rPr>
        <w:t>"http://localhost:8080/"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94FF"/>
          <w:shd w:val="clear" w:fill="131314"/>
        </w:rPr>
        <w:t>realm</w:t>
      </w:r>
      <w:r>
        <w:rPr>
          <w:rFonts w:hint="default" w:ascii="monospace" w:hAnsi="monospace" w:eastAsia="monospace" w:cs="monospace"/>
          <w:color w:val="EBEBEB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hd w:val="clear" w:fill="131314"/>
        </w:rPr>
        <w:t>"jcerdar"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94FF"/>
          <w:shd w:val="clear" w:fill="131314"/>
        </w:rPr>
        <w:t>clientId</w:t>
      </w:r>
      <w:r>
        <w:rPr>
          <w:rFonts w:hint="default" w:ascii="monospace" w:hAnsi="monospace" w:eastAsia="monospace" w:cs="monospace"/>
          <w:color w:val="EBEBEB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hd w:val="clear" w:fill="131314"/>
        </w:rPr>
        <w:t>"pescapp-auth"</w:t>
      </w:r>
      <w:r>
        <w:rPr>
          <w:rFonts w:hint="default" w:ascii="monospace" w:hAnsi="monospace" w:eastAsia="monospace" w:cs="monospace"/>
          <w:color w:val="54B33E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hd w:val="clear" w:fill="131314"/>
        </w:rPr>
        <w:t>})</w:t>
      </w:r>
      <w:r>
        <w:rPr>
          <w:rFonts w:hint="default" w:ascii="monospace" w:hAnsi="monospace" w:eastAsia="monospace" w:cs="monospace"/>
          <w:b/>
          <w:bCs/>
          <w:color w:val="ED864A"/>
          <w:shd w:val="clear" w:fill="131314"/>
        </w:rPr>
        <w:t>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En este archivo se indicarán los parámetros de configuración de Keycloak.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Luego, en el componente principal, en nuestro caso ‘App.js’, añadiremos el Provider correspondiente: 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66055" cy="3212465"/>
            <wp:effectExtent l="0" t="0" r="1079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En este caso, se ha marcado como opción inicial que al cargar la aplicación ya se solicite la autenticación.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avid CLM">
    <w:panose1 w:val="02000603000000000000"/>
    <w:charset w:val="00"/>
    <w:family w:val="auto"/>
    <w:pitch w:val="default"/>
    <w:sig w:usb0="80000843" w:usb1="50002842" w:usb2="00000000" w:usb3="00000000" w:csb0="0000002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203030804020204"/>
    <w:charset w:val="00"/>
    <w:family w:val="auto"/>
    <w:pitch w:val="default"/>
    <w:sig w:usb0="E50026FF" w:usb1="5000007B" w:usb2="08004020" w:usb3="00000000" w:csb0="0000019F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Gentium Book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  <w:font w:name="Noto Sans Light">
    <w:panose1 w:val="020B0402040504020204"/>
    <w:charset w:val="00"/>
    <w:family w:val="auto"/>
    <w:pitch w:val="default"/>
    <w:sig w:usb0="E00002FF" w:usb1="4000001F" w:usb2="08000029" w:usb3="001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A8536"/>
    <w:multiLevelType w:val="singleLevel"/>
    <w:tmpl w:val="DB1A85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F7C0E"/>
    <w:rsid w:val="3CB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2024-02-24T10:47:00Z</dcterms:created>
  <dc:creator>Usuario</dc:creator>
  <cp:lastModifiedBy>Josep Cerdà Roscar</cp:lastModifiedBy>
  <dcterms:modified xsi:type="dcterms:W3CDTF">2024-02-24T11:12:44Z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7597FB44702245B3B890FFDBE656F8F7_11</vt:lpwstr>
  </property>
</Properties>
</file>