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66E2" w14:textId="77777777" w:rsidR="00CA3182" w:rsidRDefault="00000000">
      <w:pPr>
        <w:pBdr>
          <w:bottom w:val="single" w:sz="12" w:space="4" w:color="366092"/>
        </w:pBdr>
        <w:spacing w:before="11400" w:after="200"/>
        <w:jc w:val="right"/>
      </w:pPr>
      <w:r>
        <w:rPr>
          <w:b/>
          <w:bCs/>
          <w:color w:val="366092"/>
          <w:sz w:val="24"/>
          <w:szCs w:val="24"/>
        </w:rPr>
        <w:t>ANEJO N.º 6.– RED DE AGUA POTABLE</w:t>
      </w:r>
    </w:p>
    <w:p w14:paraId="1989BD67" w14:textId="77777777" w:rsidR="00CA3182" w:rsidRDefault="00CA3182">
      <w:pPr>
        <w:sectPr w:rsidR="00CA3182">
          <w:headerReference w:type="default" r:id="rId7"/>
          <w:pgSz w:w="11907" w:h="16840"/>
          <w:pgMar w:top="2268" w:right="1134" w:bottom="1440" w:left="1701" w:header="709" w:footer="907" w:gutter="0"/>
          <w:cols w:space="720"/>
          <w:docGrid w:linePitch="360"/>
        </w:sectPr>
      </w:pPr>
    </w:p>
    <w:p w14:paraId="5433CEF7"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lastRenderedPageBreak/>
        <w:t xml:space="preserve">PROYECTO ORDINARIO DE URBANIZACIÓN DE </w:t>
      </w:r>
    </w:p>
    <w:p w14:paraId="6297BC8F"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MEJORA DE LA CARRETERA DE </w:t>
      </w:r>
      <w:proofErr w:type="spellStart"/>
      <w:r>
        <w:rPr>
          <w:b/>
          <w:sz w:val="20"/>
          <w:szCs w:val="24"/>
          <w:lang w:val="es-ES_tradnl"/>
        </w:rPr>
        <w:t>GUADALMAR</w:t>
      </w:r>
      <w:proofErr w:type="spellEnd"/>
      <w:r>
        <w:rPr>
          <w:b/>
          <w:sz w:val="20"/>
          <w:szCs w:val="24"/>
          <w:lang w:val="es-ES_tradnl"/>
        </w:rPr>
        <w:t>, MÁLAGA</w:t>
      </w:r>
    </w:p>
    <w:p w14:paraId="7229AA30" w14:textId="77777777" w:rsidR="00CA3182" w:rsidRDefault="00000000">
      <w:pPr>
        <w:spacing w:before="240" w:after="60"/>
        <w:jc w:val="center"/>
      </w:pPr>
      <w:r>
        <w:rPr>
          <w:b/>
          <w:bCs/>
        </w:rPr>
        <w:t>ANEJO N.º 6.– RED DE AGUA POTABLE</w:t>
      </w:r>
    </w:p>
    <w:p w14:paraId="4372F763" w14:textId="77777777" w:rsidR="00CA3182" w:rsidRDefault="00000000">
      <w:pPr>
        <w:spacing w:after="120"/>
        <w:jc w:val="center"/>
      </w:pPr>
      <w:r>
        <w:rPr>
          <w:b/>
          <w:bCs/>
        </w:rPr>
        <w:t>ÍNDICE</w:t>
      </w:r>
    </w:p>
    <w:sdt>
      <w:sdtPr>
        <w:id w:val="1777975262"/>
      </w:sdtPr>
      <w:sdtContent>
        <w:p w14:paraId="2C8965DC" w14:textId="77777777" w:rsidR="00CA1E7A" w:rsidRDefault="00000000">
          <w:pPr>
            <w:pStyle w:val="TDC2"/>
            <w:tabs>
              <w:tab w:val="right" w:leader="dot" w:pos="9062"/>
            </w:tabs>
            <w:rPr>
              <w:noProof/>
            </w:rPr>
          </w:pPr>
          <w:r>
            <w:fldChar w:fldCharType="begin"/>
          </w:r>
          <w:r>
            <w:instrText>TOC \h \o "1-4"</w:instrText>
          </w:r>
          <w:r>
            <w:fldChar w:fldCharType="separate"/>
          </w:r>
          <w:hyperlink w:anchor="_Toc226615349" w:history="1">
            <w:r w:rsidR="00CA1E7A" w:rsidRPr="00BE5973">
              <w:rPr>
                <w:rStyle w:val="Hipervnculo"/>
                <w:noProof/>
              </w:rPr>
              <w:t>1. OBJETO</w:t>
            </w:r>
            <w:r w:rsidR="00CA1E7A">
              <w:rPr>
                <w:noProof/>
              </w:rPr>
              <w:tab/>
            </w:r>
            <w:r w:rsidR="00CA1E7A">
              <w:rPr>
                <w:noProof/>
              </w:rPr>
              <w:fldChar w:fldCharType="begin"/>
            </w:r>
            <w:r w:rsidR="00CA1E7A">
              <w:rPr>
                <w:noProof/>
              </w:rPr>
              <w:instrText xml:space="preserve"> PAGEREF _Toc226615349 \h </w:instrText>
            </w:r>
            <w:r w:rsidR="00CA1E7A">
              <w:rPr>
                <w:noProof/>
              </w:rPr>
            </w:r>
            <w:r w:rsidR="00CA1E7A">
              <w:rPr>
                <w:noProof/>
              </w:rPr>
              <w:fldChar w:fldCharType="separate"/>
            </w:r>
            <w:r w:rsidR="00CA1E7A">
              <w:rPr>
                <w:noProof/>
              </w:rPr>
              <w:t>1</w:t>
            </w:r>
            <w:r w:rsidR="00CA1E7A">
              <w:rPr>
                <w:noProof/>
              </w:rPr>
              <w:fldChar w:fldCharType="end"/>
            </w:r>
          </w:hyperlink>
        </w:p>
        <w:p w14:paraId="2E157B0B" w14:textId="77777777" w:rsidR="00CA1E7A" w:rsidRDefault="00CA1E7A">
          <w:pPr>
            <w:pStyle w:val="TDC2"/>
            <w:tabs>
              <w:tab w:val="right" w:leader="dot" w:pos="9062"/>
            </w:tabs>
            <w:rPr>
              <w:noProof/>
            </w:rPr>
          </w:pPr>
          <w:hyperlink w:anchor="_Toc226615350" w:history="1">
            <w:r w:rsidRPr="00BE5973">
              <w:rPr>
                <w:rStyle w:val="Hipervnculo"/>
                <w:noProof/>
              </w:rPr>
              <w:t>2. ANTECEDENTES / INFORMACIÓN DE PARTIDA</w:t>
            </w:r>
            <w:r>
              <w:rPr>
                <w:noProof/>
              </w:rPr>
              <w:tab/>
            </w:r>
            <w:r>
              <w:rPr>
                <w:noProof/>
              </w:rPr>
              <w:fldChar w:fldCharType="begin"/>
            </w:r>
            <w:r>
              <w:rPr>
                <w:noProof/>
              </w:rPr>
              <w:instrText xml:space="preserve"> PAGEREF _Toc226615350 \h </w:instrText>
            </w:r>
            <w:r>
              <w:rPr>
                <w:noProof/>
              </w:rPr>
            </w:r>
            <w:r>
              <w:rPr>
                <w:noProof/>
              </w:rPr>
              <w:fldChar w:fldCharType="separate"/>
            </w:r>
            <w:r>
              <w:rPr>
                <w:noProof/>
              </w:rPr>
              <w:t>1</w:t>
            </w:r>
            <w:r>
              <w:rPr>
                <w:noProof/>
              </w:rPr>
              <w:fldChar w:fldCharType="end"/>
            </w:r>
          </w:hyperlink>
        </w:p>
        <w:p w14:paraId="091E31D6" w14:textId="77777777" w:rsidR="00CA1E7A" w:rsidRDefault="00CA1E7A">
          <w:pPr>
            <w:pStyle w:val="TDC2"/>
            <w:tabs>
              <w:tab w:val="right" w:leader="dot" w:pos="9062"/>
            </w:tabs>
            <w:rPr>
              <w:noProof/>
            </w:rPr>
          </w:pPr>
          <w:hyperlink w:anchor="_Toc226615351" w:history="1">
            <w:r w:rsidRPr="00BE5973">
              <w:rPr>
                <w:rStyle w:val="Hipervnculo"/>
                <w:noProof/>
              </w:rPr>
              <w:t>3. DESCRIPCIÓN / CRITERIOS / SOLUCIÓN ADOPTADA</w:t>
            </w:r>
            <w:r>
              <w:rPr>
                <w:noProof/>
              </w:rPr>
              <w:tab/>
            </w:r>
            <w:r>
              <w:rPr>
                <w:noProof/>
              </w:rPr>
              <w:fldChar w:fldCharType="begin"/>
            </w:r>
            <w:r>
              <w:rPr>
                <w:noProof/>
              </w:rPr>
              <w:instrText xml:space="preserve"> PAGEREF _Toc226615351 \h </w:instrText>
            </w:r>
            <w:r>
              <w:rPr>
                <w:noProof/>
              </w:rPr>
            </w:r>
            <w:r>
              <w:rPr>
                <w:noProof/>
              </w:rPr>
              <w:fldChar w:fldCharType="separate"/>
            </w:r>
            <w:r>
              <w:rPr>
                <w:noProof/>
              </w:rPr>
              <w:t>1</w:t>
            </w:r>
            <w:r>
              <w:rPr>
                <w:noProof/>
              </w:rPr>
              <w:fldChar w:fldCharType="end"/>
            </w:r>
          </w:hyperlink>
        </w:p>
        <w:p w14:paraId="666A943D" w14:textId="77777777" w:rsidR="00CA1E7A" w:rsidRDefault="00CA1E7A">
          <w:pPr>
            <w:pStyle w:val="TDC3"/>
            <w:tabs>
              <w:tab w:val="right" w:leader="dot" w:pos="9062"/>
            </w:tabs>
            <w:rPr>
              <w:noProof/>
            </w:rPr>
          </w:pPr>
          <w:hyperlink w:anchor="_Toc226615352" w:history="1">
            <w:r w:rsidRPr="00BE5973">
              <w:rPr>
                <w:rStyle w:val="Hipervnculo"/>
                <w:noProof/>
              </w:rPr>
              <w:t>3.1. [Primer subapartado]</w:t>
            </w:r>
            <w:r>
              <w:rPr>
                <w:noProof/>
              </w:rPr>
              <w:tab/>
            </w:r>
            <w:r>
              <w:rPr>
                <w:noProof/>
              </w:rPr>
              <w:fldChar w:fldCharType="begin"/>
            </w:r>
            <w:r>
              <w:rPr>
                <w:noProof/>
              </w:rPr>
              <w:instrText xml:space="preserve"> PAGEREF _Toc226615352 \h </w:instrText>
            </w:r>
            <w:r>
              <w:rPr>
                <w:noProof/>
              </w:rPr>
            </w:r>
            <w:r>
              <w:rPr>
                <w:noProof/>
              </w:rPr>
              <w:fldChar w:fldCharType="separate"/>
            </w:r>
            <w:r>
              <w:rPr>
                <w:noProof/>
              </w:rPr>
              <w:t>1</w:t>
            </w:r>
            <w:r>
              <w:rPr>
                <w:noProof/>
              </w:rPr>
              <w:fldChar w:fldCharType="end"/>
            </w:r>
          </w:hyperlink>
        </w:p>
        <w:p w14:paraId="21C5DC87" w14:textId="77777777" w:rsidR="00CA1E7A" w:rsidRDefault="00CA1E7A">
          <w:pPr>
            <w:pStyle w:val="TDC3"/>
            <w:tabs>
              <w:tab w:val="right" w:leader="dot" w:pos="9062"/>
            </w:tabs>
            <w:rPr>
              <w:noProof/>
            </w:rPr>
          </w:pPr>
          <w:hyperlink w:anchor="_Toc226615353" w:history="1">
            <w:r w:rsidRPr="00BE5973">
              <w:rPr>
                <w:rStyle w:val="Hipervnculo"/>
                <w:noProof/>
              </w:rPr>
              <w:t>3.2. [Segundo subapartado]</w:t>
            </w:r>
            <w:r>
              <w:rPr>
                <w:noProof/>
              </w:rPr>
              <w:tab/>
            </w:r>
            <w:r>
              <w:rPr>
                <w:noProof/>
              </w:rPr>
              <w:fldChar w:fldCharType="begin"/>
            </w:r>
            <w:r>
              <w:rPr>
                <w:noProof/>
              </w:rPr>
              <w:instrText xml:space="preserve"> PAGEREF _Toc226615353 \h </w:instrText>
            </w:r>
            <w:r>
              <w:rPr>
                <w:noProof/>
              </w:rPr>
            </w:r>
            <w:r>
              <w:rPr>
                <w:noProof/>
              </w:rPr>
              <w:fldChar w:fldCharType="separate"/>
            </w:r>
            <w:r>
              <w:rPr>
                <w:noProof/>
              </w:rPr>
              <w:t>1</w:t>
            </w:r>
            <w:r>
              <w:rPr>
                <w:noProof/>
              </w:rPr>
              <w:fldChar w:fldCharType="end"/>
            </w:r>
          </w:hyperlink>
        </w:p>
        <w:p w14:paraId="3EA9DDE4" w14:textId="77777777" w:rsidR="00CA1E7A" w:rsidRDefault="00CA1E7A">
          <w:pPr>
            <w:pStyle w:val="TDC4"/>
            <w:tabs>
              <w:tab w:val="right" w:leader="dot" w:pos="9062"/>
            </w:tabs>
            <w:rPr>
              <w:noProof/>
            </w:rPr>
          </w:pPr>
          <w:hyperlink w:anchor="_Toc226615354" w:history="1">
            <w:r w:rsidRPr="00BE5973">
              <w:rPr>
                <w:rStyle w:val="Hipervnculo"/>
                <w:noProof/>
              </w:rPr>
              <w:t>3.2.1. [Sub-subapartado]</w:t>
            </w:r>
            <w:r>
              <w:rPr>
                <w:noProof/>
              </w:rPr>
              <w:tab/>
            </w:r>
            <w:r>
              <w:rPr>
                <w:noProof/>
              </w:rPr>
              <w:fldChar w:fldCharType="begin"/>
            </w:r>
            <w:r>
              <w:rPr>
                <w:noProof/>
              </w:rPr>
              <w:instrText xml:space="preserve"> PAGEREF _Toc226615354 \h </w:instrText>
            </w:r>
            <w:r>
              <w:rPr>
                <w:noProof/>
              </w:rPr>
            </w:r>
            <w:r>
              <w:rPr>
                <w:noProof/>
              </w:rPr>
              <w:fldChar w:fldCharType="separate"/>
            </w:r>
            <w:r>
              <w:rPr>
                <w:noProof/>
              </w:rPr>
              <w:t>1</w:t>
            </w:r>
            <w:r>
              <w:rPr>
                <w:noProof/>
              </w:rPr>
              <w:fldChar w:fldCharType="end"/>
            </w:r>
          </w:hyperlink>
        </w:p>
        <w:p w14:paraId="15B24C2C" w14:textId="77777777" w:rsidR="00CA1E7A" w:rsidRDefault="00CA1E7A">
          <w:pPr>
            <w:pStyle w:val="TDC2"/>
            <w:tabs>
              <w:tab w:val="right" w:leader="dot" w:pos="9062"/>
            </w:tabs>
            <w:rPr>
              <w:noProof/>
            </w:rPr>
          </w:pPr>
          <w:hyperlink w:anchor="_Toc226615355" w:history="1">
            <w:r w:rsidRPr="00BE5973">
              <w:rPr>
                <w:rStyle w:val="Hipervnculo"/>
                <w:noProof/>
              </w:rPr>
              <w:t>4. JUSTIFICACIÓN / CÁLCULOS / DESARROLLO</w:t>
            </w:r>
            <w:r>
              <w:rPr>
                <w:noProof/>
              </w:rPr>
              <w:tab/>
            </w:r>
            <w:r>
              <w:rPr>
                <w:noProof/>
              </w:rPr>
              <w:fldChar w:fldCharType="begin"/>
            </w:r>
            <w:r>
              <w:rPr>
                <w:noProof/>
              </w:rPr>
              <w:instrText xml:space="preserve"> PAGEREF _Toc226615355 \h </w:instrText>
            </w:r>
            <w:r>
              <w:rPr>
                <w:noProof/>
              </w:rPr>
            </w:r>
            <w:r>
              <w:rPr>
                <w:noProof/>
              </w:rPr>
              <w:fldChar w:fldCharType="separate"/>
            </w:r>
            <w:r>
              <w:rPr>
                <w:noProof/>
              </w:rPr>
              <w:t>1</w:t>
            </w:r>
            <w:r>
              <w:rPr>
                <w:noProof/>
              </w:rPr>
              <w:fldChar w:fldCharType="end"/>
            </w:r>
          </w:hyperlink>
        </w:p>
        <w:p w14:paraId="7420ED60" w14:textId="77777777" w:rsidR="00CA1E7A" w:rsidRDefault="00CA1E7A">
          <w:pPr>
            <w:pStyle w:val="TDC3"/>
            <w:tabs>
              <w:tab w:val="right" w:leader="dot" w:pos="9062"/>
            </w:tabs>
            <w:rPr>
              <w:noProof/>
            </w:rPr>
          </w:pPr>
          <w:hyperlink w:anchor="_Toc226615356" w:history="1">
            <w:r w:rsidRPr="00BE5973">
              <w:rPr>
                <w:rStyle w:val="Hipervnculo"/>
                <w:noProof/>
              </w:rPr>
              <w:t>4.1. [Primer subapartado de cálculo]</w:t>
            </w:r>
            <w:r>
              <w:rPr>
                <w:noProof/>
              </w:rPr>
              <w:tab/>
            </w:r>
            <w:r>
              <w:rPr>
                <w:noProof/>
              </w:rPr>
              <w:fldChar w:fldCharType="begin"/>
            </w:r>
            <w:r>
              <w:rPr>
                <w:noProof/>
              </w:rPr>
              <w:instrText xml:space="preserve"> PAGEREF _Toc226615356 \h </w:instrText>
            </w:r>
            <w:r>
              <w:rPr>
                <w:noProof/>
              </w:rPr>
            </w:r>
            <w:r>
              <w:rPr>
                <w:noProof/>
              </w:rPr>
              <w:fldChar w:fldCharType="separate"/>
            </w:r>
            <w:r>
              <w:rPr>
                <w:noProof/>
              </w:rPr>
              <w:t>1</w:t>
            </w:r>
            <w:r>
              <w:rPr>
                <w:noProof/>
              </w:rPr>
              <w:fldChar w:fldCharType="end"/>
            </w:r>
          </w:hyperlink>
        </w:p>
        <w:p w14:paraId="2E3F8153" w14:textId="77777777" w:rsidR="00CA1E7A" w:rsidRDefault="00CA1E7A">
          <w:pPr>
            <w:pStyle w:val="TDC3"/>
            <w:tabs>
              <w:tab w:val="right" w:leader="dot" w:pos="9062"/>
            </w:tabs>
            <w:rPr>
              <w:noProof/>
            </w:rPr>
          </w:pPr>
          <w:hyperlink w:anchor="_Toc226615357" w:history="1">
            <w:r w:rsidRPr="00BE5973">
              <w:rPr>
                <w:rStyle w:val="Hipervnculo"/>
                <w:noProof/>
              </w:rPr>
              <w:t>4.2. [Segundo subapartado de cálculo]</w:t>
            </w:r>
            <w:r>
              <w:rPr>
                <w:noProof/>
              </w:rPr>
              <w:tab/>
            </w:r>
            <w:r>
              <w:rPr>
                <w:noProof/>
              </w:rPr>
              <w:fldChar w:fldCharType="begin"/>
            </w:r>
            <w:r>
              <w:rPr>
                <w:noProof/>
              </w:rPr>
              <w:instrText xml:space="preserve"> PAGEREF _Toc226615357 \h </w:instrText>
            </w:r>
            <w:r>
              <w:rPr>
                <w:noProof/>
              </w:rPr>
            </w:r>
            <w:r>
              <w:rPr>
                <w:noProof/>
              </w:rPr>
              <w:fldChar w:fldCharType="separate"/>
            </w:r>
            <w:r>
              <w:rPr>
                <w:noProof/>
              </w:rPr>
              <w:t>1</w:t>
            </w:r>
            <w:r>
              <w:rPr>
                <w:noProof/>
              </w:rPr>
              <w:fldChar w:fldCharType="end"/>
            </w:r>
          </w:hyperlink>
        </w:p>
        <w:p w14:paraId="555113F5" w14:textId="77777777" w:rsidR="00CA1E7A" w:rsidRDefault="00CA1E7A">
          <w:pPr>
            <w:pStyle w:val="TDC2"/>
            <w:tabs>
              <w:tab w:val="right" w:leader="dot" w:pos="9062"/>
            </w:tabs>
            <w:rPr>
              <w:noProof/>
            </w:rPr>
          </w:pPr>
          <w:hyperlink w:anchor="_Toc226615358" w:history="1">
            <w:r w:rsidRPr="00BE5973">
              <w:rPr>
                <w:rStyle w:val="Hipervnculo"/>
                <w:noProof/>
              </w:rPr>
              <w:t>5. CONCLUSIONES</w:t>
            </w:r>
            <w:r>
              <w:rPr>
                <w:noProof/>
              </w:rPr>
              <w:tab/>
            </w:r>
            <w:r>
              <w:rPr>
                <w:noProof/>
              </w:rPr>
              <w:fldChar w:fldCharType="begin"/>
            </w:r>
            <w:r>
              <w:rPr>
                <w:noProof/>
              </w:rPr>
              <w:instrText xml:space="preserve"> PAGEREF _Toc226615358 \h </w:instrText>
            </w:r>
            <w:r>
              <w:rPr>
                <w:noProof/>
              </w:rPr>
            </w:r>
            <w:r>
              <w:rPr>
                <w:noProof/>
              </w:rPr>
              <w:fldChar w:fldCharType="separate"/>
            </w:r>
            <w:r>
              <w:rPr>
                <w:noProof/>
              </w:rPr>
              <w:t>1</w:t>
            </w:r>
            <w:r>
              <w:rPr>
                <w:noProof/>
              </w:rPr>
              <w:fldChar w:fldCharType="end"/>
            </w:r>
          </w:hyperlink>
        </w:p>
        <w:p w14:paraId="227790CC" w14:textId="77777777" w:rsidR="00CA3182" w:rsidRDefault="00000000">
          <w:r>
            <w:fldChar w:fldCharType="end"/>
          </w:r>
        </w:p>
      </w:sdtContent>
    </w:sdt>
    <w:p w14:paraId="5FFAA013" w14:textId="77777777" w:rsidR="00CA3182" w:rsidRDefault="00000000">
      <w:r>
        <w:br w:type="page"/>
      </w:r>
    </w:p>
    <w:p w14:paraId="2CDBDB0F" w14:textId="77777777" w:rsidR="00CA3182" w:rsidRDefault="00CA3182">
      <w:pPr>
        <w:sectPr w:rsidR="00CA3182" w:rsidSect="00CA1E7A">
          <w:headerReference w:type="default" r:id="rId8"/>
          <w:footerReference w:type="default" r:id="rId9"/>
          <w:pgSz w:w="11907" w:h="16840"/>
          <w:pgMar w:top="2268" w:right="1134" w:bottom="1440" w:left="1701" w:header="709" w:footer="907" w:gutter="0"/>
          <w:cols w:space="720"/>
          <w:docGrid w:linePitch="360"/>
        </w:sectPr>
      </w:pPr>
    </w:p>
    <w:p w14:paraId="096FA658"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lastRenderedPageBreak/>
        <w:t xml:space="preserve">PROYECTO ORDINARIO DE URBANIZACIÓN DE </w:t>
      </w:r>
    </w:p>
    <w:p w14:paraId="1B4D33EB"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 xml:space="preserve">MEJORA DE LA CARRETERA DE </w:t>
      </w:r>
      <w:proofErr w:type="spellStart"/>
      <w:r>
        <w:rPr>
          <w:b/>
          <w:sz w:val="20"/>
          <w:szCs w:val="24"/>
          <w:lang w:val="es-ES_tradnl"/>
        </w:rPr>
        <w:t>GUADALMAR</w:t>
      </w:r>
      <w:proofErr w:type="spellEnd"/>
      <w:r>
        <w:rPr>
          <w:b/>
          <w:sz w:val="20"/>
          <w:szCs w:val="24"/>
          <w:lang w:val="es-ES_tradnl"/>
        </w:rPr>
        <w:t>, MÁLAGA</w:t>
      </w:r>
    </w:p>
    <w:p>
      <w:pPr>
        <w:pStyle w:val="Ttulo1"/>
      </w:pPr>
      <w:r>
        <w:t>ANEJO N.º 6.- RED DE AGUA POTABLE</w:t>
      </w:r>
    </w:p>
    <w:p>
      <w:pPr>
        <w:pStyle w:val="Ttulo2"/>
        <w:spacing w:before="220" w:after="120" w:lineRule="auto"/>
        <w:keepNext/>
      </w:pPr>
      <w:r>
        <w:t>1. INTRODUCCIÓN</w:t>
      </w:r>
    </w:p>
    <w:p>
      <w:pPr>
        <w:spacing w:after="0" w:before="0" w:line="288" w:lineRule="auto"/>
      </w:pPr>
      <w:r>
        <w:t>El objeto del presente anejo es la definición, justificación técnica y valoración de las obras necesarias para la ejecución de las infraestructuras hidráulicas de abastecimiento de agua potable y de la red de agua regenerada (riego), enmarcadas en el proyecto ordinario de urbanización para la mejora de la Carretera de Guadalmar, en el término municipal de Málaga.</w:t>
      </w:r>
    </w:p>
    <w:p>
      <w:pPr>
        <w:spacing w:after="0" w:before="0" w:line="288" w:lineRule="auto"/>
      </w:pPr>
      <w:r>
        <w:t>La actuación responde a la necesidad de reordenar y potenciar las infraestructuras existentes, garantizando el suministro tanto al ámbito actual como a los desarrollos futuros previstos, especialmente el sector SUS-G.1 (San Julián). El diseño de ambas redes se ha realizado de forma coordinada, siguiendo estrictamente las directrices técnicas y los puntos de conexión establecidos por la Empresa Municipal Aguas de Málaga (EMASA) en su informe sectorial de fecha 3 de octubre de 2023 (Expte. Nº 2023/0060).</w:t>
      </w:r>
    </w:p>
    <w:p>
      <w:pPr>
        <w:spacing w:after="0" w:before="0" w:line="288" w:lineRule="auto"/>
      </w:pPr>
      <w:r>
        <w:t>En concreto, el proyecto contempla:</w:t>
      </w:r>
    </w:p>
    <w:p>
      <w:pPr>
        <w:spacing w:after="0" w:before="0" w:line="288" w:lineRule="auto"/>
      </w:pPr>
      <w:r>
        <w:t>En materia de Agua Potable: La optimización y refuerzo de la red arterial mediante la instalación de nuevas conducciones de Fundición Dúctil que permiten el cierre de malla del sector y la conexión con los ejes de la Avenida de Velázquez y el sector San Julián.</w:t>
      </w:r>
    </w:p>
    <w:p>
      <w:pPr>
        <w:spacing w:after="0" w:before="0" w:line="288" w:lineRule="auto"/>
      </w:pPr>
      <w:r>
        <w:t>En materia de Agua Regenerada: La implantación de un ramal de transporte destinado al riego, integrando este ámbito en el "Proyecto de Dotación de Infraestructuras Generales para Riego de la Zona Oeste de Málaga" con agua procedente de la EDAR Guadalhorce.</w:t>
      </w:r>
    </w:p>
    <w:p>
      <w:pPr>
        <w:spacing w:after="0" w:before="0" w:line="288" w:lineRule="auto"/>
      </w:pPr>
      <w:r>
        <w:t>Con ello, se asegura una gestión eficiente del ciclo integral del agua, separando el consumo doméstico del uso para riego mediante infraestructuras independientes y normalizadas.</w:t>
      </w:r>
    </w:p>
    <w:p>
      <w:pPr>
        <w:pStyle w:val="Ttulo2"/>
        <w:spacing w:before="220" w:after="120" w:lineRule="auto"/>
        <w:keepNext/>
      </w:pPr>
      <w:r>
        <w:t>2. DATOS DE PARTIDA Y CONDICIONANTES PREVIOS</w:t>
      </w:r>
    </w:p>
    <w:p>
      <w:pPr>
        <w:spacing w:after="0" w:before="0" w:line="288" w:lineRule="auto"/>
      </w:pPr>
      <w:r>
        <w:t>Para la comprobación de la instalación de agua potable propuesta se partirá de una serie de datos iniciales, inherentes al funcionamiento y necesidades requeridas en el proceso de urbanización del sector, así como de las Normas Técnicas para Obras de Abastecimiento y Saneamiento establecidas por la empresa municipal Aguas de Málaga (EMASA), actual gestora de las redes en el municipio de Málaga, y en estricto cumplimiento de su informe sectorial de fecha 3 de octubre de 2023.</w:t>
      </w:r>
    </w:p>
    <w:p>
      <w:pPr>
        <w:pStyle w:val="Ttulo3"/>
        <w:spacing w:before="180" w:after="100" w:lineRule="auto"/>
        <w:keepNext/>
      </w:pPr>
      <w:r>
        <w:t>2.1. Caudales, Dimensionamiento y Planificación Estratégica</w:t>
      </w:r>
    </w:p>
    <w:p>
      <w:pPr>
        <w:spacing w:after="0" w:before="0" w:line="288" w:lineRule="auto"/>
      </w:pPr>
      <w:r>
        <w:t>En el presente proyecto, el dimensionamiento de las redes de Abastecimiento de Agua Potable y Agua Regenerada responde a los criterios de planificación estratégica definidos por EMASA para garantizar la capacidad de transporte del sistema general, por lo que las secciones nominales adoptadas aseguran el cumplimiento de los objetivos de cierre de malla establecidos por el gestor.</w:t>
      </w:r>
    </w:p>
    <w:p>
      <w:pPr>
        <w:spacing w:after="0" w:before="0" w:line="288" w:lineRule="auto"/>
      </w:pPr>
      <w:r>
        <w:t>Red de Agua Potable: Los diámetros nominales proyectados (FD DN300 y FD DN200) responden a los requerimientos técnicos de EMASA para asegurar la capacidad de transporte y la robustez estructural necesaria en el eje de la Carretera de Guadalmar. Estas secciones garantizan el abastecimiento doméstico y el caudal de protección contra incendios (mínimo 1.000 l/min por hidrante), actuando además como arterias de refuerzo para la futura conexión con el eje arterial DN400 del sector SUS-G.1 San Julián. Dado que estas secciones han sido validadas por la Unidad de Proyectos y Obras Externas de EMASA, se consideran hidráulicamente suficientes para absorber las puntas de demanda del sector sin comprometer los niveles de servicio.</w:t>
      </w:r>
    </w:p>
    <w:p>
      <w:pPr>
        <w:spacing w:after="0" w:before="0" w:line="288" w:lineRule="auto"/>
      </w:pPr>
      <w:r>
        <w:t>Red de Agua Regenerada: Siguiendo las directrices del "Proyecto de Dotación de Infraestructuras Generales para Riego de la Zona Oeste de Málaga", se proyecta un ramal de transporte en PVC-O de diámetro nominal 250 mm (PN16). Este dimensionamiento responde a la planificación estratégica de reutilización de aguas procedentes de la EDAR Guadalhorce, garantizando el caudal necesario para el riego del Parador de Golf y la implantación de la red secundaria de zonas verdes.</w:t>
      </w:r>
    </w:p>
    <w:p>
      <w:pPr>
        <w:spacing w:after="0" w:before="0" w:line="288" w:lineRule="auto"/>
      </w:pPr>
      <w:r>
        <w:t>Por tanto, al tratarse de una infraestructura de red primaria y cierre de malla definida por el gestor público, los diámetros adoptados prevalecen sobre cualquier cálculo teórico de consumos instantáneos, quedando garantizada la viabilidad hidráulica del sistema.</w:t>
      </w:r>
    </w:p>
    <w:p>
      <w:pPr>
        <w:pStyle w:val="Ttulo3"/>
        <w:spacing w:before="180" w:after="100" w:lineRule="auto"/>
        <w:keepNext/>
      </w:pPr>
      <w:r>
        <w:t>2.2. Suministros de la Red</w:t>
      </w:r>
    </w:p>
    <w:p>
      <w:pPr>
        <w:spacing w:after="0" w:before="0" w:line="288" w:lineRule="auto"/>
      </w:pPr>
      <w:r>
        <w:t>La configuración del suministro para el ámbito de la Carretera de Guadalmar se ha diseñado bajo un esquema de robustez y redundancia, asegurando la alimentación desde los principales ejes arteriales de la zona oeste de Málaga. Se definen dos sistemas diferenciados:</w:t>
      </w:r>
    </w:p>
    <w:p>
      <w:pPr>
        <w:spacing w:after="0" w:before="0" w:line="288" w:lineRule="auto"/>
      </w:pPr>
      <w:r>
        <w:t>A. Red de Abastecimiento de Agua Potable: El suministro y cierre de malla se articula a través de tres puntos estratégicos de conexión y reordenación:</w:t>
      </w:r>
    </w:p>
    <w:p>
      <w:pPr>
        <w:spacing w:after="0" w:before="0" w:line="288" w:lineRule="auto"/>
      </w:pPr>
      <w:r>
        <w:t>Conexión Norte (Eje Arterial): Enlace con la red arterial existente de FD DN300 y FD DN200 en la intersección de la Carretera del Campo de Golf, asegurando la continuidad del flujo desde el entorno de Plaza Mayor.</w:t>
      </w:r>
    </w:p>
    <w:p>
      <w:pPr>
        <w:spacing w:after="0" w:before="0" w:line="288" w:lineRule="auto"/>
      </w:pPr>
      <w:r>
        <w:t>Reordenación de la Urbanización Guadalmar: Se proyecta la conexión con la red de FD DN200 en la glorieta de entrada a la Urbanización Guadalmar, permitiendo la reordenación del sector sur y la anulación de tramos obsoletos según los condicionantes de EMASA.</w:t>
      </w:r>
    </w:p>
    <w:p>
      <w:pPr>
        <w:spacing w:after="0" w:before="0" w:line="288" w:lineRule="auto"/>
      </w:pPr>
      <w:r>
        <w:t>Previsión de Futuro: El diseño garantiza la futura conexión con el eje arterial DN400 del sector SUS-G.1 (San Julián), integrando la actuación en el anillo de distribución de la zona oeste de Málaga.</w:t>
      </w:r>
    </w:p>
    <w:p>
      <w:pPr>
        <w:spacing w:after="0" w:before="0" w:line="288" w:lineRule="auto"/>
      </w:pPr>
      <w:r>
        <w:t>B. Red de Agua Regenerada (Riego): El suministro de agua no potable para riego se realiza mediante una derivación del sistema general de la zona oeste de Málaga:</w:t>
      </w:r>
    </w:p>
    <w:p>
      <w:pPr>
        <w:spacing w:after="0" w:before="0" w:line="288" w:lineRule="auto"/>
      </w:pPr>
      <w:r>
        <w:t>Origen del Recurso: El caudal procede de la EDAR Guadalhorce, tras recibir el tratamiento terciario correspondiente para su reutilización.</w:t>
      </w:r>
    </w:p>
    <w:p>
      <w:pPr>
        <w:spacing w:after="0" w:before="0" w:line="288" w:lineRule="auto"/>
      </w:pPr>
      <w:r>
        <w:t>Punto de Entrega: La red de PVC-O DN250 actúa como arteria de transporte para el suministro de agua regenerada al Parador de Golf, permitiendo la sustitución de consumo de agua potable por recursos alternativos procedentes de la EDAR Guadalhorce.</w:t>
      </w:r>
    </w:p>
    <w:p>
      <w:pPr>
        <w:spacing w:after="0" w:before="0" w:line="288" w:lineRule="auto"/>
      </w:pPr>
      <w:r>
        <w:t>Esta doble procedencia asegura que el proyecto cumpla con los objetivos de eficiencia hídrica y garantía de suministro para todos los usos previstos en la urbanización.</w:t>
      </w:r>
    </w:p>
    <w:p>
      <w:pPr>
        <w:pStyle w:val="Ttulo3"/>
        <w:spacing w:before="180" w:after="100" w:lineRule="auto"/>
        <w:keepNext/>
      </w:pPr>
      <w:r>
        <w:t>2.3. Velocidad de las conducciones</w:t>
      </w:r>
    </w:p>
    <w:p>
      <w:pPr>
        <w:spacing w:after="0" w:before="0" w:line="288" w:lineRule="auto"/>
      </w:pPr>
      <w:r>
        <w:t>El diseño de las redes se ha validado para que, bajo los regímenes de demanda establecidos por EMASA, las velocidades de circulación se mantengan dentro de los rangos que garantizan la autolimpieza y evitan fenómenos de erosión o golpe de ariete:</w:t>
      </w:r>
    </w:p>
    <w:p>
      <w:pPr>
        <w:spacing w:after="0" w:before="0" w:line="288" w:lineRule="auto"/>
      </w:pPr>
      <w:r>
        <w:t>Rango de servicio: Se priorizan velocidades entre 0,50 m/s y 2,00 m/s.</w:t>
      </w:r>
    </w:p>
    <w:p>
      <w:pPr>
        <w:spacing w:after="0" w:before="0" w:line="288" w:lineRule="auto"/>
      </w:pPr>
      <w:r>
        <w:t>Criterio técnico: En las conducciones de FD DN300 y DN200, la capacidad hidráulica permite absorber las puntas de demanda y el caudal de protección contra incendios, manteniendo las pérdidas de carga por debajo de los límites admisibles por EMASA.</w:t>
      </w:r>
    </w:p>
    <w:p>
      <w:pPr>
        <w:pStyle w:val="Ttulo3"/>
        <w:spacing w:before="180" w:after="100" w:lineRule="auto"/>
        <w:keepNext/>
      </w:pPr>
      <w:r>
        <w:t>2.4 Presiones en los consumos</w:t>
      </w:r>
    </w:p>
    <w:p>
      <w:pPr>
        <w:spacing w:after="0" w:before="0" w:line="288" w:lineRule="auto"/>
      </w:pPr>
      <w:r>
        <w:t>De acuerdo con los objetivos de calidad de servicio de EMASA para el sector de Guadalmar:</w:t>
      </w:r>
    </w:p>
    <w:p>
      <w:pPr>
        <w:spacing w:after="0" w:before="0" w:line="288" w:lineRule="auto"/>
      </w:pPr>
      <w:r>
        <w:t>Se asegura una presión mínima de 25 m.c.a. en los puntos de entrega a pie de parcela.</w:t>
      </w:r>
    </w:p>
    <w:p>
      <w:pPr>
        <w:spacing w:after="0" w:before="0" w:line="288" w:lineRule="auto"/>
      </w:pPr>
      <w:r>
        <w:t>La robustez de los materiales seleccionados (Presión Nominal PN16 o superior) permite soportar presiones estáticas y regímenes transitorios (golpes de ariete), garantizando la integridad de la red ante maniobras de explotación y seccionamiento en la red arterial.</w:t>
      </w:r>
    </w:p>
    <w:p>
      <w:pPr>
        <w:pStyle w:val="Ttulo3"/>
        <w:spacing w:before="180" w:after="100" w:lineRule="auto"/>
        <w:keepNext/>
      </w:pPr>
      <w:r>
        <w:t>2.5 Diámetro mínimo</w:t>
      </w:r>
    </w:p>
    <w:p>
      <w:pPr>
        <w:spacing w:after="0" w:before="0" w:line="288" w:lineRule="auto"/>
      </w:pPr>
      <w:r>
        <w:t>El establecimiento de los diámetros nominales no responde exclusivamente a criterios de demanda puntual del sector, sino a la integración estratégica del ámbito en la red primaria de transporte y cierre de malla de la ciudad. En cumplimiento con la normativa técnica de EMASA y los planes de sectorización, se fijan los siguientes criterios de dimensionamiento:</w:t>
      </w:r>
    </w:p>
    <w:p>
      <w:pPr>
        <w:spacing w:after="0" w:before="0" w:line="288" w:lineRule="auto"/>
      </w:pPr>
      <w:r>
        <w:t>Red Arterial y de Distribución Principal (Agua Potable): Se establecen diámetros de DN200 y DN300 mm. Esta decisión técnica garantiza una elevada robustez mecánica frente a sobrepresiones y fenómenos transitorios (golpes de ariete), habituales en redes de gran longitud. Desde el punto de vista hidráulico, estas secciones minimizan las pérdidas de carga, permitiendo que la red funcione como un anillo de garantía con capacidad para absorber los incrementos de demanda del sector SUS-G.1 (San Julián) sin necesidad de refuerzos posteriores.</w:t>
      </w:r>
    </w:p>
    <w:p>
      <w:pPr>
        <w:spacing w:after="0" w:before="0" w:line="288" w:lineRule="auto"/>
      </w:pPr>
      <w:r>
        <w:t>Red de Transporte de Agua Regenerada: Se fija un diámetro de DN250 mm. Este dimensionamiento es crítico para asegurar que el transporte de agua regenerada desde la EDAR Guadalhorce hasta el Parador de Golf se realice con una velocidad óptima, evitando sedimentaciones y garantizando el caudal punta necesario para el riego de grandes superficies verdes.</w:t>
      </w:r>
    </w:p>
    <w:p>
      <w:pPr>
        <w:spacing w:after="0" w:before="0" w:line="288" w:lineRule="auto"/>
      </w:pPr>
      <w:r>
        <w:t>En ambos casos, la elección de estos diámetros asegura que la infraestructura tenga una vida útil superior a los 50 años, manteniendo su capacidad hidráulica intacta frente a posibles incrustaciones o variaciones en la rugosidad interna de los materiales.</w:t>
      </w:r>
    </w:p>
    <w:p>
      <w:pPr>
        <w:pStyle w:val="Ttulo3"/>
        <w:spacing w:before="180" w:after="100" w:lineRule="auto"/>
        <w:keepNext/>
      </w:pPr>
      <w:r>
        <w:t>2.6. Elementos Especiales</w:t>
      </w:r>
    </w:p>
    <w:p>
      <w:pPr>
        <w:spacing w:after="0" w:before="0" w:line="288" w:lineRule="auto"/>
      </w:pPr>
      <w:r>
        <w:t>Para garantizar la operatividad, el mantenimiento y la seguridad de la red de agua potable y regenerada, se disponen los siguientes elementos siguiendo la normativa vigente de EMASA:</w:t>
      </w:r>
    </w:p>
    <w:p>
      <w:pPr>
        <w:spacing w:after="0" w:before="0" w:line="288" w:lineRule="auto"/>
      </w:pPr>
      <w:r>
        <w:t>Válvulas de Seccionamiento: Se proyectan válvulas de compuerta de cierre elástico con husillo de acero inoxidable y sentido de cierre a derechas según estándar de EMASA. Se ubicarán estratégicamente en los nudos para permitir el aislamiento de tramos específicos sin interrumpir el suministro al resto del sector. Todas las válvulas de DN200 y superiores irán equipadas con su correspondiente carrete de desmontaje de fundición dúctil para facilitar su sustitución o reparación.</w:t>
      </w:r>
    </w:p>
    <w:p>
      <w:pPr>
        <w:spacing w:after="0" w:before="0" w:line="288" w:lineRule="auto"/>
      </w:pPr>
      <w:r>
        <w:t>Bocas de Riego y Limpieza: Se instalarán bocas de riego con racor tipo Barcelona (modelo estándar EMASA) distribuidas a lo largo del trazado para labores de mantenimiento y purga. Estas permitirán las labores de limpieza de viales y el purgado manual de la red. Se situarán preferentemente en los puntos bajos del trazado para que funcionen como purgas de lodos y sedimentos, asegurando la calidad del agua en los finales de red. Estarán alojadas en arquetas de fundición con su correspondiente válvula de corte.</w:t>
      </w:r>
    </w:p>
    <w:p>
      <w:pPr>
        <w:spacing w:after="0" w:before="0" w:line="288" w:lineRule="auto"/>
      </w:pPr>
      <w:r>
        <w:t>Hidrantes de Incendio: Se instalarán hidrantes de columna seca de DN100 (modelo homologado por EMASA), situados en acera y dotados de válvula de corte independiente para permitir su mantenimiento sin afectar a la red general.</w:t>
      </w:r>
    </w:p>
    <w:p>
      <w:pPr>
        <w:spacing w:after="0" w:before="0" w:line="288" w:lineRule="auto"/>
      </w:pPr>
      <w:r>
        <w:t>Piezas Especiales y Valvulería de Conexión:</w:t>
      </w:r>
    </w:p>
    <w:p>
      <w:pPr>
        <w:spacing w:after="0" w:before="0" w:line="288" w:lineRule="auto"/>
      </w:pPr>
      <w:r>
        <w:t>Tees y Cruces: Se emplearán piezas de fundición dúctil (en diámetros DN300, DN250 y DN200 según corresponda al nudo) para garantizar la correcta ejecución de las derivaciones y el cierre de malla de la red, asegurando la compatibilidad mecánica con las conducciones proyectadas.</w:t>
      </w:r>
    </w:p>
    <w:p>
      <w:pPr>
        <w:spacing w:after="0" w:before="0" w:line="288" w:lineRule="auto"/>
      </w:pPr>
      <w:r>
        <w:t>Codos y Cambios de Dirección: Se utilizarán codos de fundición de 90º, 45º y 22,5º según requiera el trazado para adaptarse a la geometría de la Carretera de Guadalmar.</w:t>
      </w:r>
    </w:p>
    <w:p>
      <w:pPr>
        <w:spacing w:after="0" w:before="0" w:line="288" w:lineRule="auto"/>
      </w:pPr>
      <w:r>
        <w:t>Conos de Reducción: Para las transiciones entre las arterias de DN300 y las redes de DN200.</w:t>
      </w:r>
    </w:p>
    <w:p>
      <w:pPr>
        <w:spacing w:after="0" w:before="0" w:line="288" w:lineRule="auto"/>
      </w:pPr>
      <w:r>
        <w:t>Macizos de Anclaje: Todos los codos, tees y piezas especiales irán provistos de macizos de hormigón (HA-25/P/20/IIa) para absorber los esfuerzos axiales y evitar el desplazamiento de las juntas por presión hidráulica, para todas las piezas de las redes de DN300 y DN200.</w:t>
      </w:r>
    </w:p>
    <w:p>
      <w:pPr>
        <w:spacing w:after="0" w:before="0" w:line="288" w:lineRule="auto"/>
      </w:pPr>
      <w:r>
        <w:t>Ventosas y Purga: Se instalarán ventosas trifuncionales de gran capacidad en los puntos altos del perfil longitudinal (según Plano de Planta Conducciones) para asegurar la correcta evacuación y admisión de aire, evitando transitorios de presión.</w:t>
      </w:r>
    </w:p>
    <w:p>
      <w:pPr>
        <w:spacing w:after="0" w:before="0" w:line="288" w:lineRule="auto"/>
      </w:pPr>
      <w:r>
        <w:t>Caudalímetro: En cumplimiento estricto del Informe de EMASA (Expte. Nº 2023/0060), se instalará un conjunto de medición de caudal en arqueta visitable ubicada en la glorieta de entrada a Guadalmar para el control y sectorización del sector.</w:t>
      </w:r>
    </w:p>
    <w:p>
      <w:pPr>
        <w:pStyle w:val="Ttulo3"/>
        <w:spacing w:before="180" w:after="100" w:lineRule="auto"/>
        <w:keepNext/>
      </w:pPr>
      <w:r>
        <w:t>2.7 Materiales Empleados</w:t>
      </w:r>
    </w:p>
    <w:p>
      <w:pPr>
        <w:spacing w:after="0" w:before="0" w:line="288" w:lineRule="auto"/>
      </w:pPr>
      <w:r>
        <w:t>La selección de materiales se ajusta estrictamente a las Normas Técnicas de EMASA:</w:t>
      </w:r>
    </w:p>
    <w:p>
      <w:pPr>
        <w:spacing w:after="0" w:before="0" w:line="288" w:lineRule="auto"/>
      </w:pPr>
      <w:r>
        <w:t>Red de Agua Potable: Conducciones de Fundición Dúctil (FD) con revestimiento exterior de aleación Cinc-Aluminio (400 g/m²) y capa de acabado epoxi azul (Biozinalium o equivalente).</w:t>
      </w:r>
    </w:p>
    <w:p>
      <w:pPr>
        <w:spacing w:after="0" w:before="0" w:line="288" w:lineRule="auto"/>
      </w:pPr>
      <w:r>
        <w:t>Revestimiento interior: Mortero de cemento de alto horno.</w:t>
      </w:r>
    </w:p>
    <w:p>
      <w:pPr>
        <w:spacing w:after="0" w:before="0" w:line="288" w:lineRule="auto"/>
      </w:pPr>
      <w:r>
        <w:t>Revestimiento exterior: Aleación de Cinc-Aluminio (400 g/m²) enriquecida con cobre, con una capa de acabado final de epoxi azul de mínimo 100 micras (tipo Biozinalium o equivalente). Dado que el trazado discurre por una zona de alta salinidad y posible nivel freático agresivo, se instalarán manguitos termoretráctiles o de polietileno en todas las juntas para asegurar la continuidad de la protección anticorrosiva.</w:t>
      </w:r>
    </w:p>
    <w:p>
      <w:pPr>
        <w:spacing w:after="0" w:before="0" w:line="288" w:lineRule="auto"/>
      </w:pPr>
      <w:r>
        <w:t>Unión: Junta automática flexible.</w:t>
      </w:r>
    </w:p>
    <w:p>
      <w:pPr>
        <w:spacing w:after="0" w:before="0" w:line="288" w:lineRule="auto"/>
      </w:pPr>
      <w:r>
        <w:t>Red de Agua Regenerada: Conducciones de PVC Orientado (PVC-O) de DN250 y Presión Nominal 16 bar (PN16), identificadas con el color morado normalizado para aguas no potables. Se ha seleccionado este material por su total inmunidad a la corrosión en suelos salinos y su baja rugosidad, lo que minimiza las pérdidas de carga en el transporte desde la EDAR Guadalhorce.</w:t>
      </w:r>
    </w:p>
    <w:p>
      <w:pPr>
        <w:spacing w:after="0" w:before="0" w:line="288" w:lineRule="auto"/>
      </w:pPr>
      <w:r>
        <w:t>Diámetro: 250 mm.</w:t>
      </w:r>
    </w:p>
    <w:p>
      <w:pPr>
        <w:spacing w:after="0" w:before="0" w:line="288" w:lineRule="auto"/>
      </w:pPr>
      <w:r>
        <w:t>Color: Identificativo para agua no potable (según normativa local).</w:t>
      </w:r>
    </w:p>
    <w:p>
      <w:pPr>
        <w:spacing w:after="0" w:before="0" w:line="288" w:lineRule="auto"/>
      </w:pPr>
      <w:r>
        <w:t>Este material asegura una excelente resistencia a la corrosión y una gran capacidad hidráulica a largo plazo.</w:t>
      </w:r>
    </w:p>
    <w:p>
      <w:pPr>
        <w:spacing w:after="0" w:before="0" w:line="288" w:lineRule="auto"/>
      </w:pPr>
      <w:r>
        <w:t>Señalización de la Red: Todas las conducciones irán señalizadas mediante cinta de señalización detectable (con hilo de acero inoxidable) situada a 30 cm sobre la generatriz superior del tubo. La cinta de señalización detectable será de color azul para la red de agua potable y de color morado para la red de agua regenerada, instalándose a 30 cm sobre la generatriz superior de la tubería según normativa de EMASA.</w:t>
      </w:r>
    </w:p>
    <w:p>
      <w:pPr>
        <w:pStyle w:val="Ttulo2"/>
        <w:spacing w:before="220" w:after="120" w:lineRule="auto"/>
        <w:keepNext/>
      </w:pPr>
      <w:r>
        <w:t>3. DESCRIPCIÓN DE LA RED PROYECTADA</w:t>
      </w:r>
    </w:p>
    <w:p>
      <w:pPr>
        <w:spacing w:after="0" w:before="0" w:line="288" w:lineRule="auto"/>
      </w:pPr>
      <w:r>
        <w:t>La solución adoptada contempla la ejecución de tres ejes diferenciados para garantizar el suministro y la ordenación de servicios en la Carretera de Guadalmar:</w:t>
      </w:r>
    </w:p>
    <w:p>
      <w:pPr>
        <w:pStyle w:val="Ttulo3"/>
        <w:spacing w:before="180" w:after="100" w:lineRule="auto"/>
        <w:keepNext/>
      </w:pPr>
      <w:r>
        <w:t>3.1. Eje Arterial de Agua Potable (Acera Norte)</w:t>
      </w:r>
    </w:p>
    <w:p>
      <w:pPr>
        <w:spacing w:after="0" w:before="0" w:line="288" w:lineRule="auto"/>
      </w:pPr>
      <w:r>
        <w:t>Se proyecta una conducción de Fundición Dúctil de DN300 mm que discurre de manera independiente por la acera norte del vial. Esta tubería funciona como una arteria de transporte principal y cierre de malla, conectando los puntos de suministro estratégicos entre el nudo Plaza Mayor-Campo de Golf y la nueva glorieta de acceso. Su instalación en esta margen evita interferencias con las redes de distribución local de la zona sur.</w:t>
      </w:r>
    </w:p>
    <w:p>
      <w:pPr>
        <w:pStyle w:val="Ttulo3"/>
        <w:spacing w:before="180" w:after="100" w:lineRule="auto"/>
        <w:keepNext/>
      </w:pPr>
      <w:r>
        <w:t>3.2. Eje de Distribución de Agua Potable (Acera Sur)</w:t>
      </w:r>
    </w:p>
    <w:p>
      <w:pPr>
        <w:spacing w:after="0" w:before="0" w:line="288" w:lineRule="auto"/>
      </w:pPr>
      <w:r>
        <w:t>Se proyecta en la acera sur una red de Fundición Dúctil de DN200 mm para la reordenación del suministro a la Urbanización Guadalmar. En el inicio de este eje, coincidiendo con la entrada al sector desde la glorieta, se intercala un conjunto de medición de caudal y sectorización en arqueta visitable de DN200, conforme a las exigencias de EMASA para el control de consumos. Este eje permite la anulación de tramos obsoletos y garantiza la capacidad para la futura conexión con el eje arterial DN400 de San Julián.</w:t>
      </w:r>
    </w:p>
    <w:p>
      <w:pPr>
        <w:pStyle w:val="Ttulo3"/>
        <w:spacing w:before="180" w:after="100" w:lineRule="auto"/>
        <w:keepNext/>
      </w:pPr>
      <w:r>
        <w:t>3.3. Eje de Agua Regenerada (Red de Riego)</w:t>
      </w:r>
    </w:p>
    <w:p>
      <w:pPr>
        <w:spacing w:after="0" w:before="0" w:line="288" w:lineRule="auto"/>
      </w:pPr>
      <w:r>
        <w:t>Se dispone un ramal de PVC-O DN250 mm (PN16) para el transporte de agua regenerada hacia el Parador de Golf, integrado en el Proyecto de Dotación de Infraestructuras Generales para Riego de la Zona Oeste de Málaga. En los tramos donde deba compartir margen con la red de agua potable, se instalará obligatoriamente respetando las distancias de seguridad sanitaria: mínimo 1,00 metro de separación en horizontal y 0,50 metros en vertical, situándose la tubería de agua regenerada siempre por debajo de la de agua potable e identificada con el color morado normalizado. El trazado discurre mayoritariamente por la isleta central y zonas de acera, donde se mantendrá el recubrimiento reglamentario; no obstante, en los cruces de calzada, la generatriz superior de la tubería mantendrá un recubrimiento mínimo de 1,00 metro respecto a la rasante del pavimento para garantizar su protección mecánica frente a las cargas de tráfico, conforme a las exigencias de EMASA.</w:t>
      </w:r>
    </w:p>
    <w:p>
      <w:pPr>
        <w:pStyle w:val="Ttulo2"/>
        <w:spacing w:before="220" w:after="120" w:lineRule="auto"/>
        <w:keepNext/>
      </w:pPr>
      <w:r>
        <w:t>4. JUSTIFICACIÓN TÉCNICA Y FUNCIONAL DE LA RED</w:t>
      </w:r>
    </w:p>
    <w:p>
      <w:pPr>
        <w:spacing w:after="0" w:before="0" w:line="288" w:lineRule="auto"/>
      </w:pPr>
      <w:r>
        <w:t>Dada la naturaleza del presente proyecto, clasificado como obra de carga externa y mejora de la red arterial, el dimensionamiento de las conducciones no responde a un cálculo de demanda local aislada, sino a los requerimientos de planificación global de la Empresa Municipal Aguas de Málaga (EMASA). Por tanto, al tratarse de una infraestructura de red primaria y cierre de malla definida por el gestor público (EMASA), los diámetros adoptados prevalecen sobre el cálculo teórico de consumos puntuales. La viabilidad del sistema queda garantizada por la integración del ámbito en la planificación estratégica de la zona oeste, validándose su suficiencia mediante la siguiente justificación técnica:</w:t>
      </w:r>
    </w:p>
    <w:p>
      <w:pPr>
        <w:pStyle w:val="Ttulo3"/>
        <w:spacing w:before="180" w:after="100" w:lineRule="auto"/>
        <w:keepNext/>
      </w:pPr>
      <w:r>
        <w:t>4.1. Validación de la Capacidad Hidráulica</w:t>
      </w:r>
    </w:p>
    <w:p>
      <w:pPr>
        <w:spacing w:after="0" w:before="0" w:line="288" w:lineRule="auto"/>
      </w:pPr>
      <w:r>
        <w:t>Los diámetros de FD DN300 y FD DN200 para agua potable, y PVC-O DN250 para agua regenerada, han sido establecidos por los servicios técnicos de EMASA para asegurar el cumplimiento de los planes directores del sector. Esta configuración garantiza:</w:t>
      </w:r>
    </w:p>
    <w:p>
      <w:pPr>
        <w:spacing w:after="0" w:before="0" w:line="288" w:lineRule="auto"/>
      </w:pPr>
      <w:r>
        <w:t>Cierre de Mallas: La red proyectada elimina puntos muertos y mejora la resiliencia del sistema ante averías, permitiendo la alimentación bidireccional desde la Avda. de Velázquez y la futura conexión con San Julián.</w:t>
      </w:r>
    </w:p>
    <w:p>
      <w:pPr>
        <w:spacing w:after="0" w:before="0" w:line="288" w:lineRule="auto"/>
      </w:pPr>
      <w:r>
        <w:t>Suficiencia de Caudal: Los diámetros adoptados son ampliamente superiores a los estrictamente necesarios para el consumo doméstico del ámbito, asegurando una reserva de capacidad para la protección contra incendios (hidrantes DN100) y futuros desarrollos urbanísticos.</w:t>
      </w:r>
    </w:p>
    <w:p>
      <w:pPr>
        <w:spacing w:after="0" w:before="0" w:line="288" w:lineRule="auto"/>
      </w:pPr>
      <w:r>
        <w:t>Optimización de Presiones: Al utilizar secciones generosas, se minimizan las pérdidas de carga por fricción, manteniendo presiones estables por encima de los 25 m.c.a. en toda la traza.</w:t>
      </w:r>
    </w:p>
    <w:p>
      <w:pPr>
        <w:pStyle w:val="Ttulo3"/>
        <w:spacing w:before="180" w:after="100" w:lineRule="auto"/>
        <w:keepNext/>
      </w:pPr>
      <w:r>
        <w:t>4.2. Integración en el Sistema General de Agua Regenerada (Zona Oeste)</w:t>
      </w:r>
    </w:p>
    <w:p>
      <w:pPr>
        <w:spacing w:after="0" w:before="0" w:line="288" w:lineRule="auto"/>
      </w:pPr>
      <w:r>
        <w:t>La inclusión del ramal de DN250 mm responde a la estrategia de sostenibilidad urbana de Málaga. Su diseño permite:</w:t>
      </w:r>
    </w:p>
    <w:p>
      <w:pPr>
        <w:spacing w:after="0" w:before="0" w:line="288" w:lineRule="auto"/>
      </w:pPr>
      <w:r>
        <w:t>La desconexión de grandes consumidores (como el Parador de Golf) de la red de agua potable, liberando recursos para el consumo humano.</w:t>
      </w:r>
    </w:p>
    <w:p>
      <w:pPr>
        <w:spacing w:after="0" w:before="0" w:line="288" w:lineRule="auto"/>
      </w:pPr>
      <w:r>
        <w:t>El cumplimiento del "Proyecto de Dotación de Infraestructuras Generales para Riego de la Zona Oeste de Málaga", garantizando que la nueva urbanización nace integrada en la red de economía circular del agua.</w:t>
      </w:r>
    </w:p>
    <w:p>
      <w:pPr>
        <w:pStyle w:val="Ttulo3"/>
        <w:spacing w:before="180" w:after="100" w:lineRule="auto"/>
        <w:keepNext/>
      </w:pPr>
      <w:r>
        <w:t>4.3. Criterios de Instalación y Montaje</w:t>
      </w:r>
    </w:p>
    <w:p>
      <w:pPr>
        <w:spacing w:after="0" w:before="0" w:line="288" w:lineRule="auto"/>
      </w:pPr>
      <w:r>
        <w:t>Para asegurar que la red funcione según los parámetros de diseño, se seguirán estrictamente las Normas Técnicas para Obras de Abastecimiento de EMASA en cuanto a:</w:t>
      </w:r>
    </w:p>
    <w:p>
      <w:pPr>
        <w:spacing w:after="0" w:before="0" w:line="288" w:lineRule="auto"/>
      </w:pPr>
      <w:r>
        <w:t>Pruebas de Presión: Antes de la puesta en servicio, se realizarán pruebas de estanqueidad en zanja abierta a la presión de ensayo reglamentaria (1,4 veces la presión máxima de trabajo). El llenado se realizará de forma lenta para garantizar la total evacuación del aire a través de las ventosas y purgas proyectadas, verificando que los macizos de anclaje hayan alcanzado la resistencia de proyecto.</w:t>
      </w:r>
    </w:p>
    <w:p>
      <w:pPr>
        <w:spacing w:after="0" w:before="0" w:line="288" w:lineRule="auto"/>
      </w:pPr>
      <w:r>
        <w:t>Desinfección: Todas las tuberías de agua potable serán sometidas a procesos de limpieza, lavado y desinfección química mediante cloración, siguiendo el protocolo de EMASA, antes de su conexión definitiva a la red general. Se realizarán analíticas de control para garantizar la potabilidad del agua.</w:t>
      </w:r>
    </w:p>
    <w:p>
      <w:pPr>
        <w:spacing w:after="0" w:before="0" w:line="288" w:lineRule="auto"/>
      </w:pPr>
      <w:r>
        <w:t>Control de Calidad: Se verificará el correcto timbrado de las tuberías y la certificación de calidad (Marcado CE y normas UNE correspondientes) de todos los elementos especiales, valvulería y juntas. Se prestará especial atención a la continuidad del revestimiento exterior en las uniones de fundición dúctil.</w:t>
      </w:r>
    </w:p>
    <w:p>
      <w:pPr>
        <w:pStyle w:val="Ttulo2"/>
        <w:spacing w:before="220" w:after="120" w:lineRule="auto"/>
        <w:keepNext/>
      </w:pPr>
      <w:r>
        <w:t>5. CONCLUSIÓN</w:t>
      </w:r>
    </w:p>
    <w:p>
      <w:pPr>
        <w:spacing w:after="0" w:before="0" w:line="288" w:lineRule="auto"/>
      </w:pPr>
      <w:r>
        <w:t>La solución técnica adoptada, basada en las directrices del informe de EMASA (Expte. Nº 2023/0060) y adaptada a la realidad física de la Carretera de Guadalmar, se considera óptima y suficiente. El diseño garantiza la resiliencia del sistema, el cumplimiento de la estrategia de agua regenerada de la zona oeste y la durabilidad de las infraestructuras, quedando validada su integración en la red municipal de Málaga.</w:t>
      </w:r>
    </w:p>
    <w:sectPr w:rsidR="00CA3182">
      <w:headerReference w:type="default" r:id="rId10"/>
      <w:footerReference w:type="default" r:id="rId11"/>
      <w:pgSz w:w="11907" w:h="16840"/>
      <w:pgMar w:top="2268" w:right="1134" w:bottom="1440" w:left="1701" w:header="709"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78E70" w14:textId="77777777" w:rsidR="005C51BD" w:rsidRDefault="005C51BD">
      <w:r>
        <w:separator/>
      </w:r>
    </w:p>
  </w:endnote>
  <w:endnote w:type="continuationSeparator" w:id="0">
    <w:p w14:paraId="1B6C7A63" w14:textId="77777777" w:rsidR="005C51BD" w:rsidRDefault="005C5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C4F5" w14:textId="77777777" w:rsidR="00000000" w:rsidRDefault="00000000" w:rsidP="00E74375">
    <w:r>
      <w:rPr>
        <w:noProof/>
      </w:rPr>
      <mc:AlternateContent>
        <mc:Choice Requires="wps">
          <w:drawing>
            <wp:anchor distT="0" distB="0" distL="114300" distR="114300" simplePos="0" relativeHeight="251660288"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591AA12"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40363667" w14:textId="77777777" w:rsidR="00000000" w:rsidRPr="00C954D2" w:rsidRDefault="00000000" w:rsidP="00E74375">
                          <w:pPr>
                            <w:rPr>
                              <w:sz w:val="14"/>
                              <w:szCs w:val="14"/>
                              <w:lang w:val="es-ES_tradnl"/>
                            </w:rPr>
                          </w:pPr>
                          <w:r w:rsidRPr="00C954D2">
                            <w:rPr>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Text Box 10" o:spid="_x0000_s1027" type="#_x0000_t202" style="position:absolute;left:0;text-align:left;margin-left:319.55pt;margin-top:797.85pt;width:135pt;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" filled="f" stroked="f">
              <v:textbox>
                <w:txbxContent>
                  <w:p w14:paraId="0591AA12"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40363667" w14:textId="77777777" w:rsidR="00000000" w:rsidRPr="00C954D2" w:rsidRDefault="00000000" w:rsidP="00E74375">
                    <w:pPr>
                      <w:rPr>
                        <w:sz w:val="14"/>
                        <w:szCs w:val="14"/>
                        <w:lang w:val="es-ES_tradnl"/>
                      </w:rPr>
                    </w:pPr>
                    <w:r w:rsidRPr="00C954D2">
                      <w:rPr>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0048"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FB05705" w14:textId="77777777" w:rsidR="00000000" w:rsidRPr="00C954D2" w:rsidRDefault="00000000" w:rsidP="00E74375">
                          <w:pPr>
                            <w:rPr>
                              <w:sz w:val="14"/>
                              <w:szCs w:val="12"/>
                              <w:lang w:val="es-ES_tradnl"/>
                            </w:rPr>
                          </w:pPr>
                          <w:r w:rsidRPr="00C954D2">
                            <w:rPr>
                              <w:sz w:val="14"/>
                              <w:szCs w:val="12"/>
                              <w:lang w:val="es-ES_tradnl"/>
                            </w:rPr>
                            <w:t>952 04 10 47</w:t>
                          </w:r>
                        </w:p>
                        <w:p w14:paraId="0B074AB0" w14:textId="77777777" w:rsidR="00000000" w:rsidRPr="00C954D2" w:rsidRDefault="00000000" w:rsidP="00E74375">
                          <w:pPr>
                            <w:rPr>
                              <w:sz w:val="14"/>
                              <w:szCs w:val="14"/>
                              <w:lang w:val="es-ES_tradnl"/>
                            </w:rPr>
                          </w:pPr>
                          <w:r w:rsidRPr="00C954D2">
                            <w:rPr>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28" type="#_x0000_t202" style="position:absolute;left:0;text-align:left;margin-left:112.55pt;margin-top:797.85pt;width:63pt;height:2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Qh5GCECAABQBAAADgAAAAAAAAAAAAAAAAAuAgAAZHJzL2Uyb0RvYy54&#10;bWxQSwECLQAUAAYACAAAACEAe3CXAOAAAAANAQAADwAAAAAAAAAAAAAAAAB7BAAAZHJzL2Rvd25y&#10;ZXYueG1sUEsFBgAAAAAEAAQA8wAAAIgFAAAAAA==&#10;" filled="f" stroked="f">
              <v:textbox>
                <w:txbxContent>
                  <w:p w14:paraId="5FB05705" w14:textId="77777777" w:rsidR="00000000" w:rsidRPr="00C954D2" w:rsidRDefault="00000000" w:rsidP="00E74375">
                    <w:pPr>
                      <w:rPr>
                        <w:sz w:val="14"/>
                        <w:szCs w:val="12"/>
                        <w:lang w:val="es-ES_tradnl"/>
                      </w:rPr>
                    </w:pPr>
                    <w:r w:rsidRPr="00C954D2">
                      <w:rPr>
                        <w:sz w:val="14"/>
                        <w:szCs w:val="12"/>
                        <w:lang w:val="es-ES_tradnl"/>
                      </w:rPr>
                      <w:t>952 04 10 47</w:t>
                    </w:r>
                  </w:p>
                  <w:p w14:paraId="0B074AB0" w14:textId="77777777" w:rsidR="00000000" w:rsidRPr="00C954D2" w:rsidRDefault="00000000" w:rsidP="00E74375">
                    <w:pPr>
                      <w:rPr>
                        <w:sz w:val="14"/>
                        <w:szCs w:val="14"/>
                        <w:lang w:val="es-ES_tradnl"/>
                      </w:rPr>
                    </w:pPr>
                    <w:r w:rsidRPr="00C954D2">
                      <w:rPr>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69288A4" w14:textId="77777777" w:rsidR="00000000" w:rsidRPr="00C954D2" w:rsidRDefault="00000000" w:rsidP="00E74375">
                          <w:pPr>
                            <w:rPr>
                              <w:sz w:val="14"/>
                              <w:szCs w:val="14"/>
                              <w:lang w:val="es-ES_tradnl"/>
                            </w:rPr>
                          </w:pPr>
                          <w:r w:rsidRPr="00C954D2">
                            <w:rPr>
                              <w:sz w:val="14"/>
                              <w:szCs w:val="14"/>
                              <w:lang w:val="es-ES_tradnl"/>
                            </w:rPr>
                            <w:t>edp@edp-sl.com</w:t>
                          </w:r>
                        </w:p>
                        <w:p w14:paraId="3E909E7F"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29" type="#_x0000_t202" style="position:absolute;left:0;text-align:left;margin-left:211.55pt;margin-top:797.85pt;width:108pt;height: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" filled="f" stroked="f">
              <v:textbox>
                <w:txbxContent>
                  <w:p w14:paraId="069288A4" w14:textId="77777777" w:rsidR="00000000" w:rsidRPr="00C954D2" w:rsidRDefault="00000000" w:rsidP="00E74375">
                    <w:pPr>
                      <w:rPr>
                        <w:sz w:val="14"/>
                        <w:szCs w:val="14"/>
                        <w:lang w:val="es-ES_tradnl"/>
                      </w:rPr>
                    </w:pPr>
                    <w:r w:rsidRPr="00C954D2">
                      <w:rPr>
                        <w:sz w:val="14"/>
                        <w:szCs w:val="14"/>
                        <w:lang w:val="es-ES_tradnl"/>
                      </w:rPr>
                      <w:t>edp@edp-sl.com</w:t>
                    </w:r>
                  </w:p>
                  <w:p w14:paraId="3E909E7F"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52096"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217511060" name="Conector recto 217511060"/>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5FDFBAA7" w14:textId="77777777" w:rsidR="00000000" w:rsidRDefault="00000000" w:rsidP="00E74375">
    <w:r>
      <w:rPr>
        <w:noProof/>
      </w:rPr>
      <mc:AlternateContent>
        <mc:Choice Requires="wps">
          <w:drawing>
            <wp:anchor distT="0" distB="0" distL="114300" distR="114300" simplePos="0" relativeHeight="251664384"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3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553EB07"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F6C5A10"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0" type="#_x0000_t202" style="position:absolute;left:0;text-align:left;margin-left:463.85pt;margin-top:800.15pt;width:82.45pt;height:24.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zD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HwaYA+aDRRv&#10;1DxCzwtn5bKiQlbC+WeBRARqi8jtn+jQNbQ5h+HGWQn482/64E/4kJWzloiVc/djJ1BxVn81hNxt&#10;Op0GJkZhenk9IQHPLZtzi9k190DcTWmNrIzX4O/rw1UjNK+0A4uQlUzCSMqdc+nxINz7nvC0RVIt&#10;FtGN2GeFX5m1lQfUw6BfuleBdkDDE46PcCChyN6B0vv2KCx2HnQVETvNdaAPMTcCOWxZWI1zOXqd&#10;/gXzX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Bcx1zDJQIAAFMEAAAOAAAAAAAAAAAAAAAAAC4CAABkcnMvZTJv&#10;RG9jLnhtbFBLAQItABQABgAIAAAAIQDt1s4S4QAAAA4BAAAPAAAAAAAAAAAAAAAAAH8EAABkcnMv&#10;ZG93bnJldi54bWxQSwUGAAAAAAQABADzAAAAjQUAAAAA&#10;" filled="f" stroked="f">
              <v:textbox>
                <w:txbxContent>
                  <w:p w14:paraId="7553EB07"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F6C5A10"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30" name="Conector recto 30"/>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54144"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31" name="Conector recto 31"/>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45B3" w14:textId="77777777" w:rsidR="00000000" w:rsidRDefault="00000000" w:rsidP="00E74375">
    <w:r>
      <w:rPr>
        <w:noProof/>
      </w:rPr>
      <mc:AlternateContent>
        <mc:Choice Requires="wps">
          <w:drawing>
            <wp:anchor distT="0" distB="0" distL="114300" distR="114300" simplePos="0" relativeHeight="251661312"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100126026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31B6A84"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1DD20885" w14:textId="77777777" w:rsidR="00000000" w:rsidRPr="00C954D2" w:rsidRDefault="00000000" w:rsidP="00E74375">
                          <w:pPr>
                            <w:rPr>
                              <w:sz w:val="14"/>
                              <w:szCs w:val="14"/>
                              <w:lang w:val="es-ES_tradnl"/>
                            </w:rPr>
                          </w:pPr>
                          <w:r w:rsidRPr="00C954D2">
                            <w:rPr>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_x0000_s1031" type="#_x0000_t202" style="position:absolute;left:0;text-align:left;margin-left:319.55pt;margin-top:797.85pt;width:135pt;height: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DDVspsjAgAAUQQAAA4AAAAAAAAAAAAAAAAALgIAAGRycy9lMm9Eb2Mu&#10;eG1sUEsBAi0AFAAGAAgAAAAhAAAcdD3fAAAADQEAAA8AAAAAAAAAAAAAAAAAfQQAAGRycy9kb3du&#10;cmV2LnhtbFBLBQYAAAAABAAEAPMAAACJBQAAAAA=&#10;" filled="f" stroked="f">
              <v:textbox>
                <w:txbxContent>
                  <w:p w14:paraId="131B6A84"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1DD20885" w14:textId="77777777" w:rsidR="00000000" w:rsidRPr="00C954D2" w:rsidRDefault="00000000" w:rsidP="00E74375">
                    <w:pPr>
                      <w:rPr>
                        <w:sz w:val="14"/>
                        <w:szCs w:val="14"/>
                        <w:lang w:val="es-ES_tradnl"/>
                      </w:rPr>
                    </w:pPr>
                    <w:r w:rsidRPr="00C954D2">
                      <w:rPr>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1072"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102735746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395F60F" w14:textId="77777777" w:rsidR="00000000" w:rsidRPr="00C954D2" w:rsidRDefault="00000000" w:rsidP="00E74375">
                          <w:pPr>
                            <w:rPr>
                              <w:sz w:val="14"/>
                              <w:szCs w:val="12"/>
                              <w:lang w:val="es-ES_tradnl"/>
                            </w:rPr>
                          </w:pPr>
                          <w:r w:rsidRPr="00C954D2">
                            <w:rPr>
                              <w:sz w:val="14"/>
                              <w:szCs w:val="12"/>
                              <w:lang w:val="es-ES_tradnl"/>
                            </w:rPr>
                            <w:t>952 04 10 47</w:t>
                          </w:r>
                        </w:p>
                        <w:p w14:paraId="6B0D7CC1" w14:textId="77777777" w:rsidR="00000000" w:rsidRPr="00C954D2" w:rsidRDefault="00000000" w:rsidP="00E74375">
                          <w:pPr>
                            <w:rPr>
                              <w:sz w:val="14"/>
                              <w:szCs w:val="14"/>
                              <w:lang w:val="es-ES_tradnl"/>
                            </w:rPr>
                          </w:pPr>
                          <w:r w:rsidRPr="00C954D2">
                            <w:rPr>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32" type="#_x0000_t202" style="position:absolute;left:0;text-align:left;margin-left:112.55pt;margin-top:797.85pt;width:63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r82l+yECAABQBAAADgAAAAAAAAAAAAAAAAAuAgAAZHJzL2Uyb0RvYy54&#10;bWxQSwECLQAUAAYACAAAACEAe3CXAOAAAAANAQAADwAAAAAAAAAAAAAAAAB7BAAAZHJzL2Rvd25y&#10;ZXYueG1sUEsFBgAAAAAEAAQA8wAAAIgFAAAAAA==&#10;" filled="f" stroked="f">
              <v:textbox>
                <w:txbxContent>
                  <w:p w14:paraId="4395F60F" w14:textId="77777777" w:rsidR="00000000" w:rsidRPr="00C954D2" w:rsidRDefault="00000000" w:rsidP="00E74375">
                    <w:pPr>
                      <w:rPr>
                        <w:sz w:val="14"/>
                        <w:szCs w:val="12"/>
                        <w:lang w:val="es-ES_tradnl"/>
                      </w:rPr>
                    </w:pPr>
                    <w:r w:rsidRPr="00C954D2">
                      <w:rPr>
                        <w:sz w:val="14"/>
                        <w:szCs w:val="12"/>
                        <w:lang w:val="es-ES_tradnl"/>
                      </w:rPr>
                      <w:t>952 04 10 47</w:t>
                    </w:r>
                  </w:p>
                  <w:p w14:paraId="6B0D7CC1" w14:textId="77777777" w:rsidR="00000000" w:rsidRPr="00C954D2" w:rsidRDefault="00000000" w:rsidP="00E74375">
                    <w:pPr>
                      <w:rPr>
                        <w:sz w:val="14"/>
                        <w:szCs w:val="14"/>
                        <w:lang w:val="es-ES_tradnl"/>
                      </w:rPr>
                    </w:pPr>
                    <w:r w:rsidRPr="00C954D2">
                      <w:rPr>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160911310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8C30A12" w14:textId="77777777" w:rsidR="00000000" w:rsidRPr="00C954D2" w:rsidRDefault="00000000" w:rsidP="00E74375">
                          <w:pPr>
                            <w:rPr>
                              <w:sz w:val="14"/>
                              <w:szCs w:val="14"/>
                              <w:lang w:val="es-ES_tradnl"/>
                            </w:rPr>
                          </w:pPr>
                          <w:r w:rsidRPr="00C954D2">
                            <w:rPr>
                              <w:sz w:val="14"/>
                              <w:szCs w:val="14"/>
                              <w:lang w:val="es-ES_tradnl"/>
                            </w:rPr>
                            <w:t>edp@edp-sl.com</w:t>
                          </w:r>
                        </w:p>
                        <w:p w14:paraId="2D661ECB"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33" type="#_x0000_t202" style="position:absolute;left:0;text-align:left;margin-left:211.55pt;margin-top:797.85pt;width:108pt;height: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SH/AhIwIAAFEEAAAOAAAAAAAAAAAAAAAAAC4CAABkcnMvZTJvRG9j&#10;LnhtbFBLAQItABQABgAIAAAAIQBdzsba4AAAAA0BAAAPAAAAAAAAAAAAAAAAAH0EAABkcnMvZG93&#10;bnJldi54bWxQSwUGAAAAAAQABADzAAAAigUAAAAA&#10;" filled="f" stroked="f">
              <v:textbox>
                <w:txbxContent>
                  <w:p w14:paraId="38C30A12" w14:textId="77777777" w:rsidR="00000000" w:rsidRPr="00C954D2" w:rsidRDefault="00000000" w:rsidP="00E74375">
                    <w:pPr>
                      <w:rPr>
                        <w:sz w:val="14"/>
                        <w:szCs w:val="14"/>
                        <w:lang w:val="es-ES_tradnl"/>
                      </w:rPr>
                    </w:pPr>
                    <w:r w:rsidRPr="00C954D2">
                      <w:rPr>
                        <w:sz w:val="14"/>
                        <w:szCs w:val="14"/>
                        <w:lang w:val="es-ES_tradnl"/>
                      </w:rPr>
                      <w:t>edp@edp-sl.com</w:t>
                    </w:r>
                  </w:p>
                  <w:p w14:paraId="2D661ECB"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1039025773" name="Conector recto 1039025773"/>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53120"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1493930639" name="Conector recto 1493930639"/>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59CEAC55" w14:textId="77777777" w:rsidR="00000000" w:rsidRDefault="00000000" w:rsidP="00E74375">
    <w:r>
      <w:rPr>
        <w:noProof/>
      </w:rPr>
      <mc:AlternateContent>
        <mc:Choice Requires="wps">
          <w:drawing>
            <wp:anchor distT="0" distB="0" distL="114300" distR="114300" simplePos="0" relativeHeight="251665408"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1598839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1758AC6"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559C152"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4" type="#_x0000_t202" style="position:absolute;left:0;text-align:left;margin-left:463.85pt;margin-top:800.15pt;width:82.45pt;height:2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ss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PwmwB40Gyje&#10;qHmEnhfOymVFhayE888CiQjUFpHbP9Gha2hzDsONsxLw59/0wZ/wIStnLREr5+7HTqDirP5qCLnb&#10;dDoNTIzC9PJ6QgKeWzbnFrNr7oG4m9IaWRmvwd/Xh6tGaF5pBxYhK5mEkZQ759LjQbj3PeFpi6Ra&#10;LKIbsc8KvzJrKw+oh0G/dK8C7YCGJxwf4UBCkb0DpfftUVjsPOgqInaa60AfYm4EctiysBrncvQ6&#10;/Qvmv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DxRYssJQIAAFMEAAAOAAAAAAAAAAAAAAAAAC4CAABkcnMvZTJv&#10;RG9jLnhtbFBLAQItABQABgAIAAAAIQDt1s4S4QAAAA4BAAAPAAAAAAAAAAAAAAAAAH8EAABkcnMv&#10;ZG93bnJldi54bWxQSwUGAAAAAAQABADzAAAAjQUAAAAA&#10;" filled="f" stroked="f">
              <v:textbox>
                <w:txbxContent>
                  <w:p w14:paraId="51758AC6"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559C152"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1978811866" name="Conector recto 1978811866"/>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55168"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1989076238" name="Conector recto 198907623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8A0D5" w14:textId="77777777" w:rsidR="005C51BD" w:rsidRDefault="005C51BD">
      <w:r>
        <w:separator/>
      </w:r>
    </w:p>
  </w:footnote>
  <w:footnote w:type="continuationSeparator" w:id="0">
    <w:p w14:paraId="2670D0FB" w14:textId="77777777" w:rsidR="005C51BD" w:rsidRDefault="005C5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18CE" w14:textId="57C4ED6F" w:rsidR="00CA3182" w:rsidRDefault="00CA1E7A">
    <w:pPr>
      <w:spacing w:after="80"/>
    </w:pPr>
    <w:r w:rsidRPr="00CA1E7A">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75DF" w14:textId="7A03FEF0" w:rsidR="00CA1E7A" w:rsidRPr="00CA1E7A" w:rsidRDefault="00CA1E7A" w:rsidP="00CA1E7A">
    <w:pPr>
      <w:spacing w:after="80"/>
    </w:pPr>
    <w:r w:rsidRPr="00CA1E7A">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NOMBRE DEL DOCX QUE CORRESPONDA</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" stroked="f">
              <v:textbo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NOMBRE DEL DOCX QUE CORRESPONDA</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v:textbox>
            </v:shape>
          </w:pict>
        </mc:Fallback>
      </mc:AlternateContent>
    </w:r>
    <w:r w:rsidRPr="00CA1E7A">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4C9B42C7" w14:textId="15D05152"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5156" w14:textId="77777777" w:rsidR="00CA3182" w:rsidRDefault="00000000">
    <w:pPr>
      <w:tabs>
        <w:tab w:val="right" w:pos="8647"/>
      </w:tabs>
      <w:ind w:right="-397"/>
    </w:pPr>
    <w:r>
      <w:rPr>
        <w:noProof/>
      </w:rPr>
      <w:drawing>
        <wp:inline distT="0" distB="0" distL="0" distR="0" wp14:anchorId="536F9C80" wp14:editId="7BD3C0A0">
          <wp:extent cx="1085850" cy="476250"/>
          <wp:effectExtent l="0" t="0" r="0" b="0"/>
          <wp:docPr id="89669393" name="LogoEDP" descr="Logotipo EDP" title="Logo E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85850" cy="476250"/>
                  </a:xfrm>
                  <a:prstGeom prst="rect">
                    <a:avLst/>
                  </a:prstGeom>
                </pic:spPr>
              </pic:pic>
            </a:graphicData>
          </a:graphic>
        </wp:inline>
      </w:drawing>
    </w:r>
    <w:r>
      <w:rPr>
        <w:color w:val="366092"/>
        <w:sz w:val="12"/>
        <w:szCs w:val="12"/>
      </w:rPr>
      <w:tab/>
      <w:t xml:space="preserve">535.2.2 – MEJORA CARRETERA </w:t>
    </w:r>
    <w:proofErr w:type="spellStart"/>
    <w:r>
      <w:rPr>
        <w:color w:val="366092"/>
        <w:sz w:val="12"/>
        <w:szCs w:val="12"/>
      </w:rPr>
      <w:t>GUADALMAR</w:t>
    </w:r>
    <w:proofErr w:type="spellEnd"/>
    <w:r>
      <w:rPr>
        <w:color w:val="366092"/>
        <w:sz w:val="12"/>
        <w:szCs w:val="12"/>
      </w:rPr>
      <w:t xml:space="preserve"> – POU 2026</w:t>
    </w:r>
    <w:r>
      <w:rPr>
        <w:color w:val="366092"/>
        <w:sz w:val="12"/>
        <w:szCs w:val="12"/>
      </w:rPr>
      <w:br/>
      <w:t>Anejo n.º XX.– RED DE AGUA POTABLE</w:t>
    </w:r>
  </w:p>
  <w:p w14:paraId="24D2383F" w14:textId="77777777" w:rsidR="00CA3182" w:rsidRDefault="00CA3182">
    <w:pPr>
      <w:pBdr>
        <w:bottom w:val="single" w:sz="6" w:space="1" w:color="366092"/>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95AAE"/>
    <w:multiLevelType w:val="hybridMultilevel"/>
    <w:tmpl w:val="3CF27C86"/>
    <w:lvl w:ilvl="0" w:tplc="9E860586">
      <w:start w:val="1"/>
      <w:numFmt w:val="decimal"/>
      <w:lvlText w:val="%1."/>
      <w:lvlJc w:val="left"/>
      <w:pPr>
        <w:ind w:left="720" w:hanging="360"/>
      </w:pPr>
      <w:rPr>
        <w:rFonts w:ascii="Montserrat" w:eastAsia="Montserrat" w:hAnsi="Montserrat" w:cs="Montserrat"/>
        <w:sz w:val="19"/>
        <w:szCs w:val="19"/>
      </w:rPr>
    </w:lvl>
    <w:lvl w:ilvl="1" w:tplc="39D07208">
      <w:numFmt w:val="decimal"/>
      <w:lvlText w:val=""/>
      <w:lvlJc w:val="left"/>
    </w:lvl>
    <w:lvl w:ilvl="2" w:tplc="25FA2CF6">
      <w:numFmt w:val="decimal"/>
      <w:lvlText w:val=""/>
      <w:lvlJc w:val="left"/>
    </w:lvl>
    <w:lvl w:ilvl="3" w:tplc="4F165312">
      <w:numFmt w:val="decimal"/>
      <w:lvlText w:val=""/>
      <w:lvlJc w:val="left"/>
    </w:lvl>
    <w:lvl w:ilvl="4" w:tplc="3894E5E4">
      <w:numFmt w:val="decimal"/>
      <w:lvlText w:val=""/>
      <w:lvlJc w:val="left"/>
    </w:lvl>
    <w:lvl w:ilvl="5" w:tplc="0AE8EA0E">
      <w:numFmt w:val="decimal"/>
      <w:lvlText w:val=""/>
      <w:lvlJc w:val="left"/>
    </w:lvl>
    <w:lvl w:ilvl="6" w:tplc="D3D62E64">
      <w:numFmt w:val="decimal"/>
      <w:lvlText w:val=""/>
      <w:lvlJc w:val="left"/>
    </w:lvl>
    <w:lvl w:ilvl="7" w:tplc="34507024">
      <w:numFmt w:val="decimal"/>
      <w:lvlText w:val=""/>
      <w:lvlJc w:val="left"/>
    </w:lvl>
    <w:lvl w:ilvl="8" w:tplc="A2EA965E">
      <w:numFmt w:val="decimal"/>
      <w:lvlText w:val=""/>
      <w:lvlJc w:val="left"/>
    </w:lvl>
  </w:abstractNum>
  <w:abstractNum w:abstractNumId="1" w15:restartNumberingAfterBreak="0">
    <w:nsid w:val="5D3913D6"/>
    <w:multiLevelType w:val="hybridMultilevel"/>
    <w:tmpl w:val="50BA4F14"/>
    <w:lvl w:ilvl="0" w:tplc="45949A84">
      <w:start w:val="1"/>
      <w:numFmt w:val="bullet"/>
      <w:lvlText w:val="●"/>
      <w:lvlJc w:val="left"/>
      <w:pPr>
        <w:ind w:left="720" w:hanging="360"/>
      </w:pPr>
    </w:lvl>
    <w:lvl w:ilvl="1" w:tplc="53127470">
      <w:start w:val="1"/>
      <w:numFmt w:val="bullet"/>
      <w:lvlText w:val="○"/>
      <w:lvlJc w:val="left"/>
      <w:pPr>
        <w:ind w:left="1440" w:hanging="360"/>
      </w:pPr>
    </w:lvl>
    <w:lvl w:ilvl="2" w:tplc="7F486F40">
      <w:start w:val="1"/>
      <w:numFmt w:val="bullet"/>
      <w:lvlText w:val="■"/>
      <w:lvlJc w:val="left"/>
      <w:pPr>
        <w:ind w:left="2160" w:hanging="360"/>
      </w:pPr>
    </w:lvl>
    <w:lvl w:ilvl="3" w:tplc="5792E140">
      <w:start w:val="1"/>
      <w:numFmt w:val="bullet"/>
      <w:lvlText w:val="●"/>
      <w:lvlJc w:val="left"/>
      <w:pPr>
        <w:ind w:left="2880" w:hanging="360"/>
      </w:pPr>
    </w:lvl>
    <w:lvl w:ilvl="4" w:tplc="17C077DA">
      <w:start w:val="1"/>
      <w:numFmt w:val="bullet"/>
      <w:lvlText w:val="○"/>
      <w:lvlJc w:val="left"/>
      <w:pPr>
        <w:ind w:left="3600" w:hanging="360"/>
      </w:pPr>
    </w:lvl>
    <w:lvl w:ilvl="5" w:tplc="8C02AB34">
      <w:start w:val="1"/>
      <w:numFmt w:val="bullet"/>
      <w:lvlText w:val="■"/>
      <w:lvlJc w:val="left"/>
      <w:pPr>
        <w:ind w:left="4320" w:hanging="360"/>
      </w:pPr>
    </w:lvl>
    <w:lvl w:ilvl="6" w:tplc="6DAE1E88">
      <w:start w:val="1"/>
      <w:numFmt w:val="bullet"/>
      <w:lvlText w:val="●"/>
      <w:lvlJc w:val="left"/>
      <w:pPr>
        <w:ind w:left="5040" w:hanging="360"/>
      </w:pPr>
    </w:lvl>
    <w:lvl w:ilvl="7" w:tplc="BD9EE874">
      <w:start w:val="1"/>
      <w:numFmt w:val="bullet"/>
      <w:lvlText w:val="●"/>
      <w:lvlJc w:val="left"/>
      <w:pPr>
        <w:ind w:left="5760" w:hanging="360"/>
      </w:pPr>
    </w:lvl>
    <w:lvl w:ilvl="8" w:tplc="5EF416C0">
      <w:start w:val="1"/>
      <w:numFmt w:val="bullet"/>
      <w:lvlText w:val="●"/>
      <w:lvlJc w:val="left"/>
      <w:pPr>
        <w:ind w:left="6480" w:hanging="360"/>
      </w:pPr>
    </w:lvl>
  </w:abstractNum>
  <w:abstractNum w:abstractNumId="2" w15:restartNumberingAfterBreak="0">
    <w:nsid w:val="72533CA0"/>
    <w:multiLevelType w:val="hybridMultilevel"/>
    <w:tmpl w:val="0C241266"/>
    <w:lvl w:ilvl="0" w:tplc="53EE62B4">
      <w:start w:val="1"/>
      <w:numFmt w:val="bullet"/>
      <w:lvlText w:val="–"/>
      <w:lvlJc w:val="left"/>
      <w:pPr>
        <w:ind w:left="720" w:hanging="360"/>
      </w:pPr>
      <w:rPr>
        <w:rFonts w:ascii="Montserrat" w:eastAsia="Montserrat" w:hAnsi="Montserrat" w:cs="Montserrat"/>
        <w:sz w:val="19"/>
        <w:szCs w:val="19"/>
      </w:rPr>
    </w:lvl>
    <w:lvl w:ilvl="1" w:tplc="07BE43CC">
      <w:numFmt w:val="decimal"/>
      <w:lvlText w:val=""/>
      <w:lvlJc w:val="left"/>
    </w:lvl>
    <w:lvl w:ilvl="2" w:tplc="788C1188">
      <w:numFmt w:val="decimal"/>
      <w:lvlText w:val=""/>
      <w:lvlJc w:val="left"/>
    </w:lvl>
    <w:lvl w:ilvl="3" w:tplc="E8DABB08">
      <w:numFmt w:val="decimal"/>
      <w:lvlText w:val=""/>
      <w:lvlJc w:val="left"/>
    </w:lvl>
    <w:lvl w:ilvl="4" w:tplc="A50C2FF8">
      <w:numFmt w:val="decimal"/>
      <w:lvlText w:val=""/>
      <w:lvlJc w:val="left"/>
    </w:lvl>
    <w:lvl w:ilvl="5" w:tplc="A9CEADC4">
      <w:numFmt w:val="decimal"/>
      <w:lvlText w:val=""/>
      <w:lvlJc w:val="left"/>
    </w:lvl>
    <w:lvl w:ilvl="6" w:tplc="BA38A198">
      <w:numFmt w:val="decimal"/>
      <w:lvlText w:val=""/>
      <w:lvlJc w:val="left"/>
    </w:lvl>
    <w:lvl w:ilvl="7" w:tplc="EBEEA99A">
      <w:numFmt w:val="decimal"/>
      <w:lvlText w:val=""/>
      <w:lvlJc w:val="left"/>
    </w:lvl>
    <w:lvl w:ilvl="8" w:tplc="263AD1BC">
      <w:numFmt w:val="decimal"/>
      <w:lvlText w:val=""/>
      <w:lvlJc w:val="left"/>
    </w:lvl>
  </w:abstractNum>
  <w:num w:numId="1" w16cid:durableId="133566288">
    <w:abstractNumId w:val="1"/>
    <w:lvlOverride w:ilvl="0">
      <w:startOverride w:val="1"/>
    </w:lvlOverride>
  </w:num>
  <w:num w:numId="2" w16cid:durableId="171578232">
    <w:abstractNumId w:val="2"/>
    <w:lvlOverride w:ilvl="0">
      <w:startOverride w:val="1"/>
    </w:lvlOverride>
  </w:num>
  <w:num w:numId="3" w16cid:durableId="210962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82"/>
    <w:rsid w:val="001C42CE"/>
    <w:rsid w:val="005C51BD"/>
    <w:rsid w:val="00CA1E7A"/>
    <w:rsid w:val="00CA31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B2A19"/>
  <w15:docId w15:val="{AF99A15E-6137-44C2-9B74-A0875E14F33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Montserrat" w:hAnsi="Montserrat" w:eastAsia="Montserrat" w:cs="Montserrat"/>
      <w:sz w:val="19"/>
      <w:szCs w:val="19"/>
    </w:rPr>
  </w:style>
  <w:style w:type="paragraph" w:styleId="Ttulo1">
    <w:name w:val="heading 1"/>
    <w:basedOn w:val="Normal"/>
    <w:next w:val="Normal"/>
    <w:uiPriority w:val="9"/>
    <w:qFormat/>
    <w:pPr>
      <w:pBdr>
        <w:bottom w:val="single" w:sz="12" w:space="4" w:color="366092"/>
      </w:pBdr>
      <w:spacing w:before="11400" w:after="200"/>
      <w:jc w:val="right"/>
      <w:outlineLvl w:val="0"/>
    </w:pPr>
    <w:rPr>
      <w:b/>
      <w:bCs/>
      <w:color w:val="366092"/>
      <w:sz w:val="24"/>
      <w:szCs w:val="24"/>
    </w:rPr>
  </w:style>
  <w:style w:type="paragraph" w:styleId="Ttulo2">
    <w:name w:val="heading 2"/>
    <w:basedOn w:val="Normal"/>
    <w:next w:val="Normal"/>
    <w:uiPriority w:val="9"/>
    <w:unhideWhenUsed/>
    <w:qFormat/>
    <w:pPr>
      <w:pBdr>
        <w:bottom w:val="single" w:sz="8" w:space="4" w:color="366092"/>
      </w:pBdr>
      <w:spacing w:before="360" w:after="120"/>
      <w:outlineLvl w:val="1"/>
    </w:pPr>
    <w:rPr>
      <w:b/>
      <w:bCs/>
      <w:color w:val="366092"/>
      <w:sz w:val="18"/>
      <w:szCs w:val="18"/>
    </w:rPr>
  </w:style>
  <w:style w:type="paragraph" w:styleId="Ttulo3">
    <w:name w:val="heading 3"/>
    <w:basedOn w:val="Normal"/>
    <w:next w:val="Normal"/>
    <w:uiPriority w:val="9"/>
    <w:unhideWhenUsed/>
    <w:qFormat/>
    <w:pPr>
      <w:pBdr>
        <w:bottom w:val="single" w:sz="4" w:space="4" w:color="366092"/>
      </w:pBdr>
      <w:spacing w:before="240" w:after="100"/>
      <w:outlineLvl w:val="2"/>
    </w:pPr>
    <w:rPr>
      <w:color w:val="366092"/>
      <w:sz w:val="18"/>
      <w:szCs w:val="18"/>
    </w:rPr>
  </w:style>
  <w:style w:type="paragraph" w:styleId="Ttulo4">
    <w:name w:val="heading 4"/>
    <w:basedOn w:val="Normal"/>
    <w:next w:val="Normal"/>
    <w:uiPriority w:val="9"/>
    <w:unhideWhenUsed/>
    <w:qFormat/>
    <w:pPr>
      <w:spacing w:before="180" w:after="80"/>
      <w:outlineLvl w:val="3"/>
    </w:pPr>
    <w:rPr>
      <w:color w:val="366092"/>
      <w:sz w:val="18"/>
      <w:szCs w:val="18"/>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CA1E7A"/>
    <w:pPr>
      <w:spacing w:after="100"/>
      <w:ind w:left="190"/>
    </w:pPr>
  </w:style>
  <w:style w:type="paragraph" w:styleId="TDC3">
    <w:name w:val="toc 3"/>
    <w:basedOn w:val="Normal"/>
    <w:next w:val="Normal"/>
    <w:autoRedefine/>
    <w:uiPriority w:val="39"/>
    <w:unhideWhenUsed/>
    <w:rsid w:val="00CA1E7A"/>
    <w:pPr>
      <w:spacing w:after="100"/>
      <w:ind w:left="380"/>
    </w:pPr>
  </w:style>
  <w:style w:type="paragraph" w:styleId="TDC4">
    <w:name w:val="toc 4"/>
    <w:basedOn w:val="Normal"/>
    <w:next w:val="Normal"/>
    <w:autoRedefine/>
    <w:uiPriority w:val="39"/>
    <w:unhideWhenUsed/>
    <w:rsid w:val="00CA1E7A"/>
    <w:pPr>
      <w:spacing w:after="100"/>
      <w:ind w:left="570"/>
    </w:pPr>
  </w:style>
  <w:style w:type="paragraph" w:styleId="Encabezado">
    <w:name w:val="header"/>
    <w:basedOn w:val="Normal"/>
    <w:link w:val="EncabezadoCar"/>
    <w:uiPriority w:val="99"/>
    <w:unhideWhenUsed/>
    <w:rsid w:val="00CA1E7A"/>
    <w:pPr>
      <w:tabs>
        <w:tab w:val="center" w:pos="4252"/>
        <w:tab w:val="right" w:pos="8504"/>
      </w:tabs>
    </w:pPr>
  </w:style>
  <w:style w:type="character" w:customStyle="1" w:styleId="EncabezadoCar">
    <w:name w:val="Encabezado Car"/>
    <w:basedOn w:val="Fuentedeprrafopredeter"/>
    <w:link w:val="Encabezado"/>
    <w:uiPriority w:val="99"/>
    <w:rsid w:val="00CA1E7A"/>
  </w:style>
  <w:style w:type="paragraph" w:styleId="Piedepgina">
    <w:name w:val="footer"/>
    <w:basedOn w:val="Normal"/>
    <w:link w:val="PiedepginaCar"/>
    <w:uiPriority w:val="99"/>
    <w:unhideWhenUsed/>
    <w:rsid w:val="00CA1E7A"/>
    <w:pPr>
      <w:tabs>
        <w:tab w:val="center" w:pos="4252"/>
        <w:tab w:val="right" w:pos="8504"/>
      </w:tabs>
    </w:pPr>
  </w:style>
  <w:style w:type="character" w:customStyle="1" w:styleId="PiedepginaCar">
    <w:name w:val="Pie de página Car"/>
    <w:basedOn w:val="Fuentedeprrafopredeter"/>
    <w:link w:val="Piedepgina"/>
    <w:uiPriority w:val="99"/>
    <w:rsid w:val="00CA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509</Words>
  <Characters>2804</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GARPUL</cp:lastModifiedBy>
  <cp:revision>2</cp:revision>
  <dcterms:created xsi:type="dcterms:W3CDTF">2026-04-08T11:35:00Z</dcterms:created>
  <dcterms:modified xsi:type="dcterms:W3CDTF">2026-04-09T06:28:00Z</dcterms:modified>
</cp:coreProperties>
</file>