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5%"/>
            <w:tcBorders>
              <w:top w:val="none" w:color="auto" w:sz="0"/>
              <w:left w:val="none" w:color="auto" w:sz="0"/>
              <w:bottom w:val="none" w:color="auto" w:sz="0"/>
              <w:right w:val="none" w:color="auto" w:sz="0"/>
            </w:tcBorders>
          </w:tcPr>
          <w:p>
            <w:r>
              <w:rPr>
                <w:b/>
                <w:bCs/>
              </w:rPr>
              <w:t xml:space="preserve">IN THE INTEREST OF</w:t>
            </w:r>
          </w:p>
        </w:tc>
        <w:tc>
          <w:tcPr>
            <w:tcW w:type="pct" w:w="10%"/>
            <w:tcBorders>
              <w:top w:val="none" w:color="auto" w:sz="0"/>
              <w:left w:val="none" w:color="auto" w:sz="0"/>
              <w:bottom w:val="none" w:color="auto" w:sz="0"/>
              <w:right w:val="none" w:color="auto" w:sz="0"/>
            </w:tcBorders>
          </w:tcPr>
          <w:p>
            <w:pPr>
              <w:jc w:val="center"/>
            </w:pPr>
            <w:r>
              <w:rPr>
                <w:b/>
                <w:bCs/>
              </w:rPr>
              <w:t xml:space="preserve">§</w:t>
            </w:r>
          </w:p>
        </w:tc>
        <w:tc>
          <w:tcPr>
            <w:tcW w:type="pct" w:w="45%"/>
            <w:tcBorders>
              <w:top w:val="none" w:color="auto" w:sz="0"/>
              <w:left w:val="none" w:color="auto" w:sz="0"/>
              <w:bottom w:val="none" w:color="auto" w:sz="0"/>
              <w:right w:val="none" w:color="auto" w:sz="0"/>
            </w:tcBorders>
          </w:tcPr>
          <w:p>
            <w:pPr>
              <w:jc w:val="center"/>
            </w:pPr>
            <w:r>
              <w:rPr>
                <w:b/>
                <w:bCs/>
              </w:rPr>
              <w:t xml:space="preserve">CAUSE NO. {{cause_number}}</w:t>
            </w:r>
          </w:p>
          <w:p>
            <w:r>
              <w:rPr>
                <w:b/>
                <w:bCs/>
              </w:rPr>
              <w:t xml:space="preserve">IN THE DISTRICT COURT OF</w:t>
            </w:r>
          </w:p>
        </w:tc>
      </w:tr>
      <w:tr>
        <w:tc>
          <w:tcPr>
            <w:tcW w:type="pct" w:w="45%"/>
            <w:tcBorders>
              <w:top w:val="none" w:color="auto" w:sz="0"/>
              <w:left w:val="none" w:color="auto" w:sz="0"/>
              <w:bottom w:val="none" w:color="auto" w:sz="0"/>
              <w:right w:val="none" w:color="auto" w:sz="0"/>
            </w:tcBorders>
          </w:tcPr>
          <w:p>
            <w:r>
              <w:t xml:space="preserve"/>
            </w:r>
          </w:p>
        </w:tc>
        <w:tc>
          <w:tcPr>
            <w:tcW w:type="pct" w:w="10%"/>
            <w:tcBorders>
              <w:top w:val="none" w:color="auto" w:sz="0"/>
              <w:left w:val="none" w:color="auto" w:sz="0"/>
              <w:bottom w:val="none" w:color="auto" w:sz="0"/>
              <w:right w:val="none" w:color="auto" w:sz="0"/>
            </w:tcBorders>
          </w:tcPr>
          <w:p>
            <w:pPr>
              <w:jc w:val="center"/>
            </w:pPr>
            <w:r>
              <w:rPr>
                <w:b/>
                <w:bCs/>
              </w:rPr>
              <w:t xml:space="preserve">§</w:t>
            </w:r>
          </w:p>
        </w:tc>
        <w:tc>
          <w:tcPr>
            <w:tcW w:type="pct" w:w="45%"/>
            <w:tcBorders>
              <w:top w:val="none" w:color="auto" w:sz="0"/>
              <w:left w:val="none" w:color="auto" w:sz="0"/>
              <w:bottom w:val="none" w:color="auto" w:sz="0"/>
              <w:right w:val="none" w:color="auto" w:sz="0"/>
            </w:tcBorders>
          </w:tcPr>
          <w:p>
            <w:r>
              <w:t xml:space="preserve"/>
            </w:r>
          </w:p>
        </w:tc>
      </w:tr>
      <w:tr>
        <w:tc>
          <w:tcPr>
            <w:tcW w:type="pct" w:w="45%"/>
            <w:tcBorders>
              <w:top w:val="none" w:color="auto" w:sz="0"/>
              <w:left w:val="none" w:color="auto" w:sz="0"/>
              <w:bottom w:val="none" w:color="auto" w:sz="0"/>
              <w:right w:val="none" w:color="auto" w:sz="0"/>
            </w:tcBorders>
          </w:tcPr>
          <w:p>
            <w:r>
              <w:rPr>
                <w:b/>
                <w:bCs/>
              </w:rPr>
              <w:t xml:space="preserve">{{child_caption_name}}, A CHILD</w:t>
            </w:r>
          </w:p>
        </w:tc>
        <w:tc>
          <w:tcPr>
            <w:tcW w:type="pct" w:w="10%"/>
            <w:tcBorders>
              <w:top w:val="none" w:color="auto" w:sz="0"/>
              <w:left w:val="none" w:color="auto" w:sz="0"/>
              <w:bottom w:val="none" w:color="auto" w:sz="0"/>
              <w:right w:val="none" w:color="auto" w:sz="0"/>
            </w:tcBorders>
          </w:tcPr>
          <w:p>
            <w:pPr>
              <w:jc w:val="center"/>
            </w:pPr>
            <w:r>
              <w:rPr>
                <w:b/>
                <w:bCs/>
              </w:rPr>
              <w:t xml:space="preserve">§</w:t>
            </w:r>
          </w:p>
        </w:tc>
        <w:tc>
          <w:tcPr>
            <w:tcW w:type="pct" w:w="45%"/>
            <w:tcBorders>
              <w:top w:val="none" w:color="auto" w:sz="0"/>
              <w:left w:val="none" w:color="auto" w:sz="0"/>
              <w:bottom w:val="none" w:color="auto" w:sz="0"/>
              <w:right w:val="none" w:color="auto" w:sz="0"/>
            </w:tcBorders>
          </w:tcPr>
          <w:p>
            <w:r>
              <w:rPr>
                <w:b/>
                <w:bCs/>
              </w:rPr>
              <w:t xml:space="preserve">{{county_name}} COUNTY, TEXAS</w:t>
            </w:r>
          </w:p>
        </w:tc>
      </w:tr>
      <w:tr>
        <w:tc>
          <w:tcPr>
            <w:tcW w:type="pct" w:w="45%"/>
            <w:tcBorders>
              <w:top w:val="none" w:color="auto" w:sz="0"/>
              <w:left w:val="none" w:color="auto" w:sz="0"/>
              <w:bottom w:val="none" w:color="auto" w:sz="0"/>
              <w:right w:val="none" w:color="auto" w:sz="0"/>
            </w:tcBorders>
          </w:tcPr>
          <w:p>
            <w:r>
              <w:t xml:space="preserve"/>
            </w:r>
          </w:p>
        </w:tc>
        <w:tc>
          <w:tcPr>
            <w:tcW w:type="pct" w:w="10%"/>
            <w:tcBorders>
              <w:top w:val="none" w:color="auto" w:sz="0"/>
              <w:left w:val="none" w:color="auto" w:sz="0"/>
              <w:bottom w:val="none" w:color="auto" w:sz="0"/>
              <w:right w:val="none" w:color="auto" w:sz="0"/>
            </w:tcBorders>
          </w:tcPr>
          <w:p>
            <w:pPr>
              <w:jc w:val="center"/>
            </w:pPr>
            <w:r>
              <w:rPr>
                <w:b/>
                <w:bCs/>
              </w:rPr>
              <w:t xml:space="preserve">§</w:t>
            </w:r>
          </w:p>
        </w:tc>
        <w:tc>
          <w:tcPr>
            <w:tcW w:type="pct" w:w="45%"/>
            <w:tcBorders>
              <w:top w:val="none" w:color="auto" w:sz="0"/>
              <w:left w:val="none" w:color="auto" w:sz="0"/>
              <w:bottom w:val="none" w:color="auto" w:sz="0"/>
              <w:right w:val="none" w:color="auto" w:sz="0"/>
            </w:tcBorders>
          </w:tcPr>
          <w:p>
            <w:r>
              <w:t xml:space="preserve"/>
            </w:r>
          </w:p>
        </w:tc>
      </w:tr>
      <w:tr>
        <w:tc>
          <w:tcPr>
            <w:tcW w:type="pct" w:w="45%"/>
            <w:tcBorders>
              <w:top w:val="none" w:color="auto" w:sz="0"/>
              <w:left w:val="none" w:color="auto" w:sz="0"/>
              <w:bottom w:val="none" w:color="auto" w:sz="0"/>
              <w:right w:val="none" w:color="auto" w:sz="0"/>
            </w:tcBorders>
          </w:tcPr>
          <w:p>
            <w:r>
              <w:t xml:space="preserve"/>
            </w:r>
          </w:p>
        </w:tc>
        <w:tc>
          <w:tcPr>
            <w:tcW w:type="pct" w:w="10%"/>
            <w:tcBorders>
              <w:top w:val="none" w:color="auto" w:sz="0"/>
              <w:left w:val="none" w:color="auto" w:sz="0"/>
              <w:bottom w:val="none" w:color="auto" w:sz="0"/>
              <w:right w:val="none" w:color="auto" w:sz="0"/>
            </w:tcBorders>
          </w:tcPr>
          <w:p>
            <w:pPr>
              <w:jc w:val="center"/>
            </w:pPr>
            <w:r>
              <w:rPr>
                <w:b/>
                <w:bCs/>
              </w:rPr>
              <w:t xml:space="preserve">§</w:t>
            </w:r>
          </w:p>
        </w:tc>
        <w:tc>
          <w:tcPr>
            <w:tcW w:type="pct" w:w="45%"/>
            <w:tcBorders>
              <w:top w:val="none" w:color="auto" w:sz="0"/>
              <w:left w:val="none" w:color="auto" w:sz="0"/>
              <w:bottom w:val="none" w:color="auto" w:sz="0"/>
              <w:right w:val="none" w:color="auto" w:sz="0"/>
            </w:tcBorders>
          </w:tcPr>
          <w:p>
            <w:r>
              <w:t xml:space="preserve"/>
            </w:r>
          </w:p>
        </w:tc>
      </w:tr>
      <w:tr>
        <w:tc>
          <w:tcPr>
            <w:tcW w:type="pct" w:w="45%"/>
            <w:tcBorders>
              <w:top w:val="none" w:color="auto" w:sz="0"/>
              <w:left w:val="none" w:color="auto" w:sz="0"/>
              <w:bottom w:val="none" w:color="auto" w:sz="0"/>
              <w:right w:val="none" w:color="auto" w:sz="0"/>
            </w:tcBorders>
          </w:tcPr>
          <w:p>
            <w:r>
              <w:t xml:space="preserve"/>
            </w:r>
          </w:p>
        </w:tc>
        <w:tc>
          <w:tcPr>
            <w:tcW w:type="pct" w:w="10%"/>
            <w:tcBorders>
              <w:top w:val="none" w:color="auto" w:sz="0"/>
              <w:left w:val="none" w:color="auto" w:sz="0"/>
              <w:bottom w:val="none" w:color="auto" w:sz="0"/>
              <w:right w:val="none" w:color="auto" w:sz="0"/>
            </w:tcBorders>
          </w:tcPr>
          <w:p>
            <w:pPr>
              <w:jc w:val="center"/>
            </w:pPr>
            <w:r>
              <w:rPr>
                <w:b/>
                <w:bCs/>
              </w:rPr>
              <w:t xml:space="preserve">§</w:t>
            </w:r>
          </w:p>
        </w:tc>
        <w:tc>
          <w:tcPr>
            <w:tcW w:type="pct" w:w="45%"/>
            <w:tcBorders>
              <w:top w:val="none" w:color="auto" w:sz="0"/>
              <w:left w:val="none" w:color="auto" w:sz="0"/>
              <w:bottom w:val="none" w:color="auto" w:sz="0"/>
              <w:right w:val="none" w:color="auto" w:sz="0"/>
            </w:tcBorders>
          </w:tcPr>
          <w:p>
            <w:r>
              <w:rPr>
                <w:b/>
                <w:bCs/>
              </w:rPr>
              <w:t xml:space="preserve">{{judicial_district}} JUDICIAL DISTRICT</w:t>
            </w:r>
          </w:p>
        </w:tc>
      </w:tr>
    </w:tbl>
    <w:p>
      <w:r>
        <w:t xml:space="preserve"/>
      </w:r>
    </w:p>
    <w:p>
      <w:pPr>
        <w:spacing w:after="240" w:before="240"/>
        <w:jc w:val="center"/>
      </w:pPr>
      <w:r>
        <w:rPr>
          <w:b/>
          <w:bCs/>
        </w:rPr>
        <w:t xml:space="preserve">ORDER REGARDING</w:t>
      </w:r>
    </w:p>
    <w:p>
      <w:pPr>
        <w:spacing w:after="360"/>
        <w:jc w:val="center"/>
      </w:pPr>
      <w:r>
        <w:rPr>
          <w:b/>
          <w:bCs/>
        </w:rPr>
        <w:t xml:space="preserve">SPECIAL IMMIGRANT JUVENILE STATUS FINDINGS</w:t>
      </w:r>
    </w:p>
    <w:p>
      <w:pPr>
        <w:spacing w:after="240"/>
        <w:ind w:firstLine="720"/>
        <w:jc w:val="both"/>
      </w:pPr>
      <w:r>
        <w:t xml:space="preserve">This Court has jurisdiction over this case pursuant to Texas Family Code, Title 5, Subtitle E, </w:t>
      </w:r>
      <w:r>
        <w:rPr>
          <w:b/>
          <w:bCs/>
        </w:rPr>
        <w:t xml:space="preserve">PROTECTION OF THE CHILD</w:t>
      </w:r>
      <w:r>
        <w:t xml:space="preserve">.  On this day the Court reviewed the affidavits, reports, documents, testimony and other evidence presented to this Court, as well as the prior findings and orders entered in the Suit Affecting the Parent Child Relationship regarding this child, heard arguments of counsel and made the following findings:</w:t>
      </w:r>
    </w:p>
    <w:p>
      <w:pPr>
        <w:spacing w:after="120" w:before="240"/>
      </w:pPr>
      <w:r>
        <w:rPr>
          <w:b/>
          <w:bCs/>
          <w:u w:val="single"/>
        </w:rPr>
        <w:t xml:space="preserve">1.  Child in State Foster Care</w:t>
      </w:r>
    </w:p>
    <w:p>
      <w:pPr>
        <w:spacing w:after="240"/>
        <w:ind w:firstLine="720"/>
        <w:jc w:val="both"/>
      </w:pPr>
      <w:r>
        <w:rPr>
          <w:b/>
          <w:bCs/>
        </w:rPr>
        <w:t xml:space="preserve">{{conservator_name}}</w:t>
      </w:r>
      <w:r>
        <w:t xml:space="preserve"> is the state agency responsible for child protective services in Texas. Texas Human Resources Code §40.002(b)(1).  By order of this Court on </w:t>
      </w:r>
      <w:r>
        <w:rPr>
          <w:b/>
          <w:bCs/>
        </w:rPr>
        <w:t xml:space="preserve">{{prior_order_date_full}}</w:t>
      </w:r>
      <w:r>
        <w:t xml:space="preserve">, </w:t>
      </w:r>
      <w:r>
        <w:rPr>
          <w:b/>
          <w:bCs/>
        </w:rPr>
        <w:t xml:space="preserve">{{conservator_short}}</w:t>
      </w:r>
      <w:r>
        <w:t xml:space="preserve"> was named managing conservator of this child, pursuant to Chapter 262 of the Texas Family Code, Procedures In Suit By Governmental Entity to Protect Health and Safety of Child.  Accordingly, this Court finds that this child has been legally committed to, or placed in the custody of </w:t>
      </w:r>
      <w:r>
        <w:rPr>
          <w:b/>
          <w:bCs/>
        </w:rPr>
        <w:t xml:space="preserve">{{conservator_short}}</w:t>
      </w:r>
      <w:r>
        <w:t xml:space="preserve">:</w:t>
      </w:r>
    </w:p>
    <w:p>
      <w:pPr>
        <w:ind w:left="720"/>
      </w:pPr>
      <w:r>
        <w:rPr>
          <w:b/>
          <w:bCs/>
        </w:rPr>
        <w:t xml:space="preserve">Name: </w:t>
      </w:r>
      <w:r>
        <w:t xml:space="preserve">{{child_full_name}}</w:t>
      </w:r>
    </w:p>
    <w:p>
      <w:pPr>
        <w:ind w:left="720"/>
      </w:pPr>
      <w:r>
        <w:rPr>
          <w:b/>
          <w:bCs/>
        </w:rPr>
        <w:t xml:space="preserve">Sex: </w:t>
      </w:r>
      <w:r>
        <w:t xml:space="preserve">{{child_sex}}</w:t>
      </w:r>
    </w:p>
    <w:p>
      <w:pPr>
        <w:ind w:left="720"/>
      </w:pPr>
      <w:r>
        <w:rPr>
          <w:b/>
          <w:bCs/>
        </w:rPr>
        <w:t xml:space="preserve">Birth place: </w:t>
      </w:r>
      <w:r>
        <w:t xml:space="preserve">{{child_birth_place}}</w:t>
      </w:r>
    </w:p>
    <w:p>
      <w:pPr>
        <w:spacing w:after="240"/>
        <w:ind w:left="720"/>
      </w:pPr>
      <w:r>
        <w:rPr>
          <w:b/>
          <w:bCs/>
        </w:rPr>
        <w:t xml:space="preserve">Birth date: </w:t>
      </w:r>
      <w:r>
        <w:t xml:space="preserve">{{child_birth_date}}</w:t>
      </w:r>
    </w:p>
    <w:p>
      <w:pPr>
        <w:spacing w:after="120" w:before="240"/>
      </w:pPr>
      <w:r>
        <w:rPr>
          <w:b/>
          <w:bCs/>
          <w:u w:val="single"/>
        </w:rPr>
        <w:t xml:space="preserve">2.  Viability of Reunification with One or Both Parents</w:t>
      </w:r>
    </w:p>
    <w:p>
      <w:pPr>
        <w:spacing w:after="240"/>
        <w:jc w:val="both"/>
      </w:pPr>
      <w:r>
        <w:t xml:space="preserve">Further, this Court finds:</w:t>
      </w:r>
    </w:p>
    <w:p>
      <w:pPr>
        <w:spacing w:after="240"/>
        <w:ind w:firstLine="720"/>
        <w:jc w:val="both"/>
      </w:pPr>
      <w:r>
        <w:t xml:space="preserve">That reunification of this child with </w:t>
      </w:r>
      <w:r>
        <w:rPr>
          <w:b/>
          <w:bCs/>
        </w:rPr>
        <w:t xml:space="preserve">{{mother_name}}</w:t>
      </w:r>
      <w:r>
        <w:t xml:space="preserve">, mother, is not viable today or within the period of this Court’s jurisdiction due to </w:t>
      </w:r>
      <w:r>
        <w:rPr>
          <w:b/>
          <w:bCs/>
        </w:rPr>
        <w:t xml:space="preserve">{{mother_grounds}}</w:t>
      </w:r>
      <w:r>
        <w:t xml:space="preserve"> (Tex. Fam. Code § 261.001 et seq.).  This finding is based on </w:t>
      </w:r>
      <w:r>
        <w:t xml:space="preserve">{{mother_facts}}</w:t>
      </w:r>
      <w:r>
        <w:t xml:space="preserve">.</w:t>
      </w:r>
    </w:p>
    <w:p>
      <w:pPr>
        <w:spacing w:after="240"/>
        <w:ind w:firstLine="720"/>
        <w:jc w:val="both"/>
      </w:pPr>
      <w:r>
        <w:t xml:space="preserve">That reunification of this child with </w:t>
      </w:r>
      <w:r>
        <w:rPr>
          <w:b/>
          <w:bCs/>
        </w:rPr>
        <w:t xml:space="preserve">{{father_name}}</w:t>
      </w:r>
      <w:r>
        <w:t xml:space="preserve">, father, is not viable today or within the period of this Court’s jurisdiction due to </w:t>
      </w:r>
      <w:r>
        <w:rPr>
          <w:b/>
          <w:bCs/>
        </w:rPr>
        <w:t xml:space="preserve">{{father_grounds}}</w:t>
      </w:r>
      <w:r>
        <w:t xml:space="preserve"> (Tex. Fam. Code § 261.001 et seq.).  This finding is based on </w:t>
      </w:r>
      <w:r>
        <w:t xml:space="preserve">{{father_facts}}</w:t>
      </w:r>
      <w:r>
        <w:t xml:space="preserve">.</w:t>
      </w:r>
    </w:p>
    <w:p>
      <w:pPr>
        <w:spacing w:after="240"/>
        <w:ind w:firstLine="720"/>
        <w:jc w:val="both"/>
      </w:pPr>
      <w:r>
        <w:t xml:space="preserve">On </w:t>
      </w:r>
      <w:r>
        <w:rPr>
          <w:b/>
          <w:bCs/>
        </w:rPr>
        <w:t xml:space="preserve">{{final_order_date}}</w:t>
      </w:r>
      <w:r>
        <w:t xml:space="preserve"> this Court entered an order </w:t>
      </w:r>
      <w:r>
        <w:t xml:space="preserve">{{final_order_action}}</w:t>
      </w:r>
      <w:r>
        <w:t xml:space="preserve"> of this child.</w:t>
      </w:r>
    </w:p>
    <w:p>
      <w:pPr>
        <w:spacing w:after="120" w:before="240"/>
      </w:pPr>
      <w:r>
        <w:rPr>
          <w:b/>
          <w:bCs/>
          <w:u w:val="single"/>
        </w:rPr>
        <w:t xml:space="preserve">3.  Not in Child’s Best Interest to Return</w:t>
      </w:r>
    </w:p>
    <w:p>
      <w:pPr>
        <w:spacing w:after="240"/>
        <w:ind w:firstLine="720"/>
        <w:jc w:val="both"/>
      </w:pPr>
      <w:r>
        <w:t xml:space="preserve">This Court also finds that it is not in this child’s best interest to return to </w:t>
      </w:r>
      <w:r>
        <w:rPr>
          <w:b/>
          <w:bCs/>
        </w:rPr>
        <w:t xml:space="preserve">{{child_country}}</w:t>
      </w:r>
      <w:r>
        <w:t xml:space="preserve">, the child’s country of nationality or last habitual residence, consistent with Texas Family Code §263.307(a).  This finding is based on </w:t>
      </w:r>
      <w:r>
        <w:t xml:space="preserve">{{best_interest_facts}}</w:t>
      </w:r>
      <w:r>
        <w:t xml:space="preserve">.</w:t>
      </w:r>
    </w:p>
    <w:p>
      <w:pPr>
        <w:spacing w:after="480"/>
        <w:ind w:firstLine="720"/>
        <w:jc w:val="both"/>
      </w:pPr>
      <w:r>
        <w:t xml:space="preserve">The primary purpose of this Order is to continue to provide protection and to implement a permanency plan.</w:t>
      </w:r>
    </w:p>
    <w:p>
      <w:pPr>
        <w:spacing w:before="720"/>
      </w:pPr>
      <w:r>
        <w:rPr>
          <w:b/>
          <w:bCs/>
        </w:rPr>
        <w:t xml:space="preserve">Signed </w:t>
      </w:r>
      <w:r>
        <w:t xml:space="preserve">___________________________________</w:t>
      </w:r>
    </w:p>
    <w:p>
      <w:pPr>
        <w:ind w:left="1080"/>
      </w:pPr>
      <w:r>
        <w:rPr>
          <w:b/>
          <w:bCs/>
        </w:rPr>
        <w:t xml:space="preserve">JUDGE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2026-04-28T23:58:59.276Z</dcterms:created>
  <dcterms:modified xsi:type="dcterms:W3CDTF">2026-04-28T23:58:59.276Z</dcterms:modified>
</cp:coreProperties>
</file>

<file path=docProps/custom.xml><?xml version="1.0" encoding="utf-8"?>
<Properties xmlns="http://schemas.openxmlformats.org/officeDocument/2006/custom-properties" xmlns:vt="http://schemas.openxmlformats.org/officeDocument/2006/docPropsVTypes"/>
</file>