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BA6A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BA6A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A79E125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32453AC" w14:textId="77777777" w:rsidR="00D370ED" w:rsidRPr="006177F7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</w:t>
            </w:r>
            <w:r>
              <w:rPr>
                <w:sz w:val="28"/>
                <w:szCs w:val="28"/>
              </w:rPr>
              <w:t xml:space="preserve"> suo carrello attuale</w:t>
            </w:r>
          </w:p>
          <w:p w14:paraId="148FD166" w14:textId="4CD4E966" w:rsidR="00E56CC0" w:rsidRPr="004B20B6" w:rsidRDefault="00D370ED" w:rsidP="004B20B6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conferma la rimozione, aggiornando </w:t>
            </w:r>
            <w:r>
              <w:rPr>
                <w:sz w:val="28"/>
                <w:szCs w:val="28"/>
              </w:rPr>
              <w:t>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</w:t>
            </w:r>
            <w:r w:rsidR="007542B8">
              <w:rPr>
                <w:sz w:val="28"/>
                <w:szCs w:val="28"/>
              </w:rPr>
              <w:t xml:space="preserve">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  <w:bookmarkStart w:id="6" w:name="_GoBack"/>
            <w:bookmarkEnd w:id="6"/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lastRenderedPageBreak/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1FCCEA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</w:t>
            </w:r>
            <w:r>
              <w:rPr>
                <w:sz w:val="28"/>
                <w:szCs w:val="28"/>
              </w:rPr>
              <w:t xml:space="preserve">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 xml:space="preserve">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lastRenderedPageBreak/>
              <w:t>Il sistema verifica la presenza del componente e lo rimuove.</w:t>
            </w:r>
          </w:p>
        </w:tc>
      </w:tr>
    </w:tbl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lastRenderedPageBreak/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2A7252D3" w:rsidR="00514BC2" w:rsidRDefault="00514BC2" w:rsidP="001C33EE">
      <w:pPr>
        <w:rPr>
          <w:b/>
          <w:sz w:val="32"/>
          <w:szCs w:val="32"/>
        </w:rPr>
      </w:pPr>
    </w:p>
    <w:p w14:paraId="7EE0286A" w14:textId="77777777" w:rsidR="00BF252E" w:rsidRPr="001C33EE" w:rsidRDefault="00BF252E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 xml:space="preserve">la gestione delle </w:t>
            </w:r>
            <w:r w:rsidRPr="007A548D">
              <w:rPr>
                <w:sz w:val="28"/>
                <w:szCs w:val="28"/>
              </w:rPr>
              <w:lastRenderedPageBreak/>
              <w:t>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 xml:space="preserve">contiene uno o più componenti meccanici che forniscono </w:t>
            </w:r>
            <w:r w:rsidRPr="00FB0405">
              <w:rPr>
                <w:sz w:val="28"/>
                <w:szCs w:val="28"/>
              </w:rPr>
              <w:lastRenderedPageBreak/>
              <w:t>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lastRenderedPageBreak/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41DF" w14:textId="77777777" w:rsidR="00CD6641" w:rsidRDefault="00CD6641" w:rsidP="008F64A6">
      <w:pPr>
        <w:spacing w:after="0" w:line="240" w:lineRule="auto"/>
      </w:pPr>
      <w:r>
        <w:separator/>
      </w:r>
    </w:p>
  </w:endnote>
  <w:endnote w:type="continuationSeparator" w:id="0">
    <w:p w14:paraId="6B7C4D77" w14:textId="77777777" w:rsidR="00CD6641" w:rsidRDefault="00CD6641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BA6A4B" w:rsidRPr="00EF6BDA" w:rsidRDefault="00BA6A4B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D147D" w14:textId="77777777" w:rsidR="00CD6641" w:rsidRDefault="00CD6641" w:rsidP="008F64A6">
      <w:pPr>
        <w:spacing w:after="0" w:line="240" w:lineRule="auto"/>
      </w:pPr>
      <w:r>
        <w:separator/>
      </w:r>
    </w:p>
  </w:footnote>
  <w:footnote w:type="continuationSeparator" w:id="0">
    <w:p w14:paraId="11C9CBD6" w14:textId="77777777" w:rsidR="00CD6641" w:rsidRDefault="00CD6641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BA6A4B" w:rsidRDefault="00BA6A4B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BA6A4B" w:rsidRDefault="00BA6A4B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BA6A4B" w:rsidRDefault="00BA6A4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BA6A4B" w:rsidRDefault="00BA6A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7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26"/>
  </w:num>
  <w:num w:numId="3">
    <w:abstractNumId w:val="11"/>
  </w:num>
  <w:num w:numId="4">
    <w:abstractNumId w:val="19"/>
  </w:num>
  <w:num w:numId="5">
    <w:abstractNumId w:val="0"/>
  </w:num>
  <w:num w:numId="6">
    <w:abstractNumId w:val="22"/>
  </w:num>
  <w:num w:numId="7">
    <w:abstractNumId w:val="40"/>
  </w:num>
  <w:num w:numId="8">
    <w:abstractNumId w:val="23"/>
  </w:num>
  <w:num w:numId="9">
    <w:abstractNumId w:val="6"/>
  </w:num>
  <w:num w:numId="10">
    <w:abstractNumId w:val="39"/>
  </w:num>
  <w:num w:numId="11">
    <w:abstractNumId w:val="14"/>
  </w:num>
  <w:num w:numId="12">
    <w:abstractNumId w:val="20"/>
  </w:num>
  <w:num w:numId="13">
    <w:abstractNumId w:val="3"/>
  </w:num>
  <w:num w:numId="14">
    <w:abstractNumId w:val="16"/>
  </w:num>
  <w:num w:numId="15">
    <w:abstractNumId w:val="2"/>
  </w:num>
  <w:num w:numId="16">
    <w:abstractNumId w:val="4"/>
  </w:num>
  <w:num w:numId="17">
    <w:abstractNumId w:val="35"/>
  </w:num>
  <w:num w:numId="18">
    <w:abstractNumId w:val="15"/>
  </w:num>
  <w:num w:numId="19">
    <w:abstractNumId w:val="28"/>
  </w:num>
  <w:num w:numId="20">
    <w:abstractNumId w:val="8"/>
  </w:num>
  <w:num w:numId="21">
    <w:abstractNumId w:val="9"/>
  </w:num>
  <w:num w:numId="22">
    <w:abstractNumId w:val="32"/>
  </w:num>
  <w:num w:numId="23">
    <w:abstractNumId w:val="33"/>
  </w:num>
  <w:num w:numId="24">
    <w:abstractNumId w:val="7"/>
  </w:num>
  <w:num w:numId="25">
    <w:abstractNumId w:val="27"/>
  </w:num>
  <w:num w:numId="26">
    <w:abstractNumId w:val="37"/>
  </w:num>
  <w:num w:numId="27">
    <w:abstractNumId w:val="21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2"/>
  </w:num>
  <w:num w:numId="31">
    <w:abstractNumId w:val="1"/>
  </w:num>
  <w:num w:numId="32">
    <w:abstractNumId w:val="31"/>
  </w:num>
  <w:num w:numId="33">
    <w:abstractNumId w:val="38"/>
  </w:num>
  <w:num w:numId="34">
    <w:abstractNumId w:val="18"/>
  </w:num>
  <w:num w:numId="35">
    <w:abstractNumId w:val="10"/>
  </w:num>
  <w:num w:numId="36">
    <w:abstractNumId w:val="36"/>
  </w:num>
  <w:num w:numId="37">
    <w:abstractNumId w:val="17"/>
  </w:num>
  <w:num w:numId="38">
    <w:abstractNumId w:val="34"/>
  </w:num>
  <w:num w:numId="39">
    <w:abstractNumId w:val="30"/>
  </w:num>
  <w:num w:numId="40">
    <w:abstractNumId w:val="13"/>
  </w:num>
  <w:num w:numId="41">
    <w:abstractNumId w:val="5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1D6CAC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B20B6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E0DD5"/>
    <w:rsid w:val="006F1F1B"/>
    <w:rsid w:val="00715A8C"/>
    <w:rsid w:val="00741C35"/>
    <w:rsid w:val="007542B8"/>
    <w:rsid w:val="00757E78"/>
    <w:rsid w:val="00773903"/>
    <w:rsid w:val="007A4CCB"/>
    <w:rsid w:val="007A548D"/>
    <w:rsid w:val="007B553A"/>
    <w:rsid w:val="007B7349"/>
    <w:rsid w:val="007C69FE"/>
    <w:rsid w:val="00804675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D0318F"/>
    <w:rsid w:val="00D16D63"/>
    <w:rsid w:val="00D232AF"/>
    <w:rsid w:val="00D31C85"/>
    <w:rsid w:val="00D32C04"/>
    <w:rsid w:val="00D35813"/>
    <w:rsid w:val="00D370ED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29DA-4C1B-4EA1-8513-1503DF89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12023</TotalTime>
  <Pages>21</Pages>
  <Words>5108</Words>
  <Characters>29120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45</cp:revision>
  <cp:lastPrinted>2019-12-18T12:11:00Z</cp:lastPrinted>
  <dcterms:created xsi:type="dcterms:W3CDTF">2019-12-05T16:18:00Z</dcterms:created>
  <dcterms:modified xsi:type="dcterms:W3CDTF">2020-02-11T10:10:00Z</dcterms:modified>
</cp:coreProperties>
</file>