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CA043B"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www.Moodle.uni.lu</w:t>
        </w:r>
      </w:hyperlink>
      <w:r>
        <w:t xml:space="preserve"> (TBD)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CA043B" w:rsidP="00350434">
      <w:pPr>
        <w:tabs>
          <w:tab w:val="left" w:pos="1067"/>
        </w:tabs>
      </w:pPr>
      <w:hyperlink r:id="rId7" w:history="1">
        <w:r w:rsidR="00350434"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CA043B" w:rsidP="00350434">
      <w:pPr>
        <w:tabs>
          <w:tab w:val="left" w:pos="1067"/>
        </w:tabs>
      </w:pPr>
      <w:hyperlink r:id="rId8" w:history="1">
        <w:r w:rsidR="00350434"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12DD411" w14:textId="77777777" w:rsidR="007039BF" w:rsidRDefault="007039BF" w:rsidP="00350434">
      <w:pPr>
        <w:tabs>
          <w:tab w:val="left" w:pos="1067"/>
        </w:tabs>
      </w:pPr>
    </w:p>
    <w:p w14:paraId="544434F8" w14:textId="11E8F5E4"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lastRenderedPageBreak/>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07CFB4E0" w:rsidR="00350434" w:rsidRDefault="00350434" w:rsidP="00350434">
      <w:pPr>
        <w:tabs>
          <w:tab w:val="left" w:pos="1067"/>
        </w:tabs>
      </w:pPr>
    </w:p>
    <w:tbl>
      <w:tblPr>
        <w:tblStyle w:val="TableGrid"/>
        <w:tblW w:w="9586" w:type="dxa"/>
        <w:tblLook w:val="04A0" w:firstRow="1" w:lastRow="0" w:firstColumn="1" w:lastColumn="0" w:noHBand="0" w:noVBand="1"/>
      </w:tblPr>
      <w:tblGrid>
        <w:gridCol w:w="1336"/>
        <w:gridCol w:w="1915"/>
        <w:gridCol w:w="1630"/>
        <w:gridCol w:w="1016"/>
        <w:gridCol w:w="3689"/>
      </w:tblGrid>
      <w:tr w:rsidR="007039BF" w14:paraId="7E9E38AF" w14:textId="77777777" w:rsidTr="000958A6">
        <w:tc>
          <w:tcPr>
            <w:tcW w:w="1336" w:type="dxa"/>
          </w:tcPr>
          <w:p w14:paraId="21512ABF" w14:textId="77777777" w:rsidR="007039BF" w:rsidRDefault="007039BF" w:rsidP="000958A6">
            <w:r>
              <w:t>Date</w:t>
            </w:r>
          </w:p>
        </w:tc>
        <w:tc>
          <w:tcPr>
            <w:tcW w:w="3545" w:type="dxa"/>
            <w:gridSpan w:val="2"/>
          </w:tcPr>
          <w:p w14:paraId="41E19FF4" w14:textId="77777777" w:rsidR="007039BF" w:rsidRDefault="007039BF" w:rsidP="000958A6">
            <w:pPr>
              <w:jc w:val="center"/>
            </w:pPr>
            <w:r>
              <w:t>If remote:</w:t>
            </w:r>
          </w:p>
          <w:p w14:paraId="07C220D2" w14:textId="77777777" w:rsidR="007039BF" w:rsidRDefault="007039BF" w:rsidP="000958A6">
            <w:pPr>
              <w:jc w:val="center"/>
            </w:pPr>
            <w:r>
              <w:t xml:space="preserve">2:30-5pm Luxembourg </w:t>
            </w:r>
          </w:p>
          <w:p w14:paraId="3D71CF36" w14:textId="77777777" w:rsidR="007039BF" w:rsidRDefault="007039BF" w:rsidP="000958A6">
            <w:pPr>
              <w:jc w:val="center"/>
            </w:pPr>
            <w:r>
              <w:t>(8:30am-11am EST)</w:t>
            </w:r>
          </w:p>
          <w:p w14:paraId="522729ED" w14:textId="77777777" w:rsidR="007039BF" w:rsidRDefault="007039BF" w:rsidP="000958A6">
            <w:pPr>
              <w:jc w:val="center"/>
            </w:pPr>
          </w:p>
        </w:tc>
        <w:tc>
          <w:tcPr>
            <w:tcW w:w="1016" w:type="dxa"/>
          </w:tcPr>
          <w:p w14:paraId="438044BC" w14:textId="77777777" w:rsidR="007039BF" w:rsidRDefault="007039BF" w:rsidP="000958A6">
            <w:r>
              <w:lastRenderedPageBreak/>
              <w:t>Reading Due</w:t>
            </w:r>
          </w:p>
        </w:tc>
        <w:tc>
          <w:tcPr>
            <w:tcW w:w="3689" w:type="dxa"/>
          </w:tcPr>
          <w:p w14:paraId="2AD9BFC2" w14:textId="77777777" w:rsidR="007039BF" w:rsidRPr="00E6160B" w:rsidRDefault="007039BF" w:rsidP="000958A6">
            <w:pPr>
              <w:rPr>
                <w:b/>
                <w:bCs/>
              </w:rPr>
            </w:pPr>
            <w:r w:rsidRPr="00CC26D5">
              <w:rPr>
                <w:b/>
                <w:bCs/>
              </w:rPr>
              <w:t>Assignments</w:t>
            </w:r>
            <w:r>
              <w:rPr>
                <w:b/>
                <w:bCs/>
              </w:rPr>
              <w:t xml:space="preserve"> Due</w:t>
            </w:r>
          </w:p>
        </w:tc>
      </w:tr>
      <w:tr w:rsidR="007039BF" w14:paraId="192D5C03" w14:textId="77777777" w:rsidTr="000958A6">
        <w:tc>
          <w:tcPr>
            <w:tcW w:w="1336" w:type="dxa"/>
          </w:tcPr>
          <w:p w14:paraId="16F18F28" w14:textId="77777777" w:rsidR="007039BF" w:rsidRDefault="007039BF" w:rsidP="000958A6">
            <w:r>
              <w:t>Oct 11</w:t>
            </w:r>
          </w:p>
          <w:p w14:paraId="4C0DB57E" w14:textId="77777777" w:rsidR="007039BF" w:rsidRDefault="007039BF" w:rsidP="000958A6">
            <w:r>
              <w:t>Monday</w:t>
            </w:r>
          </w:p>
          <w:p w14:paraId="44F872F2" w14:textId="77777777" w:rsidR="007039BF" w:rsidRDefault="007039BF" w:rsidP="000958A6"/>
        </w:tc>
        <w:tc>
          <w:tcPr>
            <w:tcW w:w="1915" w:type="dxa"/>
          </w:tcPr>
          <w:p w14:paraId="0A5E9565" w14:textId="77777777" w:rsidR="007039BF" w:rsidRDefault="007039BF" w:rsidP="000958A6">
            <w:r>
              <w:t>Administrative &amp; Introductions</w:t>
            </w:r>
          </w:p>
          <w:p w14:paraId="6995F13F" w14:textId="77777777" w:rsidR="007039BF" w:rsidRDefault="007039BF" w:rsidP="000958A6">
            <w:r>
              <w:t>What is Text Mining?</w:t>
            </w:r>
          </w:p>
          <w:p w14:paraId="3854E883" w14:textId="77777777" w:rsidR="007039BF" w:rsidRDefault="007039BF" w:rsidP="000958A6"/>
        </w:tc>
        <w:tc>
          <w:tcPr>
            <w:tcW w:w="1630" w:type="dxa"/>
          </w:tcPr>
          <w:p w14:paraId="2C68AF46" w14:textId="77777777" w:rsidR="007039BF" w:rsidRDefault="007039BF" w:rsidP="000958A6">
            <w:r>
              <w:t>R Data Types: Strings</w:t>
            </w:r>
          </w:p>
        </w:tc>
        <w:tc>
          <w:tcPr>
            <w:tcW w:w="1016" w:type="dxa"/>
          </w:tcPr>
          <w:p w14:paraId="4718E76C" w14:textId="77777777" w:rsidR="007039BF" w:rsidRDefault="007039BF" w:rsidP="000958A6">
            <w:r>
              <w:t>Chapter 1</w:t>
            </w:r>
          </w:p>
        </w:tc>
        <w:tc>
          <w:tcPr>
            <w:tcW w:w="3689" w:type="dxa"/>
          </w:tcPr>
          <w:p w14:paraId="2172EFA8" w14:textId="77777777" w:rsidR="007039BF" w:rsidRDefault="007039BF" w:rsidP="000958A6">
            <w:r>
              <w:t>Administrative Setup:</w:t>
            </w:r>
          </w:p>
          <w:p w14:paraId="5160B634" w14:textId="77777777" w:rsidR="007039BF" w:rsidRDefault="007039BF" w:rsidP="007039BF">
            <w:pPr>
              <w:pStyle w:val="ListParagraph"/>
              <w:numPr>
                <w:ilvl w:val="0"/>
                <w:numId w:val="7"/>
              </w:numPr>
              <w:ind w:left="118" w:hanging="152"/>
            </w:pPr>
            <w:r>
              <w:t>Install R/Rstudio on your laptop, or create R Studio Cloud Account</w:t>
            </w:r>
          </w:p>
          <w:p w14:paraId="063ACF3F" w14:textId="77777777" w:rsidR="007039BF" w:rsidRDefault="007039BF" w:rsidP="007039BF">
            <w:pPr>
              <w:pStyle w:val="ListParagraph"/>
              <w:numPr>
                <w:ilvl w:val="0"/>
                <w:numId w:val="7"/>
              </w:numPr>
              <w:ind w:left="118" w:hanging="152"/>
            </w:pPr>
            <w:r>
              <w:t>Connect to Git Student Repository</w:t>
            </w:r>
          </w:p>
        </w:tc>
      </w:tr>
      <w:tr w:rsidR="007039BF" w14:paraId="0B307AB8" w14:textId="77777777" w:rsidTr="000958A6">
        <w:tc>
          <w:tcPr>
            <w:tcW w:w="1336" w:type="dxa"/>
          </w:tcPr>
          <w:p w14:paraId="7C2F946F" w14:textId="77777777" w:rsidR="007039BF" w:rsidRDefault="007039BF" w:rsidP="000958A6">
            <w:r>
              <w:t>Oct 12</w:t>
            </w:r>
          </w:p>
          <w:p w14:paraId="485E731D" w14:textId="77777777" w:rsidR="007039BF" w:rsidRDefault="007039BF" w:rsidP="000958A6">
            <w:r>
              <w:t>Tuesday</w:t>
            </w:r>
          </w:p>
          <w:p w14:paraId="6A730510" w14:textId="77777777" w:rsidR="007039BF" w:rsidRDefault="007039BF" w:rsidP="000958A6"/>
        </w:tc>
        <w:tc>
          <w:tcPr>
            <w:tcW w:w="1915" w:type="dxa"/>
          </w:tcPr>
          <w:p w14:paraId="5996155F" w14:textId="77777777" w:rsidR="007039BF" w:rsidRDefault="007039BF" w:rsidP="000958A6">
            <w:r>
              <w:t>PreProcessing Steps for Text Analysis</w:t>
            </w:r>
          </w:p>
        </w:tc>
        <w:tc>
          <w:tcPr>
            <w:tcW w:w="1630" w:type="dxa"/>
          </w:tcPr>
          <w:p w14:paraId="6DBEC031" w14:textId="77777777" w:rsidR="007039BF" w:rsidRDefault="007039BF" w:rsidP="000958A6">
            <w:r>
              <w:t>Term Frequency &amp; Bag of Words</w:t>
            </w:r>
          </w:p>
        </w:tc>
        <w:tc>
          <w:tcPr>
            <w:tcW w:w="1016" w:type="dxa"/>
          </w:tcPr>
          <w:p w14:paraId="49DFFA1B" w14:textId="77777777" w:rsidR="007039BF" w:rsidRPr="00785ECA" w:rsidRDefault="007039BF" w:rsidP="000958A6">
            <w:pPr>
              <w:rPr>
                <w:sz w:val="22"/>
              </w:rPr>
            </w:pPr>
            <w:r w:rsidRPr="005E3909">
              <w:rPr>
                <w:sz w:val="22"/>
              </w:rPr>
              <w:t xml:space="preserve">Chapter </w:t>
            </w:r>
            <w:r>
              <w:rPr>
                <w:sz w:val="22"/>
              </w:rPr>
              <w:t>2</w:t>
            </w:r>
          </w:p>
        </w:tc>
        <w:tc>
          <w:tcPr>
            <w:tcW w:w="3689" w:type="dxa"/>
          </w:tcPr>
          <w:p w14:paraId="308AC3A3"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HW1 – Basics of R Coding</w:t>
            </w:r>
          </w:p>
          <w:p w14:paraId="56801849" w14:textId="77777777" w:rsidR="007039BF" w:rsidRPr="00183B06" w:rsidRDefault="007039BF" w:rsidP="000958A6">
            <w:pPr>
              <w:rPr>
                <w:sz w:val="22"/>
              </w:rPr>
            </w:pPr>
          </w:p>
        </w:tc>
      </w:tr>
      <w:tr w:rsidR="007039BF" w14:paraId="2685B0C7" w14:textId="77777777" w:rsidTr="000958A6">
        <w:tc>
          <w:tcPr>
            <w:tcW w:w="1336" w:type="dxa"/>
          </w:tcPr>
          <w:p w14:paraId="5DE0A249" w14:textId="77777777" w:rsidR="007039BF" w:rsidRDefault="007039BF" w:rsidP="000958A6">
            <w:r>
              <w:t>Oct 13 Wednesday</w:t>
            </w:r>
          </w:p>
          <w:p w14:paraId="0DBEA244" w14:textId="77777777" w:rsidR="007039BF" w:rsidRDefault="007039BF" w:rsidP="000958A6"/>
        </w:tc>
        <w:tc>
          <w:tcPr>
            <w:tcW w:w="1915" w:type="dxa"/>
          </w:tcPr>
          <w:p w14:paraId="6563B2B6" w14:textId="77777777" w:rsidR="007039BF" w:rsidRDefault="007039BF" w:rsidP="000958A6">
            <w:r>
              <w:t>Associations &amp; Dendrograms, word cloud</w:t>
            </w:r>
          </w:p>
        </w:tc>
        <w:tc>
          <w:tcPr>
            <w:tcW w:w="1630" w:type="dxa"/>
          </w:tcPr>
          <w:p w14:paraId="3CCBF02C" w14:textId="77777777" w:rsidR="007039BF" w:rsidRDefault="007039BF" w:rsidP="000958A6">
            <w:r>
              <w:t>Comparison, commonality clouds, word networks, pyramid plots</w:t>
            </w:r>
          </w:p>
        </w:tc>
        <w:tc>
          <w:tcPr>
            <w:tcW w:w="1016" w:type="dxa"/>
          </w:tcPr>
          <w:p w14:paraId="76C98BB7" w14:textId="77777777" w:rsidR="007039BF" w:rsidRDefault="007039BF" w:rsidP="000958A6">
            <w:r>
              <w:t>Chapter 3</w:t>
            </w:r>
          </w:p>
        </w:tc>
        <w:tc>
          <w:tcPr>
            <w:tcW w:w="3689" w:type="dxa"/>
          </w:tcPr>
          <w:p w14:paraId="3EE65CDF" w14:textId="77777777" w:rsidR="007039BF" w:rsidRDefault="007039BF" w:rsidP="003F59CD">
            <w:pPr>
              <w:rPr>
                <w:sz w:val="22"/>
              </w:rPr>
            </w:pPr>
          </w:p>
        </w:tc>
      </w:tr>
      <w:tr w:rsidR="007039BF" w14:paraId="522314A7" w14:textId="77777777" w:rsidTr="000958A6">
        <w:tc>
          <w:tcPr>
            <w:tcW w:w="1336" w:type="dxa"/>
          </w:tcPr>
          <w:p w14:paraId="71DB8CFE" w14:textId="77777777" w:rsidR="007039BF" w:rsidRDefault="007039BF" w:rsidP="000958A6">
            <w:r>
              <w:t>Oct 14 Thursday</w:t>
            </w:r>
          </w:p>
          <w:p w14:paraId="0EBCF027" w14:textId="77777777" w:rsidR="007039BF" w:rsidRDefault="007039BF" w:rsidP="000958A6"/>
        </w:tc>
        <w:tc>
          <w:tcPr>
            <w:tcW w:w="1915" w:type="dxa"/>
          </w:tcPr>
          <w:p w14:paraId="0155AFA9" w14:textId="77777777" w:rsidR="007039BF" w:rsidRDefault="007039BF" w:rsidP="000958A6">
            <w:r>
              <w:t>Polarization</w:t>
            </w:r>
          </w:p>
        </w:tc>
        <w:tc>
          <w:tcPr>
            <w:tcW w:w="1630" w:type="dxa"/>
          </w:tcPr>
          <w:p w14:paraId="4F408F4E" w14:textId="77777777" w:rsidR="007039BF" w:rsidRDefault="007039BF" w:rsidP="000958A6">
            <w:r>
              <w:t>Sentiment Analysis</w:t>
            </w:r>
          </w:p>
        </w:tc>
        <w:tc>
          <w:tcPr>
            <w:tcW w:w="1016" w:type="dxa"/>
          </w:tcPr>
          <w:p w14:paraId="7AC683EB" w14:textId="77777777" w:rsidR="007039BF" w:rsidRDefault="007039BF" w:rsidP="000958A6">
            <w:r>
              <w:t>Chapter 4</w:t>
            </w:r>
          </w:p>
        </w:tc>
        <w:tc>
          <w:tcPr>
            <w:tcW w:w="3689" w:type="dxa"/>
          </w:tcPr>
          <w:p w14:paraId="2DE6AC7F" w14:textId="77777777" w:rsidR="003F59CD" w:rsidRPr="00072A31" w:rsidRDefault="003F59CD" w:rsidP="003F59CD">
            <w:pPr>
              <w:rPr>
                <w:rFonts w:ascii="Arial" w:hAnsi="Arial" w:cs="Arial"/>
                <w:color w:val="FF0000"/>
                <w:sz w:val="22"/>
              </w:rPr>
            </w:pPr>
            <w:r w:rsidRPr="00072A31">
              <w:rPr>
                <w:rFonts w:ascii="Arial" w:hAnsi="Arial" w:cs="Arial"/>
                <w:color w:val="FF0000"/>
                <w:sz w:val="22"/>
              </w:rPr>
              <w:t>HW2 – Load &amp; clean documents, Identify the most frequent terms</w:t>
            </w:r>
          </w:p>
          <w:p w14:paraId="2CBFB8D9" w14:textId="137C04D6" w:rsidR="007039BF" w:rsidRPr="003F59CD" w:rsidRDefault="003F59CD" w:rsidP="000958A6">
            <w:pPr>
              <w:rPr>
                <w:i/>
                <w:iCs/>
                <w:sz w:val="22"/>
              </w:rPr>
            </w:pPr>
            <w:r w:rsidRPr="003F59CD">
              <w:rPr>
                <w:i/>
                <w:iCs/>
                <w:sz w:val="22"/>
              </w:rPr>
              <w:t>Moved due to HW assignment issue</w:t>
            </w:r>
          </w:p>
        </w:tc>
      </w:tr>
      <w:tr w:rsidR="007039BF" w14:paraId="6D5DBE88" w14:textId="77777777" w:rsidTr="000958A6">
        <w:tc>
          <w:tcPr>
            <w:tcW w:w="1336" w:type="dxa"/>
          </w:tcPr>
          <w:p w14:paraId="26DC30DF" w14:textId="77777777" w:rsidR="007039BF" w:rsidRDefault="007039BF" w:rsidP="000958A6">
            <w:r>
              <w:t>Oct 15 Friday</w:t>
            </w:r>
          </w:p>
          <w:p w14:paraId="684BAB8F" w14:textId="77777777" w:rsidR="007039BF" w:rsidRDefault="007039BF" w:rsidP="000958A6"/>
        </w:tc>
        <w:tc>
          <w:tcPr>
            <w:tcW w:w="1915" w:type="dxa"/>
          </w:tcPr>
          <w:p w14:paraId="3A0170E7" w14:textId="77777777" w:rsidR="007039BF" w:rsidRDefault="007039BF" w:rsidP="000958A6">
            <w:r>
              <w:t>OpenNLP NER</w:t>
            </w:r>
          </w:p>
        </w:tc>
        <w:tc>
          <w:tcPr>
            <w:tcW w:w="1630" w:type="dxa"/>
          </w:tcPr>
          <w:p w14:paraId="64553398" w14:textId="77777777" w:rsidR="007039BF" w:rsidRDefault="007039BF" w:rsidP="000958A6">
            <w:r>
              <w:t>UDPipe: multi-language &amp; lemmatization</w:t>
            </w:r>
          </w:p>
        </w:tc>
        <w:tc>
          <w:tcPr>
            <w:tcW w:w="1016" w:type="dxa"/>
          </w:tcPr>
          <w:p w14:paraId="33A93AB7" w14:textId="77777777" w:rsidR="007039BF" w:rsidRDefault="007039BF" w:rsidP="000958A6">
            <w:pPr>
              <w:rPr>
                <w:sz w:val="22"/>
              </w:rPr>
            </w:pPr>
            <w:r w:rsidRPr="005E3909">
              <w:rPr>
                <w:sz w:val="22"/>
              </w:rPr>
              <w:t xml:space="preserve">Chapter </w:t>
            </w:r>
          </w:p>
          <w:p w14:paraId="7E3E58EA" w14:textId="77777777" w:rsidR="007039BF" w:rsidRDefault="007039BF" w:rsidP="000958A6">
            <w:r>
              <w:t>8</w:t>
            </w:r>
          </w:p>
        </w:tc>
        <w:tc>
          <w:tcPr>
            <w:tcW w:w="3689" w:type="dxa"/>
          </w:tcPr>
          <w:p w14:paraId="38E6126D" w14:textId="77777777" w:rsidR="007039BF" w:rsidRPr="007450B2" w:rsidRDefault="007039BF" w:rsidP="000958A6">
            <w:pPr>
              <w:rPr>
                <w:sz w:val="22"/>
              </w:rPr>
            </w:pPr>
          </w:p>
        </w:tc>
      </w:tr>
      <w:tr w:rsidR="007039BF" w14:paraId="3B96F687" w14:textId="77777777" w:rsidTr="000958A6">
        <w:tc>
          <w:tcPr>
            <w:tcW w:w="9586" w:type="dxa"/>
            <w:gridSpan w:val="5"/>
            <w:shd w:val="clear" w:color="auto" w:fill="808080" w:themeFill="background1" w:themeFillShade="80"/>
          </w:tcPr>
          <w:p w14:paraId="40634691" w14:textId="77777777" w:rsidR="007039BF" w:rsidRDefault="007039BF" w:rsidP="000958A6">
            <w:pPr>
              <w:rPr>
                <w:b/>
              </w:rPr>
            </w:pPr>
          </w:p>
        </w:tc>
      </w:tr>
      <w:tr w:rsidR="007039BF" w14:paraId="73F719C9" w14:textId="77777777" w:rsidTr="000958A6">
        <w:tc>
          <w:tcPr>
            <w:tcW w:w="1336" w:type="dxa"/>
          </w:tcPr>
          <w:p w14:paraId="297C6852" w14:textId="77777777" w:rsidR="007039BF" w:rsidRDefault="007039BF" w:rsidP="000958A6">
            <w:r>
              <w:t>Oct 18 Monday</w:t>
            </w:r>
          </w:p>
          <w:p w14:paraId="24BACC03" w14:textId="77777777" w:rsidR="007039BF" w:rsidRDefault="007039BF" w:rsidP="000958A6"/>
        </w:tc>
        <w:tc>
          <w:tcPr>
            <w:tcW w:w="1915" w:type="dxa"/>
          </w:tcPr>
          <w:p w14:paraId="2D3147BD" w14:textId="77777777" w:rsidR="007039BF" w:rsidRDefault="007039BF" w:rsidP="000958A6">
            <w:r>
              <w:t xml:space="preserve">Clustering </w:t>
            </w:r>
          </w:p>
        </w:tc>
        <w:tc>
          <w:tcPr>
            <w:tcW w:w="1630" w:type="dxa"/>
          </w:tcPr>
          <w:p w14:paraId="5699DD6C" w14:textId="77777777" w:rsidR="007039BF" w:rsidRDefault="007039BF" w:rsidP="000958A6">
            <w:r>
              <w:t>Clustering</w:t>
            </w:r>
          </w:p>
        </w:tc>
        <w:tc>
          <w:tcPr>
            <w:tcW w:w="1016" w:type="dxa"/>
          </w:tcPr>
          <w:p w14:paraId="67D0682D" w14:textId="77777777" w:rsidR="007039BF" w:rsidRPr="005E3909" w:rsidRDefault="007039BF" w:rsidP="000958A6">
            <w:pPr>
              <w:rPr>
                <w:sz w:val="22"/>
              </w:rPr>
            </w:pPr>
            <w:r>
              <w:rPr>
                <w:sz w:val="22"/>
              </w:rPr>
              <w:t>Chapter 5</w:t>
            </w:r>
            <w:r w:rsidRPr="005E3909">
              <w:rPr>
                <w:sz w:val="22"/>
              </w:rPr>
              <w:t xml:space="preserve"> </w:t>
            </w:r>
          </w:p>
        </w:tc>
        <w:tc>
          <w:tcPr>
            <w:tcW w:w="3689" w:type="dxa"/>
          </w:tcPr>
          <w:p w14:paraId="534E0A89" w14:textId="77777777" w:rsidR="007039BF" w:rsidRDefault="007039BF" w:rsidP="000958A6">
            <w:pPr>
              <w:rPr>
                <w:sz w:val="22"/>
              </w:rPr>
            </w:pPr>
          </w:p>
        </w:tc>
      </w:tr>
      <w:tr w:rsidR="00FB1AE1" w14:paraId="1B836C9C" w14:textId="77777777" w:rsidTr="000958A6">
        <w:tc>
          <w:tcPr>
            <w:tcW w:w="1336" w:type="dxa"/>
          </w:tcPr>
          <w:p w14:paraId="69A52310" w14:textId="77777777" w:rsidR="00FB1AE1" w:rsidRDefault="00FB1AE1" w:rsidP="00FB1AE1">
            <w:r>
              <w:t>Oct 19 Tuesday</w:t>
            </w:r>
          </w:p>
          <w:p w14:paraId="7F3EFE24" w14:textId="77777777" w:rsidR="00FB1AE1" w:rsidRDefault="00FB1AE1" w:rsidP="00FB1AE1"/>
        </w:tc>
        <w:tc>
          <w:tcPr>
            <w:tcW w:w="1915" w:type="dxa"/>
          </w:tcPr>
          <w:p w14:paraId="2EA8A969" w14:textId="2A1F7813" w:rsidR="00FB1AE1" w:rsidRDefault="00FB1AE1" w:rsidP="00FB1AE1">
            <w:r>
              <w:t xml:space="preserve">Document </w:t>
            </w:r>
            <w:r w:rsidR="00F74E9C">
              <w:t>Classification</w:t>
            </w:r>
          </w:p>
        </w:tc>
        <w:tc>
          <w:tcPr>
            <w:tcW w:w="1630" w:type="dxa"/>
          </w:tcPr>
          <w:p w14:paraId="1777DE37" w14:textId="77777777" w:rsidR="00FB1AE1" w:rsidRDefault="00FB1AE1" w:rsidP="00FB1AE1">
            <w:r>
              <w:t>Text2Vec</w:t>
            </w:r>
          </w:p>
        </w:tc>
        <w:tc>
          <w:tcPr>
            <w:tcW w:w="1016" w:type="dxa"/>
          </w:tcPr>
          <w:p w14:paraId="6C9498E1" w14:textId="77777777" w:rsidR="00FB1AE1" w:rsidRDefault="00FB1AE1" w:rsidP="00FB1AE1">
            <w:r>
              <w:t>Chapter 6</w:t>
            </w:r>
          </w:p>
        </w:tc>
        <w:tc>
          <w:tcPr>
            <w:tcW w:w="3689" w:type="dxa"/>
          </w:tcPr>
          <w:p w14:paraId="42D5B4BC" w14:textId="77777777" w:rsidR="00FB1AE1" w:rsidRDefault="00FB1AE1" w:rsidP="00F74E9C"/>
        </w:tc>
      </w:tr>
      <w:tr w:rsidR="00FB1AE1" w14:paraId="0300D99D" w14:textId="77777777" w:rsidTr="000958A6">
        <w:tc>
          <w:tcPr>
            <w:tcW w:w="1336" w:type="dxa"/>
          </w:tcPr>
          <w:p w14:paraId="1BEA6E1F" w14:textId="77777777" w:rsidR="00FB1AE1" w:rsidRDefault="00FB1AE1" w:rsidP="00FB1AE1">
            <w:r>
              <w:t>Oct 20 Wednesday</w:t>
            </w:r>
          </w:p>
          <w:p w14:paraId="0B8F5FC0" w14:textId="77777777" w:rsidR="00FB1AE1" w:rsidRPr="00785ECA" w:rsidRDefault="00FB1AE1" w:rsidP="00FB1AE1"/>
        </w:tc>
        <w:tc>
          <w:tcPr>
            <w:tcW w:w="1915" w:type="dxa"/>
          </w:tcPr>
          <w:p w14:paraId="1658FCFA" w14:textId="77777777" w:rsidR="00FB1AE1" w:rsidRDefault="00FB1AE1" w:rsidP="00FB1AE1">
            <w:r>
              <w:t>Document Classification - LSA</w:t>
            </w:r>
          </w:p>
        </w:tc>
        <w:tc>
          <w:tcPr>
            <w:tcW w:w="1630" w:type="dxa"/>
          </w:tcPr>
          <w:p w14:paraId="6EEDCD72" w14:textId="77777777" w:rsidR="00FB1AE1" w:rsidRDefault="00FB1AE1" w:rsidP="00FB1AE1">
            <w:r>
              <w:t>Predictive Modeling</w:t>
            </w:r>
          </w:p>
        </w:tc>
        <w:tc>
          <w:tcPr>
            <w:tcW w:w="1016" w:type="dxa"/>
          </w:tcPr>
          <w:p w14:paraId="33EF8B52" w14:textId="77777777" w:rsidR="00FB1AE1" w:rsidRDefault="00FB1AE1" w:rsidP="00FB1AE1">
            <w:r>
              <w:t>Chapter 7</w:t>
            </w:r>
          </w:p>
        </w:tc>
        <w:tc>
          <w:tcPr>
            <w:tcW w:w="3689" w:type="dxa"/>
          </w:tcPr>
          <w:p w14:paraId="03EBCEDE" w14:textId="77777777" w:rsidR="00F74E9C" w:rsidRPr="00072A31" w:rsidRDefault="00F74E9C" w:rsidP="00F74E9C">
            <w:pPr>
              <w:rPr>
                <w:rFonts w:ascii="Arial" w:hAnsi="Arial" w:cs="Arial"/>
                <w:color w:val="FF0000"/>
                <w:sz w:val="22"/>
              </w:rPr>
            </w:pPr>
            <w:r w:rsidRPr="00072A31">
              <w:rPr>
                <w:rFonts w:ascii="Arial" w:hAnsi="Arial" w:cs="Arial"/>
                <w:color w:val="FF0000"/>
                <w:sz w:val="22"/>
              </w:rPr>
              <w:t>HW3 – apply several sentiment analyses &amp; cluster a document collection with an unsupervised machine learning method</w:t>
            </w:r>
          </w:p>
          <w:p w14:paraId="07C09AD7" w14:textId="53E9AC26" w:rsidR="00FB1AE1" w:rsidRPr="00452728" w:rsidRDefault="00F74E9C" w:rsidP="00FB1AE1">
            <w:pPr>
              <w:rPr>
                <w:b/>
              </w:rPr>
            </w:pPr>
            <w:r w:rsidRPr="003F59CD">
              <w:rPr>
                <w:i/>
                <w:iCs/>
                <w:sz w:val="22"/>
              </w:rPr>
              <w:t xml:space="preserve">Moved due to HW </w:t>
            </w:r>
            <w:r>
              <w:rPr>
                <w:i/>
                <w:iCs/>
                <w:sz w:val="22"/>
              </w:rPr>
              <w:t xml:space="preserve">new </w:t>
            </w:r>
            <w:r w:rsidRPr="003F59CD">
              <w:rPr>
                <w:i/>
                <w:iCs/>
                <w:sz w:val="22"/>
              </w:rPr>
              <w:t xml:space="preserve">assignment </w:t>
            </w:r>
          </w:p>
        </w:tc>
      </w:tr>
      <w:tr w:rsidR="00FB1AE1" w14:paraId="6F3FDD3D" w14:textId="77777777" w:rsidTr="000958A6">
        <w:tc>
          <w:tcPr>
            <w:tcW w:w="1336" w:type="dxa"/>
          </w:tcPr>
          <w:p w14:paraId="52A915A7" w14:textId="77777777" w:rsidR="00FB1AE1" w:rsidRDefault="00FB1AE1" w:rsidP="00FB1AE1">
            <w:r>
              <w:t>Oct 21 Thursday</w:t>
            </w:r>
          </w:p>
          <w:p w14:paraId="3BB09BA9" w14:textId="77777777" w:rsidR="00FB1AE1" w:rsidRDefault="00FB1AE1" w:rsidP="00FB1AE1"/>
        </w:tc>
        <w:tc>
          <w:tcPr>
            <w:tcW w:w="1915" w:type="dxa"/>
          </w:tcPr>
          <w:p w14:paraId="015073C5" w14:textId="77777777" w:rsidR="00FB1AE1" w:rsidRDefault="00FB1AE1" w:rsidP="00FB1AE1">
            <w:r>
              <w:t>Predictive Modeling</w:t>
            </w:r>
          </w:p>
        </w:tc>
        <w:tc>
          <w:tcPr>
            <w:tcW w:w="1630" w:type="dxa"/>
          </w:tcPr>
          <w:p w14:paraId="06760A16" w14:textId="77777777" w:rsidR="00FB1AE1" w:rsidRDefault="00FB1AE1" w:rsidP="00FB1AE1">
            <w:r>
              <w:t>APIs, Webscraping</w:t>
            </w:r>
          </w:p>
        </w:tc>
        <w:tc>
          <w:tcPr>
            <w:tcW w:w="1016" w:type="dxa"/>
          </w:tcPr>
          <w:p w14:paraId="796DA656" w14:textId="77777777" w:rsidR="00FB1AE1" w:rsidRDefault="00FB1AE1" w:rsidP="00FB1AE1">
            <w:r>
              <w:t>Chapter 9</w:t>
            </w:r>
          </w:p>
        </w:tc>
        <w:tc>
          <w:tcPr>
            <w:tcW w:w="3689" w:type="dxa"/>
          </w:tcPr>
          <w:p w14:paraId="7E932D5A" w14:textId="562EB625" w:rsidR="00FB1AE1" w:rsidRDefault="00FB1AE1" w:rsidP="00FB1AE1">
            <w:pPr>
              <w:rPr>
                <w:b/>
                <w:sz w:val="22"/>
              </w:rPr>
            </w:pPr>
          </w:p>
        </w:tc>
      </w:tr>
      <w:tr w:rsidR="00FB1AE1" w14:paraId="4DEAEDB3" w14:textId="77777777" w:rsidTr="000958A6">
        <w:tc>
          <w:tcPr>
            <w:tcW w:w="1336" w:type="dxa"/>
          </w:tcPr>
          <w:p w14:paraId="00175DA2" w14:textId="77777777" w:rsidR="00FB1AE1" w:rsidRDefault="00FB1AE1" w:rsidP="00FB1AE1">
            <w:r>
              <w:t>Oct 22 Friday</w:t>
            </w:r>
          </w:p>
          <w:p w14:paraId="1B6FB5B1" w14:textId="77777777" w:rsidR="00FB1AE1" w:rsidRDefault="00FB1AE1" w:rsidP="00FB1AE1"/>
        </w:tc>
        <w:tc>
          <w:tcPr>
            <w:tcW w:w="1915" w:type="dxa"/>
          </w:tcPr>
          <w:p w14:paraId="279A16BA" w14:textId="77777777" w:rsidR="00FB1AE1" w:rsidRDefault="00FB1AE1" w:rsidP="00FB1AE1">
            <w:r>
              <w:t xml:space="preserve">Data Science Ethics </w:t>
            </w:r>
          </w:p>
        </w:tc>
        <w:tc>
          <w:tcPr>
            <w:tcW w:w="1630" w:type="dxa"/>
          </w:tcPr>
          <w:p w14:paraId="5D66B35D" w14:textId="77777777" w:rsidR="00FB1AE1" w:rsidRDefault="00FB1AE1" w:rsidP="00FB1AE1">
            <w:r>
              <w:t>Modeling Bias</w:t>
            </w:r>
          </w:p>
        </w:tc>
        <w:tc>
          <w:tcPr>
            <w:tcW w:w="1016" w:type="dxa"/>
          </w:tcPr>
          <w:p w14:paraId="47FBCFCD" w14:textId="77777777" w:rsidR="00FB1AE1" w:rsidRDefault="00FB1AE1" w:rsidP="00FB1AE1">
            <w:r>
              <w:t>Ethics Articles</w:t>
            </w:r>
          </w:p>
        </w:tc>
        <w:tc>
          <w:tcPr>
            <w:tcW w:w="3689" w:type="dxa"/>
          </w:tcPr>
          <w:p w14:paraId="549CCE76" w14:textId="32875F76" w:rsidR="00FB1AE1" w:rsidRDefault="00CA043B" w:rsidP="00FB1AE1">
            <w:pPr>
              <w:rPr>
                <w:rFonts w:ascii="Arial" w:hAnsi="Arial" w:cs="Arial"/>
                <w:color w:val="FF0000"/>
                <w:sz w:val="22"/>
              </w:rPr>
            </w:pPr>
            <w:r>
              <w:rPr>
                <w:rFonts w:ascii="Arial" w:hAnsi="Arial" w:cs="Arial"/>
                <w:color w:val="FF0000"/>
                <w:sz w:val="22"/>
              </w:rPr>
              <w:t>HW4- Following the SEMMA workflow create a document classification model</w:t>
            </w:r>
            <w:r>
              <w:rPr>
                <w:rFonts w:ascii="Arial" w:hAnsi="Arial" w:cs="Arial"/>
                <w:color w:val="FF0000"/>
                <w:sz w:val="22"/>
              </w:rPr>
              <w:t xml:space="preserve"> due Oct 23</w:t>
            </w:r>
          </w:p>
          <w:p w14:paraId="225FBD39" w14:textId="078F1DF8" w:rsidR="00CA043B" w:rsidRDefault="00CA043B" w:rsidP="00FB1AE1">
            <w:pPr>
              <w:rPr>
                <w:b/>
                <w:sz w:val="22"/>
              </w:rPr>
            </w:pPr>
            <w:r w:rsidRPr="003F59CD">
              <w:rPr>
                <w:i/>
                <w:iCs/>
                <w:sz w:val="22"/>
              </w:rPr>
              <w:t xml:space="preserve">Moved due to HW </w:t>
            </w:r>
            <w:r>
              <w:rPr>
                <w:i/>
                <w:iCs/>
                <w:sz w:val="22"/>
              </w:rPr>
              <w:t>data missing</w:t>
            </w:r>
          </w:p>
        </w:tc>
      </w:tr>
    </w:tbl>
    <w:p w14:paraId="465AB7FC" w14:textId="77777777" w:rsidR="007039BF" w:rsidRDefault="007039BF"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lastRenderedPageBreak/>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3F59CD"/>
    <w:rsid w:val="007039BF"/>
    <w:rsid w:val="00A11BA1"/>
    <w:rsid w:val="00CA043B"/>
    <w:rsid w:val="00CB6B58"/>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7</cp:revision>
  <dcterms:created xsi:type="dcterms:W3CDTF">2021-09-15T22:11:00Z</dcterms:created>
  <dcterms:modified xsi:type="dcterms:W3CDTF">2021-10-20T19:36:00Z</dcterms:modified>
</cp:coreProperties>
</file>