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3F34F" w14:textId="77777777" w:rsidR="004E097E" w:rsidRDefault="009C5F0D">
      <w:r>
        <w:t>This document will help developer to understand keys and certificates required in</w:t>
      </w:r>
      <w:r w:rsidR="00AC63D8">
        <w:t xml:space="preserve"> VISA digitization</w:t>
      </w:r>
      <w:r>
        <w:t xml:space="preserve">. </w:t>
      </w:r>
    </w:p>
    <w:p w14:paraId="735FB2E1" w14:textId="401CF3F5" w:rsidR="009C5F0D" w:rsidRDefault="009C5F0D">
      <w:r>
        <w:t xml:space="preserve">Note that this document is not shared by VISA but </w:t>
      </w:r>
      <w:r w:rsidR="001031CE">
        <w:t>prepared</w:t>
      </w:r>
      <w:r>
        <w:t xml:space="preserve"> for developer internal use only</w:t>
      </w:r>
      <w:r w:rsidR="001031CE">
        <w:t xml:space="preserve">. </w:t>
      </w:r>
    </w:p>
    <w:p w14:paraId="31C7C63C" w14:textId="6467C37C" w:rsidR="00453EAD" w:rsidRDefault="00453EA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N"/>
        </w:rPr>
        <w:id w:val="21430744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EF0BF2" w14:textId="418C567C" w:rsidR="00645114" w:rsidRDefault="00645114">
          <w:pPr>
            <w:pStyle w:val="TOCHeading"/>
          </w:pPr>
          <w:r>
            <w:t>Table of Contents</w:t>
          </w:r>
        </w:p>
        <w:p w14:paraId="05B43C82" w14:textId="73C4B9AC" w:rsidR="00645114" w:rsidRDefault="00645114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4988584" w:history="1">
            <w:r w:rsidRPr="001E6B4E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1EA71" w14:textId="7367C9FE" w:rsidR="00645114" w:rsidRDefault="001E44F6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64988585" w:history="1">
            <w:r w:rsidR="00645114" w:rsidRPr="001E6B4E">
              <w:rPr>
                <w:rStyle w:val="Hyperlink"/>
                <w:noProof/>
              </w:rPr>
              <w:t>Extracts from VTS API sepcs.</w:t>
            </w:r>
            <w:r w:rsidR="00645114">
              <w:rPr>
                <w:noProof/>
                <w:webHidden/>
              </w:rPr>
              <w:tab/>
            </w:r>
            <w:r w:rsidR="00645114">
              <w:rPr>
                <w:noProof/>
                <w:webHidden/>
              </w:rPr>
              <w:fldChar w:fldCharType="begin"/>
            </w:r>
            <w:r w:rsidR="00645114">
              <w:rPr>
                <w:noProof/>
                <w:webHidden/>
              </w:rPr>
              <w:instrText xml:space="preserve"> PAGEREF _Toc64988585 \h </w:instrText>
            </w:r>
            <w:r w:rsidR="00645114">
              <w:rPr>
                <w:noProof/>
                <w:webHidden/>
              </w:rPr>
            </w:r>
            <w:r w:rsidR="00645114">
              <w:rPr>
                <w:noProof/>
                <w:webHidden/>
              </w:rPr>
              <w:fldChar w:fldCharType="separate"/>
            </w:r>
            <w:r w:rsidR="00645114">
              <w:rPr>
                <w:noProof/>
                <w:webHidden/>
              </w:rPr>
              <w:t>3</w:t>
            </w:r>
            <w:r w:rsidR="00645114">
              <w:rPr>
                <w:noProof/>
                <w:webHidden/>
              </w:rPr>
              <w:fldChar w:fldCharType="end"/>
            </w:r>
          </w:hyperlink>
        </w:p>
        <w:p w14:paraId="43AA3122" w14:textId="6FBD0597" w:rsidR="00645114" w:rsidRDefault="00645114">
          <w:r>
            <w:rPr>
              <w:b/>
              <w:bCs/>
              <w:noProof/>
            </w:rPr>
            <w:fldChar w:fldCharType="end"/>
          </w:r>
        </w:p>
      </w:sdtContent>
    </w:sdt>
    <w:p w14:paraId="7BC35D7C" w14:textId="77777777" w:rsidR="00645114" w:rsidRDefault="00645114"/>
    <w:p w14:paraId="24E3C9B4" w14:textId="77777777" w:rsidR="001031CE" w:rsidRDefault="001031CE"/>
    <w:p w14:paraId="07AFE6F9" w14:textId="463117B8" w:rsidR="009C5F0D" w:rsidRDefault="00645114" w:rsidP="00645114">
      <w:pPr>
        <w:pStyle w:val="Heading1"/>
      </w:pPr>
      <w:bookmarkStart w:id="0" w:name="_Toc64988584"/>
      <w:r>
        <w:t>Diagrams</w:t>
      </w:r>
      <w:bookmarkEnd w:id="0"/>
    </w:p>
    <w:p w14:paraId="0A660A4A" w14:textId="77777777" w:rsidR="009C5F0D" w:rsidRDefault="009C5F0D"/>
    <w:p w14:paraId="4789E9DC" w14:textId="77777777" w:rsidR="00E5471A" w:rsidRDefault="00E5471A"/>
    <w:p w14:paraId="66E3E5CF" w14:textId="4EA26858" w:rsidR="00BC5CEB" w:rsidRDefault="00E5471A">
      <w:r w:rsidRPr="00E5471A">
        <w:rPr>
          <w:noProof/>
        </w:rPr>
        <w:drawing>
          <wp:inline distT="0" distB="0" distL="0" distR="0" wp14:anchorId="54B9B8FB" wp14:editId="730C1809">
            <wp:extent cx="5727700" cy="3907790"/>
            <wp:effectExtent l="12700" t="12700" r="12700" b="16510"/>
            <wp:docPr id="11" name="Picture 10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7512161-C7E5-4850-A5E8-EAD38A3966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87512161-C7E5-4850-A5E8-EAD38A3966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07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863648" w14:textId="409C93C1" w:rsidR="00E5471A" w:rsidRDefault="00E5471A">
      <w:r>
        <w:br w:type="page"/>
      </w:r>
    </w:p>
    <w:p w14:paraId="51DD35DE" w14:textId="77777777" w:rsidR="00E5471A" w:rsidRDefault="00E5471A"/>
    <w:p w14:paraId="52740D52" w14:textId="7A6CE962" w:rsidR="00E5471A" w:rsidRDefault="00E5471A">
      <w:r w:rsidRPr="00E5471A">
        <w:rPr>
          <w:noProof/>
        </w:rPr>
        <w:drawing>
          <wp:inline distT="0" distB="0" distL="0" distR="0" wp14:anchorId="5C339DE0" wp14:editId="369A908E">
            <wp:extent cx="5727700" cy="4671695"/>
            <wp:effectExtent l="12700" t="12700" r="12700" b="14605"/>
            <wp:docPr id="9" name="Picture 8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7023513-D88E-44FD-9F8E-F9B9AF2347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C7023513-D88E-44FD-9F8E-F9B9AF2347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71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42419F" w14:textId="007DB935" w:rsidR="00E5471A" w:rsidRDefault="00E5471A">
      <w:r w:rsidRPr="00E5471A">
        <w:rPr>
          <w:noProof/>
        </w:rPr>
        <w:lastRenderedPageBreak/>
        <w:drawing>
          <wp:inline distT="0" distB="0" distL="0" distR="0" wp14:anchorId="52E21B63" wp14:editId="729899D4">
            <wp:extent cx="4021088" cy="5571503"/>
            <wp:effectExtent l="12700" t="12700" r="17780" b="16510"/>
            <wp:docPr id="10" name="Picture 9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4D00414-A4C2-415F-9D82-E3BEB040D5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14D00414-A4C2-415F-9D82-E3BEB040D5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2731" cy="5573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36E843" w14:textId="3F795385" w:rsidR="009C5F0D" w:rsidRDefault="009C5F0D"/>
    <w:p w14:paraId="2C85DA07" w14:textId="260A07AD" w:rsidR="009C5F0D" w:rsidRDefault="009C5F0D"/>
    <w:p w14:paraId="69D5361C" w14:textId="4543B8A1" w:rsidR="009C5F0D" w:rsidRDefault="009C5F0D" w:rsidP="009C5F0D">
      <w:pPr>
        <w:pStyle w:val="Heading1"/>
      </w:pPr>
      <w:bookmarkStart w:id="1" w:name="_Toc64988585"/>
      <w:r>
        <w:t>Extracts from VTS API sp</w:t>
      </w:r>
      <w:r w:rsidR="00F63F92">
        <w:t>e</w:t>
      </w:r>
      <w:r>
        <w:t>cs.</w:t>
      </w:r>
      <w:bookmarkEnd w:id="1"/>
    </w:p>
    <w:p w14:paraId="520ECA9C" w14:textId="1C7F9F83" w:rsidR="00F63F92" w:rsidRDefault="00F63F92" w:rsidP="00F63F92"/>
    <w:p w14:paraId="06CB0EA8" w14:textId="3D1A5A5E" w:rsidR="0078085D" w:rsidRPr="0078085D" w:rsidRDefault="0078085D" w:rsidP="0041164B">
      <w:pPr>
        <w:pStyle w:val="Heading2"/>
      </w:pPr>
      <w:r w:rsidRPr="0078085D">
        <w:t>API Key Separation for Signing and Encryption H</w:t>
      </w:r>
      <w:r>
        <w:t>-1</w:t>
      </w:r>
    </w:p>
    <w:p w14:paraId="36FDE773" w14:textId="77777777" w:rsidR="0078085D" w:rsidRPr="0078085D" w:rsidRDefault="0078085D" w:rsidP="0078085D">
      <w:r w:rsidRPr="0078085D">
        <w:rPr>
          <w:b/>
          <w:bCs/>
        </w:rPr>
        <w:t xml:space="preserve">API Key Separation for Signing and Encryption </w:t>
      </w:r>
    </w:p>
    <w:p w14:paraId="45A4E4E5" w14:textId="77777777" w:rsidR="0078085D" w:rsidRPr="0078085D" w:rsidRDefault="0078085D" w:rsidP="0078085D">
      <w:r w:rsidRPr="0078085D">
        <w:t xml:space="preserve">Visa supports the separation and classification of the signing (authentication) and encryption keys to comply with the PCI-DSS specifications. This is applicable to VTS clients. </w:t>
      </w:r>
    </w:p>
    <w:p w14:paraId="61EDEEEB" w14:textId="77777777" w:rsidR="0078085D" w:rsidRPr="0078085D" w:rsidRDefault="0078085D" w:rsidP="0078085D">
      <w:r w:rsidRPr="0078085D">
        <w:t xml:space="preserve">An API key can be either of the following: </w:t>
      </w:r>
    </w:p>
    <w:p w14:paraId="7FF3A361" w14:textId="77777777" w:rsidR="0078085D" w:rsidRPr="0078085D" w:rsidRDefault="0078085D" w:rsidP="0078085D">
      <w:pPr>
        <w:numPr>
          <w:ilvl w:val="0"/>
          <w:numId w:val="1"/>
        </w:numPr>
      </w:pPr>
      <w:r w:rsidRPr="0078085D">
        <w:t xml:space="preserve">Default key - Support existing clients for backward compatibility. To be deprecated in the future. </w:t>
      </w:r>
    </w:p>
    <w:p w14:paraId="40CFC3AA" w14:textId="77777777" w:rsidR="0078085D" w:rsidRPr="0078085D" w:rsidRDefault="0078085D" w:rsidP="0078085D">
      <w:pPr>
        <w:numPr>
          <w:ilvl w:val="0"/>
          <w:numId w:val="1"/>
        </w:numPr>
      </w:pPr>
      <w:r w:rsidRPr="0078085D">
        <w:t xml:space="preserve">Inbound authentication key - A client can use this key to create x-pay-token:xv2 (sign) for placing API calls to Visa (Inbound to Visa) </w:t>
      </w:r>
    </w:p>
    <w:p w14:paraId="7D921B4F" w14:textId="77777777" w:rsidR="0078085D" w:rsidRPr="0078085D" w:rsidRDefault="0078085D" w:rsidP="0078085D">
      <w:pPr>
        <w:numPr>
          <w:ilvl w:val="0"/>
          <w:numId w:val="1"/>
        </w:numPr>
      </w:pPr>
      <w:r w:rsidRPr="0078085D">
        <w:t xml:space="preserve">Outbound Authentication Key - Visa systems can use this key to sign the outbound post- back messages to the client’s systems. </w:t>
      </w:r>
    </w:p>
    <w:p w14:paraId="692E9BA2" w14:textId="77777777" w:rsidR="0078085D" w:rsidRPr="0078085D" w:rsidRDefault="0078085D" w:rsidP="0078085D">
      <w:pPr>
        <w:numPr>
          <w:ilvl w:val="0"/>
          <w:numId w:val="1"/>
        </w:numPr>
      </w:pPr>
      <w:r w:rsidRPr="0078085D">
        <w:lastRenderedPageBreak/>
        <w:t xml:space="preserve">Data encryption Key: This key will be used to encrypt the data that is transmitted between the client’s system and Visa systems. </w:t>
      </w:r>
    </w:p>
    <w:p w14:paraId="3C159275" w14:textId="77777777" w:rsidR="0078085D" w:rsidRPr="0078085D" w:rsidRDefault="0078085D" w:rsidP="0078085D">
      <w:r w:rsidRPr="0078085D">
        <w:t xml:space="preserve">Clients would have three pool of keys/secrets. Each pool can have one to multiple API key/ shared secret. </w:t>
      </w:r>
    </w:p>
    <w:p w14:paraId="22A06EF8" w14:textId="77777777" w:rsidR="0078085D" w:rsidRPr="0078085D" w:rsidRDefault="0078085D" w:rsidP="0078085D">
      <w:pPr>
        <w:numPr>
          <w:ilvl w:val="0"/>
          <w:numId w:val="2"/>
        </w:numPr>
      </w:pPr>
      <w:r w:rsidRPr="0078085D">
        <w:t xml:space="preserve">Inbound authentication key – API key/shared-secret for x-pay-token (version 2: xv2). Clients will use this API-key/secret to create HMAC-SHA256 digests by following x-pay-token (version 2: xv2) protocol. </w:t>
      </w:r>
    </w:p>
    <w:p w14:paraId="7FCDD91C" w14:textId="77777777" w:rsidR="0078085D" w:rsidRPr="0078085D" w:rsidRDefault="0078085D" w:rsidP="0078085D">
      <w:pPr>
        <w:numPr>
          <w:ilvl w:val="0"/>
          <w:numId w:val="2"/>
        </w:numPr>
      </w:pPr>
      <w:r w:rsidRPr="0078085D">
        <w:t xml:space="preserve">Data encryption key - For data encryption in the payload. There will be no separation of API keys for inbound or outbound APIs. </w:t>
      </w:r>
    </w:p>
    <w:p w14:paraId="170F1025" w14:textId="77777777" w:rsidR="0078085D" w:rsidRPr="0078085D" w:rsidRDefault="0078085D" w:rsidP="0078085D">
      <w:pPr>
        <w:numPr>
          <w:ilvl w:val="1"/>
          <w:numId w:val="2"/>
        </w:numPr>
      </w:pPr>
      <w:r w:rsidRPr="0078085D">
        <w:t xml:space="preserve">Inbound APIs to VTS - A client can select any encryption key for the encryption of sensitive data passed to VTS. </w:t>
      </w:r>
    </w:p>
    <w:p w14:paraId="37EB106B" w14:textId="27210D2A" w:rsidR="0078085D" w:rsidRPr="0078085D" w:rsidRDefault="0078085D" w:rsidP="0078085D">
      <w:pPr>
        <w:numPr>
          <w:ilvl w:val="1"/>
          <w:numId w:val="2"/>
        </w:numPr>
      </w:pPr>
      <w:r w:rsidRPr="0078085D">
        <w:t>Outbound</w:t>
      </w:r>
      <w:r w:rsidR="001E44F6">
        <w:t xml:space="preserve"> </w:t>
      </w:r>
      <w:r w:rsidRPr="0078085D">
        <w:t>APIs</w:t>
      </w:r>
      <w:r w:rsidR="001E44F6">
        <w:t xml:space="preserve"> </w:t>
      </w:r>
      <w:r w:rsidRPr="0078085D">
        <w:t>from</w:t>
      </w:r>
      <w:r w:rsidR="001E44F6">
        <w:t xml:space="preserve"> </w:t>
      </w:r>
      <w:r w:rsidRPr="0078085D">
        <w:t>VTS-Clients</w:t>
      </w:r>
      <w:r w:rsidR="001E44F6">
        <w:t xml:space="preserve"> </w:t>
      </w:r>
      <w:r w:rsidRPr="0078085D">
        <w:t>should</w:t>
      </w:r>
      <w:r w:rsidR="001E44F6">
        <w:t xml:space="preserve"> </w:t>
      </w:r>
      <w:r w:rsidRPr="0078085D">
        <w:t>have</w:t>
      </w:r>
      <w:r w:rsidR="001E44F6">
        <w:t xml:space="preserve"> </w:t>
      </w:r>
      <w:r w:rsidRPr="0078085D">
        <w:t>an</w:t>
      </w:r>
      <w:r w:rsidR="001E44F6">
        <w:t xml:space="preserve"> </w:t>
      </w:r>
      <w:r w:rsidRPr="0078085D">
        <w:t>encryption</w:t>
      </w:r>
      <w:r w:rsidR="001E44F6">
        <w:t xml:space="preserve"> </w:t>
      </w:r>
      <w:r w:rsidRPr="0078085D">
        <w:t>key</w:t>
      </w:r>
      <w:r w:rsidR="001E44F6">
        <w:t xml:space="preserve"> </w:t>
      </w:r>
      <w:r w:rsidRPr="0078085D">
        <w:t>defined</w:t>
      </w:r>
      <w:r w:rsidR="001E44F6">
        <w:t xml:space="preserve"> </w:t>
      </w:r>
      <w:r w:rsidRPr="0078085D">
        <w:t>in</w:t>
      </w:r>
      <w:r w:rsidR="001E44F6">
        <w:t xml:space="preserve"> </w:t>
      </w:r>
      <w:r w:rsidRPr="0078085D">
        <w:t>the</w:t>
      </w:r>
      <w:r w:rsidR="001E44F6">
        <w:t xml:space="preserve"> c</w:t>
      </w:r>
      <w:r w:rsidRPr="0078085D">
        <w:t xml:space="preserve">lient profile during onboarding with VTS. If encryption key has not been defined in the profile, VTS will select an encryption key from the pool of encryption key. </w:t>
      </w:r>
    </w:p>
    <w:p w14:paraId="4FE19C75" w14:textId="77777777" w:rsidR="0078085D" w:rsidRPr="0078085D" w:rsidRDefault="0078085D" w:rsidP="0078085D">
      <w:pPr>
        <w:numPr>
          <w:ilvl w:val="0"/>
          <w:numId w:val="2"/>
        </w:numPr>
      </w:pPr>
      <w:r w:rsidRPr="0078085D">
        <w:t xml:space="preserve">Outbound authentication key - The API-key/shared-secret for x-pay-token (v2) for Notification APIs from VTS. </w:t>
      </w:r>
    </w:p>
    <w:p w14:paraId="7259BB40" w14:textId="77777777" w:rsidR="0078085D" w:rsidRDefault="0078085D" w:rsidP="0078085D">
      <w:pPr>
        <w:pStyle w:val="NormalWeb"/>
      </w:pPr>
      <w:r>
        <w:rPr>
          <w:rFonts w:ascii="SegoeUI" w:hAnsi="SegoeUI"/>
          <w:sz w:val="20"/>
          <w:szCs w:val="20"/>
        </w:rPr>
        <w:t xml:space="preserve">A key that is not a default key can have only one restriction. Restrictions can be enabled by contacting Visa customer support. A key cannot be used for both inbound and outbound, for example. Once a key is restricted to a specific usage, that usage cannot be changed or modified. For example, an inbound authentication key can never become an outbound authentication key or an encryption key. If the client desires a new key, they must create new one. </w:t>
      </w:r>
    </w:p>
    <w:p w14:paraId="77717644" w14:textId="77777777" w:rsidR="0078085D" w:rsidRDefault="0078085D" w:rsidP="0078085D">
      <w:pPr>
        <w:pStyle w:val="NormalWeb"/>
      </w:pPr>
      <w:r>
        <w:rPr>
          <w:rFonts w:ascii="SegoeUI" w:hAnsi="SegoeUI"/>
          <w:b/>
          <w:bCs/>
          <w:sz w:val="20"/>
          <w:szCs w:val="20"/>
        </w:rPr>
        <w:t xml:space="preserve">Versioning of x-pay-token. </w:t>
      </w:r>
      <w:r>
        <w:rPr>
          <w:rFonts w:ascii="SegoeUI" w:hAnsi="SegoeUI"/>
          <w:sz w:val="20"/>
          <w:szCs w:val="20"/>
        </w:rPr>
        <w:t xml:space="preserve">X-pay-token is supported in 2 versions: x and xv2 supporting the SHA2 and HMAC-SHA2 algorithms respectively. X version of the x-pay-token is supported only for backward compatibility and it will be deprecated. </w:t>
      </w:r>
    </w:p>
    <w:p w14:paraId="56D2FDD2" w14:textId="77777777" w:rsidR="0078085D" w:rsidRDefault="0078085D" w:rsidP="0078085D">
      <w:pPr>
        <w:pStyle w:val="NormalWeb"/>
      </w:pPr>
      <w:r>
        <w:rPr>
          <w:rFonts w:ascii="SegoeUI" w:hAnsi="SegoeUI"/>
          <w:b/>
          <w:bCs/>
          <w:sz w:val="20"/>
          <w:szCs w:val="20"/>
        </w:rPr>
        <w:t xml:space="preserve">Inbound authentication. </w:t>
      </w:r>
      <w:r>
        <w:rPr>
          <w:rFonts w:ascii="SegoeUI" w:hAnsi="SegoeUI"/>
          <w:sz w:val="20"/>
          <w:szCs w:val="20"/>
        </w:rPr>
        <w:t xml:space="preserve">Clients can indicate their preference for x-pay-token version for the inbound APIs, by contacting visa customer support. VTS will validate the indicated version of x- pay-token for inbound authentication. </w:t>
      </w:r>
    </w:p>
    <w:p w14:paraId="77604983" w14:textId="77777777" w:rsidR="0078085D" w:rsidRDefault="0078085D" w:rsidP="0078085D">
      <w:pPr>
        <w:pStyle w:val="NormalWeb"/>
        <w:numPr>
          <w:ilvl w:val="0"/>
          <w:numId w:val="3"/>
        </w:numPr>
        <w:rPr>
          <w:rFonts w:ascii="SegoeUI" w:hAnsi="SegoeUI"/>
          <w:sz w:val="20"/>
          <w:szCs w:val="20"/>
        </w:rPr>
      </w:pPr>
      <w:r>
        <w:rPr>
          <w:rFonts w:ascii="SegoeUI" w:hAnsi="SegoeUI"/>
          <w:sz w:val="20"/>
          <w:szCs w:val="20"/>
        </w:rPr>
        <w:t xml:space="preserve">If the indicated preference is xv2, only xv2 version will be supported. </w:t>
      </w:r>
    </w:p>
    <w:p w14:paraId="43F119D4" w14:textId="77777777" w:rsidR="0078085D" w:rsidRDefault="0078085D" w:rsidP="0078085D">
      <w:pPr>
        <w:pStyle w:val="NormalWeb"/>
        <w:numPr>
          <w:ilvl w:val="0"/>
          <w:numId w:val="3"/>
        </w:numPr>
        <w:rPr>
          <w:rFonts w:ascii="SegoeUI" w:hAnsi="SegoeUI"/>
          <w:sz w:val="20"/>
          <w:szCs w:val="20"/>
        </w:rPr>
      </w:pPr>
      <w:r>
        <w:rPr>
          <w:rFonts w:ascii="SegoeUI" w:hAnsi="SegoeUI"/>
          <w:sz w:val="20"/>
          <w:szCs w:val="20"/>
        </w:rPr>
        <w:t xml:space="preserve">If there is no indication, both x and xv2 version will be supported until x version is deprecated. </w:t>
      </w:r>
    </w:p>
    <w:p w14:paraId="66C597E6" w14:textId="77777777" w:rsidR="0078085D" w:rsidRPr="0078085D" w:rsidRDefault="0078085D" w:rsidP="0078085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085D">
        <w:rPr>
          <w:rFonts w:ascii="SegoeUI" w:eastAsia="Times New Roman" w:hAnsi="SegoeUI" w:cs="Times New Roman"/>
          <w:b/>
          <w:bCs/>
          <w:sz w:val="20"/>
          <w:szCs w:val="20"/>
          <w:lang w:eastAsia="en-GB"/>
        </w:rPr>
        <w:t xml:space="preserve">Outbound authentication. </w:t>
      </w:r>
      <w:r w:rsidRPr="0078085D">
        <w:rPr>
          <w:rFonts w:ascii="SegoeUI" w:eastAsia="Times New Roman" w:hAnsi="SegoeUI" w:cs="Times New Roman"/>
          <w:sz w:val="20"/>
          <w:szCs w:val="20"/>
          <w:lang w:eastAsia="en-GB"/>
        </w:rPr>
        <w:t xml:space="preserve">Clients can indicate their preference for x-pay-token version for the post-back APIs, by contacting visa customer support during onboarding in the portal. VTS will create the indicated version of x-pay-token for post message back to clients. </w:t>
      </w:r>
    </w:p>
    <w:p w14:paraId="45614053" w14:textId="77777777" w:rsidR="0078085D" w:rsidRPr="0078085D" w:rsidRDefault="0078085D" w:rsidP="0078085D">
      <w:pPr>
        <w:numPr>
          <w:ilvl w:val="0"/>
          <w:numId w:val="4"/>
        </w:numPr>
        <w:spacing w:before="100" w:beforeAutospacing="1" w:after="100" w:afterAutospacing="1"/>
        <w:rPr>
          <w:rFonts w:ascii="SegoeUI" w:eastAsia="Times New Roman" w:hAnsi="SegoeUI" w:cs="Times New Roman"/>
          <w:sz w:val="20"/>
          <w:szCs w:val="20"/>
          <w:lang w:eastAsia="en-GB"/>
        </w:rPr>
      </w:pPr>
      <w:r w:rsidRPr="0078085D">
        <w:rPr>
          <w:rFonts w:ascii="SegoeUI" w:eastAsia="Times New Roman" w:hAnsi="SegoeUI" w:cs="Times New Roman"/>
          <w:sz w:val="20"/>
          <w:szCs w:val="20"/>
          <w:lang w:eastAsia="en-GB"/>
        </w:rPr>
        <w:t xml:space="preserve">If the indicated preference is xv2, only xv2 version will be supported. </w:t>
      </w:r>
    </w:p>
    <w:p w14:paraId="3EED8DF7" w14:textId="77777777" w:rsidR="0078085D" w:rsidRPr="0078085D" w:rsidRDefault="0078085D" w:rsidP="0078085D">
      <w:pPr>
        <w:numPr>
          <w:ilvl w:val="0"/>
          <w:numId w:val="4"/>
        </w:numPr>
        <w:spacing w:before="100" w:beforeAutospacing="1" w:after="100" w:afterAutospacing="1"/>
        <w:rPr>
          <w:rFonts w:ascii="SegoeUI" w:eastAsia="Times New Roman" w:hAnsi="SegoeUI" w:cs="Times New Roman"/>
          <w:sz w:val="20"/>
          <w:szCs w:val="20"/>
          <w:lang w:eastAsia="en-GB"/>
        </w:rPr>
      </w:pPr>
      <w:r w:rsidRPr="0078085D">
        <w:rPr>
          <w:rFonts w:ascii="SegoeUI" w:eastAsia="Times New Roman" w:hAnsi="SegoeUI" w:cs="Times New Roman"/>
          <w:sz w:val="20"/>
          <w:szCs w:val="20"/>
          <w:lang w:eastAsia="en-GB"/>
        </w:rPr>
        <w:t xml:space="preserve">If there is no indication, both x and xv2 version will be supported until x version is deprecated. </w:t>
      </w:r>
    </w:p>
    <w:p w14:paraId="3A6C0017" w14:textId="77777777" w:rsidR="0078085D" w:rsidRPr="0078085D" w:rsidRDefault="0078085D" w:rsidP="0078085D">
      <w:pPr>
        <w:spacing w:before="100" w:beforeAutospacing="1" w:after="100" w:afterAutospacing="1"/>
        <w:ind w:left="720"/>
        <w:rPr>
          <w:rFonts w:ascii="SegoeUI" w:eastAsia="Times New Roman" w:hAnsi="SegoeUI" w:cs="Times New Roman"/>
          <w:sz w:val="20"/>
          <w:szCs w:val="20"/>
          <w:lang w:eastAsia="en-GB"/>
        </w:rPr>
      </w:pPr>
      <w:r w:rsidRPr="0078085D">
        <w:rPr>
          <w:rFonts w:ascii="SegoeUI" w:eastAsia="Times New Roman" w:hAnsi="SegoeUI" w:cs="Times New Roman"/>
          <w:b/>
          <w:bCs/>
          <w:sz w:val="20"/>
          <w:szCs w:val="20"/>
          <w:lang w:eastAsia="en-GB"/>
        </w:rPr>
        <w:t xml:space="preserve">Key usage error scenarios: </w:t>
      </w:r>
    </w:p>
    <w:p w14:paraId="5C4C5782" w14:textId="77777777" w:rsidR="0078085D" w:rsidRPr="0078085D" w:rsidRDefault="0078085D" w:rsidP="0078085D">
      <w:pPr>
        <w:spacing w:before="100" w:beforeAutospacing="1" w:after="100" w:afterAutospacing="1"/>
        <w:ind w:left="720"/>
        <w:rPr>
          <w:rFonts w:ascii="SegoeUI" w:eastAsia="Times New Roman" w:hAnsi="SegoeUI" w:cs="Times New Roman"/>
          <w:sz w:val="20"/>
          <w:szCs w:val="20"/>
          <w:lang w:eastAsia="en-GB"/>
        </w:rPr>
      </w:pPr>
      <w:r w:rsidRPr="0078085D">
        <w:rPr>
          <w:rFonts w:ascii="SegoeUI" w:eastAsia="Times New Roman" w:hAnsi="SegoeUI" w:cs="Times New Roman"/>
          <w:sz w:val="20"/>
          <w:szCs w:val="20"/>
          <w:lang w:eastAsia="en-GB"/>
        </w:rPr>
        <w:t xml:space="preserve">If an API key is used improperly in terms of API key classification, the API request would be rejected with an error response by VTS. </w:t>
      </w:r>
    </w:p>
    <w:p w14:paraId="77C5F84E" w14:textId="77777777" w:rsidR="0078085D" w:rsidRPr="0078085D" w:rsidRDefault="0078085D" w:rsidP="0078085D">
      <w:pPr>
        <w:numPr>
          <w:ilvl w:val="0"/>
          <w:numId w:val="5"/>
        </w:numPr>
        <w:spacing w:before="100" w:beforeAutospacing="1" w:after="100" w:afterAutospacing="1"/>
        <w:rPr>
          <w:rFonts w:ascii="SegoeUI" w:eastAsia="Times New Roman" w:hAnsi="SegoeUI" w:cs="Times New Roman"/>
          <w:sz w:val="20"/>
          <w:szCs w:val="20"/>
          <w:lang w:eastAsia="en-GB"/>
        </w:rPr>
      </w:pPr>
      <w:r w:rsidRPr="0078085D">
        <w:rPr>
          <w:rFonts w:ascii="SegoeUI" w:eastAsia="Times New Roman" w:hAnsi="SegoeUI" w:cs="Times New Roman"/>
          <w:sz w:val="20"/>
          <w:szCs w:val="20"/>
          <w:lang w:eastAsia="en-GB"/>
        </w:rPr>
        <w:t xml:space="preserve">If an encryption key is used for authentication, “Unauthorized” response will be sent to client. </w:t>
      </w:r>
    </w:p>
    <w:p w14:paraId="00D3BFA0" w14:textId="77777777" w:rsidR="0078085D" w:rsidRPr="0078085D" w:rsidRDefault="0078085D" w:rsidP="0078085D">
      <w:pPr>
        <w:numPr>
          <w:ilvl w:val="0"/>
          <w:numId w:val="5"/>
        </w:numPr>
        <w:spacing w:before="100" w:beforeAutospacing="1" w:after="100" w:afterAutospacing="1"/>
        <w:rPr>
          <w:rFonts w:ascii="SegoeUI" w:eastAsia="Times New Roman" w:hAnsi="SegoeUI" w:cs="Times New Roman"/>
          <w:sz w:val="20"/>
          <w:szCs w:val="20"/>
          <w:lang w:eastAsia="en-GB"/>
        </w:rPr>
      </w:pPr>
      <w:r w:rsidRPr="0078085D">
        <w:rPr>
          <w:rFonts w:ascii="SegoeUI" w:eastAsia="Times New Roman" w:hAnsi="SegoeUI" w:cs="Times New Roman"/>
          <w:sz w:val="20"/>
          <w:szCs w:val="20"/>
          <w:lang w:eastAsia="en-GB"/>
        </w:rPr>
        <w:t xml:space="preserve">If an authentication key is used for encryption, the API request would be rejected as “bad request” by VTS. </w:t>
      </w:r>
    </w:p>
    <w:p w14:paraId="566B1732" w14:textId="77777777" w:rsidR="0078085D" w:rsidRPr="0078085D" w:rsidRDefault="0078085D" w:rsidP="0078085D">
      <w:pPr>
        <w:numPr>
          <w:ilvl w:val="0"/>
          <w:numId w:val="5"/>
        </w:numPr>
        <w:spacing w:before="100" w:beforeAutospacing="1" w:after="100" w:afterAutospacing="1"/>
        <w:rPr>
          <w:rFonts w:ascii="SegoeUI" w:eastAsia="Times New Roman" w:hAnsi="SegoeUI" w:cs="Times New Roman"/>
          <w:sz w:val="20"/>
          <w:szCs w:val="20"/>
          <w:lang w:eastAsia="en-GB"/>
        </w:rPr>
      </w:pPr>
      <w:r w:rsidRPr="0078085D">
        <w:rPr>
          <w:rFonts w:ascii="SegoeUI" w:eastAsia="Times New Roman" w:hAnsi="SegoeUI" w:cs="Times New Roman"/>
          <w:sz w:val="20"/>
          <w:szCs w:val="20"/>
          <w:lang w:eastAsia="en-GB"/>
        </w:rPr>
        <w:lastRenderedPageBreak/>
        <w:t xml:space="preserve">Client should reject if the API-key in query parameter is not for the outbound purpose in their key management systems. </w:t>
      </w:r>
    </w:p>
    <w:p w14:paraId="6565AA3C" w14:textId="77777777" w:rsidR="0078085D" w:rsidRPr="0078085D" w:rsidRDefault="0078085D" w:rsidP="0078085D">
      <w:pPr>
        <w:numPr>
          <w:ilvl w:val="0"/>
          <w:numId w:val="5"/>
        </w:numPr>
        <w:spacing w:before="100" w:beforeAutospacing="1" w:after="100" w:afterAutospacing="1"/>
        <w:rPr>
          <w:rFonts w:ascii="SegoeUI" w:eastAsia="Times New Roman" w:hAnsi="SegoeUI" w:cs="Times New Roman"/>
          <w:sz w:val="20"/>
          <w:szCs w:val="20"/>
          <w:lang w:eastAsia="en-GB"/>
        </w:rPr>
      </w:pPr>
      <w:r w:rsidRPr="0078085D">
        <w:rPr>
          <w:rFonts w:ascii="SegoeUI" w:eastAsia="Times New Roman" w:hAnsi="SegoeUI" w:cs="Times New Roman"/>
          <w:sz w:val="20"/>
          <w:szCs w:val="20"/>
          <w:lang w:eastAsia="en-GB"/>
        </w:rPr>
        <w:t xml:space="preserve">Visa would reject x-pay-token with version x, if the client is configured for xv2. </w:t>
      </w:r>
    </w:p>
    <w:p w14:paraId="0840B9A2" w14:textId="6C442C07" w:rsidR="0078085D" w:rsidRDefault="0078085D" w:rsidP="0078085D">
      <w:pPr>
        <w:numPr>
          <w:ilvl w:val="0"/>
          <w:numId w:val="5"/>
        </w:numPr>
        <w:spacing w:before="100" w:beforeAutospacing="1" w:after="100" w:afterAutospacing="1"/>
        <w:rPr>
          <w:rFonts w:ascii="SegoeUI" w:eastAsia="Times New Roman" w:hAnsi="SegoeUI" w:cs="Times New Roman"/>
          <w:sz w:val="20"/>
          <w:szCs w:val="20"/>
          <w:lang w:eastAsia="en-GB"/>
        </w:rPr>
      </w:pPr>
      <w:r w:rsidRPr="0078085D">
        <w:rPr>
          <w:rFonts w:ascii="SegoeUI" w:eastAsia="Times New Roman" w:hAnsi="SegoeUI" w:cs="Times New Roman"/>
          <w:sz w:val="20"/>
          <w:szCs w:val="20"/>
          <w:lang w:eastAsia="en-GB"/>
        </w:rPr>
        <w:t xml:space="preserve">For the post-back APIs, client should reject if the indicated version of the x-pay-token is xv2 and if it receives x-pay-token with version x. </w:t>
      </w:r>
    </w:p>
    <w:p w14:paraId="0E59FC16" w14:textId="2D288F11" w:rsidR="00AB20D1" w:rsidRDefault="00AB20D1" w:rsidP="00AB20D1">
      <w:pPr>
        <w:spacing w:before="100" w:beforeAutospacing="1" w:after="100" w:afterAutospacing="1"/>
        <w:rPr>
          <w:rFonts w:ascii="SegoeUI" w:eastAsia="Times New Roman" w:hAnsi="SegoeUI" w:cs="Times New Roman"/>
          <w:sz w:val="20"/>
          <w:szCs w:val="20"/>
          <w:lang w:eastAsia="en-GB"/>
        </w:rPr>
      </w:pPr>
    </w:p>
    <w:p w14:paraId="08054610" w14:textId="4D9C9CD9" w:rsidR="00AB20D1" w:rsidRDefault="00AB20D1" w:rsidP="00AB20D1">
      <w:pPr>
        <w:pStyle w:val="Heading2"/>
        <w:rPr>
          <w:rFonts w:eastAsia="Times New Roman"/>
          <w:lang w:eastAsia="en-GB"/>
        </w:rPr>
      </w:pPr>
      <w:r w:rsidRPr="00AB20D1">
        <w:rPr>
          <w:rFonts w:eastAsia="Times New Roman"/>
          <w:lang w:eastAsia="en-GB"/>
        </w:rPr>
        <w:t>x-pay-token</w:t>
      </w:r>
    </w:p>
    <w:p w14:paraId="0C3A2127" w14:textId="77777777" w:rsidR="00437CE6" w:rsidRPr="00437CE6" w:rsidRDefault="00437CE6" w:rsidP="00437CE6">
      <w:pPr>
        <w:rPr>
          <w:lang w:eastAsia="en-GB"/>
        </w:rPr>
      </w:pPr>
    </w:p>
    <w:p w14:paraId="10622F2F" w14:textId="7704BF8B" w:rsidR="00437CE6" w:rsidRDefault="00437CE6" w:rsidP="00437CE6">
      <w:pPr>
        <w:rPr>
          <w:b/>
          <w:bCs/>
        </w:rPr>
      </w:pPr>
      <w:proofErr w:type="spellStart"/>
      <w:r>
        <w:rPr>
          <w:b/>
          <w:bCs/>
        </w:rPr>
        <w:t>Enroll</w:t>
      </w:r>
      <w:proofErr w:type="spellEnd"/>
      <w:r>
        <w:rPr>
          <w:b/>
          <w:bCs/>
        </w:rPr>
        <w:t xml:space="preserve"> device/PAN – </w:t>
      </w:r>
    </w:p>
    <w:p w14:paraId="0C3526C5" w14:textId="77777777" w:rsidR="00590675" w:rsidRDefault="00590675" w:rsidP="00437CE6">
      <w:pPr>
        <w:rPr>
          <w:b/>
          <w:bCs/>
        </w:rPr>
      </w:pPr>
    </w:p>
    <w:p w14:paraId="0AE6DCD5" w14:textId="1EC89754" w:rsidR="00437CE6" w:rsidRPr="00437CE6" w:rsidRDefault="00437CE6" w:rsidP="00437CE6">
      <w:r w:rsidRPr="00437CE6">
        <w:rPr>
          <w:b/>
          <w:bCs/>
        </w:rPr>
        <w:t xml:space="preserve">Required Headers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  <w:gridCol w:w="4899"/>
      </w:tblGrid>
      <w:tr w:rsidR="00437CE6" w:rsidRPr="00437CE6" w14:paraId="24802E08" w14:textId="77777777" w:rsidTr="00437CE6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B28ED3" w14:textId="77777777" w:rsidR="00437CE6" w:rsidRPr="00437CE6" w:rsidRDefault="00437CE6" w:rsidP="00437CE6">
            <w:r w:rsidRPr="00437CE6">
              <w:rPr>
                <w:b/>
                <w:bCs/>
              </w:rPr>
              <w:t xml:space="preserve">Header </w:t>
            </w:r>
          </w:p>
        </w:tc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1E1E60" w14:textId="77777777" w:rsidR="00437CE6" w:rsidRPr="00437CE6" w:rsidRDefault="00437CE6" w:rsidP="00437CE6">
            <w:r w:rsidRPr="00437CE6">
              <w:rPr>
                <w:b/>
                <w:bCs/>
              </w:rPr>
              <w:t xml:space="preserve">Description </w:t>
            </w:r>
          </w:p>
        </w:tc>
      </w:tr>
      <w:tr w:rsidR="00437CE6" w:rsidRPr="00437CE6" w14:paraId="052DF34D" w14:textId="77777777" w:rsidTr="00437CE6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72A49F" w14:textId="77777777" w:rsidR="00437CE6" w:rsidRPr="00437CE6" w:rsidRDefault="00437CE6" w:rsidP="00437CE6">
            <w:r w:rsidRPr="00437CE6">
              <w:t>x-request-id</w:t>
            </w:r>
          </w:p>
          <w:p w14:paraId="1D225F0D" w14:textId="77777777" w:rsidR="00437CE6" w:rsidRPr="00437CE6" w:rsidRDefault="00437CE6" w:rsidP="00437CE6"/>
        </w:tc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A52FCB" w14:textId="77777777" w:rsidR="00437CE6" w:rsidRPr="00437CE6" w:rsidRDefault="00437CE6" w:rsidP="00437CE6">
            <w:r w:rsidRPr="00437CE6">
              <w:rPr>
                <w:i/>
                <w:iCs/>
              </w:rPr>
              <w:t xml:space="preserve">(Required) </w:t>
            </w:r>
            <w:r w:rsidRPr="00437CE6">
              <w:t xml:space="preserve">Unique ID for the API request. </w:t>
            </w:r>
          </w:p>
          <w:p w14:paraId="3E274FD2" w14:textId="77777777" w:rsidR="00437CE6" w:rsidRPr="00437CE6" w:rsidRDefault="00437CE6" w:rsidP="00437CE6">
            <w:r w:rsidRPr="00437CE6">
              <w:rPr>
                <w:b/>
                <w:bCs/>
              </w:rPr>
              <w:t xml:space="preserve">Format: </w:t>
            </w:r>
            <w:r w:rsidRPr="00437CE6">
              <w:t xml:space="preserve">Alphabetic, numeric, and hyphens ( - ), e.g. spaces are not allowed; maximum 36 characters. </w:t>
            </w:r>
          </w:p>
        </w:tc>
      </w:tr>
      <w:tr w:rsidR="00437CE6" w:rsidRPr="00437CE6" w14:paraId="24102846" w14:textId="77777777" w:rsidTr="00437CE6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DB7370" w14:textId="77777777" w:rsidR="00437CE6" w:rsidRPr="00437CE6" w:rsidRDefault="00437CE6" w:rsidP="00437CE6">
            <w:r w:rsidRPr="00437CE6">
              <w:t xml:space="preserve">x-pay-token </w:t>
            </w:r>
          </w:p>
        </w:tc>
        <w:tc>
          <w:tcPr>
            <w:tcW w:w="4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E87ECE" w14:textId="77777777" w:rsidR="00437CE6" w:rsidRPr="00437CE6" w:rsidRDefault="00437CE6" w:rsidP="00437CE6">
            <w:r w:rsidRPr="00437CE6">
              <w:rPr>
                <w:i/>
                <w:iCs/>
              </w:rPr>
              <w:t xml:space="preserve">(Required) </w:t>
            </w:r>
            <w:r w:rsidRPr="00437CE6">
              <w:t xml:space="preserve">A token identifying the transaction and its contents. The token expires in 480 seconds (8 minutes) for all clients. </w:t>
            </w:r>
          </w:p>
          <w:p w14:paraId="19558CFD" w14:textId="77777777" w:rsidR="00437CE6" w:rsidRPr="00437CE6" w:rsidRDefault="00437CE6" w:rsidP="00437CE6">
            <w:r w:rsidRPr="00437CE6">
              <w:rPr>
                <w:b/>
                <w:bCs/>
              </w:rPr>
              <w:t xml:space="preserve">Format: </w:t>
            </w:r>
            <w:r w:rsidRPr="00437CE6">
              <w:t xml:space="preserve">Alphanumeric; 256 characters in the form of x-pay-token: </w:t>
            </w:r>
            <w:r w:rsidRPr="00437CE6">
              <w:rPr>
                <w:i/>
                <w:iCs/>
              </w:rPr>
              <w:t>xv2:UTC_Timestamp:HMAC- SHA256_hash</w:t>
            </w:r>
            <w:r w:rsidRPr="00437CE6">
              <w:t xml:space="preserve">, where: </w:t>
            </w:r>
          </w:p>
          <w:p w14:paraId="020E8BD3" w14:textId="77777777" w:rsidR="00437CE6" w:rsidRPr="00437CE6" w:rsidRDefault="00437CE6" w:rsidP="00437CE6">
            <w:r w:rsidRPr="00437CE6">
              <w:t xml:space="preserve">• </w:t>
            </w:r>
            <w:proofErr w:type="spellStart"/>
            <w:r w:rsidRPr="00437CE6">
              <w:rPr>
                <w:i/>
                <w:iCs/>
              </w:rPr>
              <w:t>UTC_Timestamp</w:t>
            </w:r>
            <w:r w:rsidRPr="00437CE6">
              <w:t>isaUNIXEpochtimestamp</w:t>
            </w:r>
            <w:proofErr w:type="spellEnd"/>
            <w:r w:rsidRPr="00437CE6">
              <w:t xml:space="preserve">, in seconds </w:t>
            </w:r>
          </w:p>
          <w:p w14:paraId="0316BCD4" w14:textId="77777777" w:rsidR="00437CE6" w:rsidRPr="00437CE6" w:rsidRDefault="00437CE6" w:rsidP="00437CE6">
            <w:r w:rsidRPr="00437CE6">
              <w:t xml:space="preserve">• </w:t>
            </w:r>
            <w:r w:rsidRPr="00437CE6">
              <w:rPr>
                <w:i/>
                <w:iCs/>
              </w:rPr>
              <w:t>HMAC-SHA256_hash</w:t>
            </w:r>
            <w:r w:rsidRPr="00437CE6">
              <w:t xml:space="preserve">isanHMAC-SHA256 hash using the shared secret associated with the API key and the following unseparated items: </w:t>
            </w:r>
          </w:p>
          <w:p w14:paraId="1A56B3B6" w14:textId="77777777" w:rsidR="00437CE6" w:rsidRPr="00437CE6" w:rsidRDefault="00437CE6" w:rsidP="00437CE6">
            <w:pPr>
              <w:numPr>
                <w:ilvl w:val="0"/>
                <w:numId w:val="7"/>
              </w:numPr>
            </w:pPr>
            <w:r w:rsidRPr="00437CE6">
              <w:t xml:space="preserve">Timestamp from the transaction; exactly the same </w:t>
            </w:r>
            <w:proofErr w:type="spellStart"/>
            <w:r w:rsidRPr="00437CE6">
              <w:t>as:</w:t>
            </w:r>
            <w:r w:rsidRPr="00437CE6">
              <w:rPr>
                <w:i/>
                <w:iCs/>
              </w:rPr>
              <w:t>UTC_Timestamp</w:t>
            </w:r>
            <w:proofErr w:type="spellEnd"/>
            <w:r w:rsidRPr="00437CE6">
              <w:rPr>
                <w:i/>
                <w:iCs/>
              </w:rPr>
              <w:t xml:space="preserve"> </w:t>
            </w:r>
          </w:p>
          <w:p w14:paraId="0B391B6B" w14:textId="77777777" w:rsidR="00437CE6" w:rsidRPr="00437CE6" w:rsidRDefault="00437CE6" w:rsidP="00437CE6">
            <w:pPr>
              <w:numPr>
                <w:ilvl w:val="0"/>
                <w:numId w:val="7"/>
              </w:numPr>
            </w:pPr>
            <w:r w:rsidRPr="00437CE6">
              <w:t xml:space="preserve">Resource path (API name). </w:t>
            </w:r>
          </w:p>
          <w:p w14:paraId="28DD7C9B" w14:textId="77777777" w:rsidR="00437CE6" w:rsidRPr="00437CE6" w:rsidRDefault="00437CE6" w:rsidP="00437CE6">
            <w:pPr>
              <w:numPr>
                <w:ilvl w:val="0"/>
                <w:numId w:val="7"/>
              </w:numPr>
            </w:pPr>
            <w:r w:rsidRPr="00437CE6">
              <w:t xml:space="preserve">This HTTPS request's query string, if it exists: </w:t>
            </w:r>
          </w:p>
          <w:p w14:paraId="54021873" w14:textId="77777777" w:rsidR="00437CE6" w:rsidRPr="00437CE6" w:rsidRDefault="00437CE6" w:rsidP="00437CE6">
            <w:r w:rsidRPr="00437CE6">
              <w:rPr>
                <w:b/>
                <w:bCs/>
              </w:rPr>
              <w:t xml:space="preserve">Note </w:t>
            </w:r>
          </w:p>
          <w:p w14:paraId="6F70C8BE" w14:textId="77777777" w:rsidR="00437CE6" w:rsidRPr="00437CE6" w:rsidRDefault="00437CE6" w:rsidP="00437CE6">
            <w:r w:rsidRPr="00437CE6">
              <w:t xml:space="preserve">To create the query string, concatenate all query string components (names and values) as UTF-8 characters, which are URL-encoded per RFC 3986. Hex characters </w:t>
            </w:r>
            <w:r w:rsidRPr="00437CE6">
              <w:rPr>
                <w:b/>
                <w:bCs/>
              </w:rPr>
              <w:t xml:space="preserve">must </w:t>
            </w:r>
            <w:r w:rsidRPr="00437CE6">
              <w:t xml:space="preserve">be uppercase. Multiple parameters must be sorted using lexicographic byte ordering and separated from each other by an ampersand (&amp;) character (ASCII code 38). Parameter names are separated from their values by the = character (ASCII character 61), which must be present even if the value is empty. “Unreserved" characters specified in Section 2.3 of RFC 3986, including dash (-), dot (.), </w:t>
            </w:r>
            <w:r w:rsidRPr="00437CE6">
              <w:lastRenderedPageBreak/>
              <w:t xml:space="preserve">underscore (_), and tilde (~), should not be URL-encoded. </w:t>
            </w:r>
          </w:p>
          <w:p w14:paraId="54D2207A" w14:textId="77777777" w:rsidR="00437CE6" w:rsidRPr="00437CE6" w:rsidRDefault="00437CE6" w:rsidP="00437CE6">
            <w:pPr>
              <w:numPr>
                <w:ilvl w:val="0"/>
                <w:numId w:val="7"/>
              </w:numPr>
            </w:pPr>
            <w:r w:rsidRPr="00437CE6">
              <w:t xml:space="preserve">Complete request body, when a request body exists. </w:t>
            </w:r>
          </w:p>
          <w:p w14:paraId="1C34C11D" w14:textId="77777777" w:rsidR="00437CE6" w:rsidRPr="00437CE6" w:rsidRDefault="00437CE6" w:rsidP="00437CE6">
            <w:r w:rsidRPr="00437CE6">
              <w:rPr>
                <w:b/>
                <w:bCs/>
              </w:rPr>
              <w:t xml:space="preserve">Example: </w:t>
            </w:r>
          </w:p>
          <w:p w14:paraId="2EE13261" w14:textId="77777777" w:rsidR="00437CE6" w:rsidRPr="00437CE6" w:rsidRDefault="00437CE6" w:rsidP="00437CE6">
            <w:r w:rsidRPr="00437CE6">
              <w:t>x-pay-token:</w:t>
            </w:r>
          </w:p>
          <w:p w14:paraId="10567999" w14:textId="77777777" w:rsidR="00437CE6" w:rsidRPr="00437CE6" w:rsidRDefault="00437CE6" w:rsidP="00437CE6">
            <w:r w:rsidRPr="00437CE6">
              <w:t>xv2:1440199445:4a3e6ea1d2...</w:t>
            </w:r>
          </w:p>
          <w:p w14:paraId="6083AB8F" w14:textId="77777777" w:rsidR="00437CE6" w:rsidRPr="00437CE6" w:rsidRDefault="00437CE6" w:rsidP="00437CE6">
            <w:r w:rsidRPr="00437CE6">
              <w:t xml:space="preserve">which is concatenated as follows: </w:t>
            </w:r>
          </w:p>
          <w:p w14:paraId="1DF49998" w14:textId="715E66DA" w:rsidR="00437CE6" w:rsidRPr="00437CE6" w:rsidRDefault="00437CE6" w:rsidP="00437CE6">
            <w:pPr>
              <w:rPr>
                <w:i/>
                <w:iCs/>
              </w:rPr>
            </w:pPr>
            <w:r w:rsidRPr="00437CE6">
              <w:t xml:space="preserve">x-pay-token: xv2: + </w:t>
            </w:r>
            <w:proofErr w:type="spellStart"/>
            <w:r w:rsidRPr="00437CE6">
              <w:rPr>
                <w:i/>
                <w:iCs/>
              </w:rPr>
              <w:t>UTC_Timestamp</w:t>
            </w:r>
            <w:proofErr w:type="spellEnd"/>
            <w:r w:rsidRPr="00437CE6">
              <w:rPr>
                <w:i/>
                <w:iCs/>
              </w:rPr>
              <w:t xml:space="preserve"> </w:t>
            </w:r>
            <w:r w:rsidRPr="00437CE6">
              <w:t>+ : + HMAC-SHA256_hash(</w:t>
            </w:r>
            <w:proofErr w:type="spellStart"/>
            <w:r w:rsidRPr="00437CE6">
              <w:rPr>
                <w:i/>
                <w:iCs/>
              </w:rPr>
              <w:t>shared_secret</w:t>
            </w:r>
            <w:proofErr w:type="spellEnd"/>
            <w:r w:rsidRPr="00437CE6">
              <w:t>, (</w:t>
            </w:r>
            <w:proofErr w:type="spellStart"/>
            <w:r w:rsidRPr="00437CE6">
              <w:rPr>
                <w:i/>
                <w:iCs/>
              </w:rPr>
              <w:t>UTC_Timestamp</w:t>
            </w:r>
            <w:proofErr w:type="spellEnd"/>
            <w:r w:rsidRPr="00437CE6">
              <w:rPr>
                <w:i/>
                <w:iCs/>
              </w:rPr>
              <w:t xml:space="preserve"> + </w:t>
            </w:r>
            <w:proofErr w:type="spellStart"/>
            <w:r w:rsidRPr="00437CE6">
              <w:rPr>
                <w:i/>
                <w:iCs/>
              </w:rPr>
              <w:t>resource_path</w:t>
            </w:r>
            <w:proofErr w:type="spellEnd"/>
            <w:r w:rsidRPr="00437CE6">
              <w:rPr>
                <w:i/>
                <w:iCs/>
              </w:rPr>
              <w:t xml:space="preserve"> + </w:t>
            </w:r>
            <w:proofErr w:type="spellStart"/>
            <w:r w:rsidRPr="00437CE6">
              <w:rPr>
                <w:i/>
                <w:iCs/>
              </w:rPr>
              <w:t>query_string</w:t>
            </w:r>
            <w:proofErr w:type="spellEnd"/>
            <w:r w:rsidRPr="00437CE6">
              <w:rPr>
                <w:i/>
                <w:iCs/>
              </w:rPr>
              <w:t xml:space="preserve"> + </w:t>
            </w:r>
            <w:proofErr w:type="spellStart"/>
            <w:r w:rsidRPr="00437CE6">
              <w:rPr>
                <w:i/>
                <w:iCs/>
              </w:rPr>
              <w:t>request_body</w:t>
            </w:r>
            <w:proofErr w:type="spellEnd"/>
            <w:r w:rsidRPr="00437CE6">
              <w:rPr>
                <w:i/>
                <w:iCs/>
              </w:rPr>
              <w:t xml:space="preserve">)) </w:t>
            </w:r>
          </w:p>
          <w:p w14:paraId="4BB50CEC" w14:textId="77777777" w:rsidR="00437CE6" w:rsidRPr="00437CE6" w:rsidRDefault="00437CE6" w:rsidP="00437CE6">
            <w:pPr>
              <w:rPr>
                <w:i/>
                <w:iCs/>
              </w:rPr>
            </w:pPr>
            <w:r w:rsidRPr="00437CE6">
              <w:rPr>
                <w:i/>
                <w:iCs/>
              </w:rPr>
              <w:t xml:space="preserve">where </w:t>
            </w:r>
          </w:p>
          <w:p w14:paraId="7BBD961E" w14:textId="77777777" w:rsidR="00437CE6" w:rsidRPr="00437CE6" w:rsidRDefault="00437CE6" w:rsidP="00437CE6">
            <w:pPr>
              <w:rPr>
                <w:i/>
                <w:iCs/>
              </w:rPr>
            </w:pPr>
            <w:proofErr w:type="spellStart"/>
            <w:r w:rsidRPr="00437CE6">
              <w:rPr>
                <w:i/>
                <w:iCs/>
              </w:rPr>
              <w:t>shared_secret</w:t>
            </w:r>
            <w:proofErr w:type="spellEnd"/>
            <w:r w:rsidRPr="00437CE6">
              <w:rPr>
                <w:i/>
                <w:iCs/>
              </w:rPr>
              <w:t xml:space="preserve"> is the private key value associated with your API key, which is available in your Visa Developer </w:t>
            </w:r>
            <w:proofErr w:type="spellStart"/>
            <w:r w:rsidRPr="00437CE6">
              <w:rPr>
                <w:i/>
                <w:iCs/>
              </w:rPr>
              <w:t>Center</w:t>
            </w:r>
            <w:proofErr w:type="spellEnd"/>
            <w:r w:rsidRPr="00437CE6">
              <w:rPr>
                <w:i/>
                <w:iCs/>
              </w:rPr>
              <w:t xml:space="preserve"> account, </w:t>
            </w:r>
            <w:proofErr w:type="spellStart"/>
            <w:r w:rsidRPr="00437CE6">
              <w:rPr>
                <w:i/>
                <w:iCs/>
              </w:rPr>
              <w:t>resource_path</w:t>
            </w:r>
            <w:proofErr w:type="spellEnd"/>
            <w:r w:rsidRPr="00437CE6">
              <w:rPr>
                <w:i/>
                <w:iCs/>
              </w:rPr>
              <w:t xml:space="preserve"> is the API name / URI, </w:t>
            </w:r>
            <w:proofErr w:type="spellStart"/>
            <w:r w:rsidRPr="00437CE6">
              <w:rPr>
                <w:i/>
                <w:iCs/>
              </w:rPr>
              <w:t>query_string</w:t>
            </w:r>
            <w:proofErr w:type="spellEnd"/>
            <w:r w:rsidRPr="00437CE6">
              <w:rPr>
                <w:i/>
                <w:iCs/>
              </w:rPr>
              <w:t xml:space="preserve"> contains query parameters, such as </w:t>
            </w:r>
            <w:proofErr w:type="spellStart"/>
            <w:r w:rsidRPr="00437CE6">
              <w:rPr>
                <w:i/>
                <w:iCs/>
              </w:rPr>
              <w:t>apiKey</w:t>
            </w:r>
            <w:proofErr w:type="spellEnd"/>
            <w:r w:rsidRPr="00437CE6">
              <w:rPr>
                <w:i/>
                <w:iCs/>
              </w:rPr>
              <w:t xml:space="preserve">=key, and request_ body is a JSON structure representing the request without extra whitespace. </w:t>
            </w:r>
          </w:p>
          <w:p w14:paraId="36598A01" w14:textId="3334FBAE" w:rsidR="00437CE6" w:rsidRPr="00437CE6" w:rsidRDefault="00437CE6" w:rsidP="00437CE6"/>
        </w:tc>
      </w:tr>
    </w:tbl>
    <w:p w14:paraId="67171A16" w14:textId="2A8BC062" w:rsidR="00F63F92" w:rsidRDefault="00F63F92" w:rsidP="00F63F92"/>
    <w:p w14:paraId="763BB003" w14:textId="77777777" w:rsidR="002A425D" w:rsidRPr="002A425D" w:rsidRDefault="002A425D" w:rsidP="002A425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A425D">
        <w:rPr>
          <w:rFonts w:ascii="SegoeUI" w:eastAsia="Times New Roman" w:hAnsi="SegoeUI" w:cs="Times New Roman"/>
          <w:b/>
          <w:bCs/>
          <w:color w:val="00219E"/>
          <w:sz w:val="26"/>
          <w:szCs w:val="26"/>
          <w:lang w:eastAsia="en-GB"/>
        </w:rPr>
        <w:t xml:space="preserve">Query Parameters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5466"/>
      </w:tblGrid>
      <w:tr w:rsidR="002A425D" w:rsidRPr="002A425D" w14:paraId="00661D39" w14:textId="77777777" w:rsidTr="002A425D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DC5760" w14:textId="77777777" w:rsidR="002A425D" w:rsidRPr="002A425D" w:rsidRDefault="002A425D" w:rsidP="002A42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A425D">
              <w:rPr>
                <w:rFonts w:ascii="SegoeUI" w:eastAsia="Times New Roman" w:hAnsi="SegoeUI" w:cs="Times New Roman"/>
                <w:b/>
                <w:bCs/>
                <w:sz w:val="20"/>
                <w:szCs w:val="20"/>
                <w:lang w:eastAsia="en-GB"/>
              </w:rPr>
              <w:t xml:space="preserve">Parameter </w:t>
            </w:r>
          </w:p>
        </w:tc>
        <w:tc>
          <w:tcPr>
            <w:tcW w:w="5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10FA7C" w14:textId="77777777" w:rsidR="002A425D" w:rsidRPr="002A425D" w:rsidRDefault="002A425D" w:rsidP="002A42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A425D">
              <w:rPr>
                <w:rFonts w:ascii="SegoeUI" w:eastAsia="Times New Roman" w:hAnsi="SegoeUI" w:cs="Times New Roman"/>
                <w:b/>
                <w:bCs/>
                <w:sz w:val="20"/>
                <w:szCs w:val="20"/>
                <w:lang w:eastAsia="en-GB"/>
              </w:rPr>
              <w:t xml:space="preserve">Description </w:t>
            </w:r>
          </w:p>
        </w:tc>
      </w:tr>
      <w:tr w:rsidR="002A425D" w:rsidRPr="002A425D" w14:paraId="1CE2108D" w14:textId="77777777" w:rsidTr="002A425D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7BD3B2" w14:textId="77777777" w:rsidR="002A425D" w:rsidRPr="002A425D" w:rsidRDefault="002A425D" w:rsidP="002A42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2A425D">
              <w:rPr>
                <w:rFonts w:ascii="CourierNewPSMT" w:eastAsia="Times New Roman" w:hAnsi="CourierNewPSMT" w:cs="Times New Roman"/>
                <w:sz w:val="20"/>
                <w:szCs w:val="20"/>
                <w:lang w:eastAsia="en-GB"/>
              </w:rPr>
              <w:t>apiKey</w:t>
            </w:r>
            <w:proofErr w:type="spellEnd"/>
            <w:r w:rsidRPr="002A425D">
              <w:rPr>
                <w:rFonts w:ascii="CourierNewPSMT" w:eastAsia="Times New Roman" w:hAnsi="CourierNewPSMT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753226" w14:textId="77777777" w:rsidR="002A425D" w:rsidRPr="002A425D" w:rsidRDefault="002A425D" w:rsidP="002A42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A425D">
              <w:rPr>
                <w:rFonts w:ascii="SegoeUI" w:eastAsia="Times New Roman" w:hAnsi="SegoeUI" w:cs="Times New Roman"/>
                <w:sz w:val="20"/>
                <w:szCs w:val="20"/>
                <w:lang w:eastAsia="en-GB"/>
              </w:rPr>
              <w:t xml:space="preserve">Client-specific API key issued during onboarding. This will be passed as a query parameter. </w:t>
            </w:r>
          </w:p>
          <w:p w14:paraId="3811C5E7" w14:textId="77777777" w:rsidR="002A425D" w:rsidRPr="002A425D" w:rsidRDefault="002A425D" w:rsidP="002A42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A425D">
              <w:rPr>
                <w:rFonts w:ascii="SegoeUI" w:eastAsia="Times New Roman" w:hAnsi="SegoeUI" w:cs="Times New Roman"/>
                <w:b/>
                <w:bCs/>
                <w:sz w:val="20"/>
                <w:szCs w:val="20"/>
                <w:lang w:eastAsia="en-GB"/>
              </w:rPr>
              <w:t xml:space="preserve">Format: </w:t>
            </w:r>
            <w:r w:rsidRPr="002A425D">
              <w:rPr>
                <w:rFonts w:ascii="SegoeUI" w:eastAsia="Times New Roman" w:hAnsi="SegoeUI" w:cs="Times New Roman"/>
                <w:sz w:val="20"/>
                <w:szCs w:val="20"/>
                <w:lang w:eastAsia="en-GB"/>
              </w:rPr>
              <w:t xml:space="preserve">String. Alphabetic, numeric; maximum 64 characters. </w:t>
            </w:r>
          </w:p>
        </w:tc>
      </w:tr>
    </w:tbl>
    <w:p w14:paraId="4E604877" w14:textId="7035278F" w:rsidR="002A425D" w:rsidRDefault="002A425D" w:rsidP="00F63F92"/>
    <w:p w14:paraId="423B812D" w14:textId="49CBC722" w:rsidR="00AC53F8" w:rsidRDefault="00822689" w:rsidP="00F63F92">
      <w:pPr>
        <w:rPr>
          <w:rFonts w:ascii="CourierNewPSMT" w:eastAsia="Times New Roman" w:hAnsi="CourierNewPSMT" w:cs="Times New Roman"/>
          <w:sz w:val="20"/>
          <w:szCs w:val="20"/>
          <w:lang w:eastAsia="en-GB"/>
        </w:rPr>
      </w:pPr>
      <w:r w:rsidRPr="00822689">
        <w:rPr>
          <w:rFonts w:ascii="CourierNewPSMT" w:eastAsia="Times New Roman" w:hAnsi="CourierNewPSMT" w:cs="Times New Roman"/>
          <w:sz w:val="20"/>
          <w:szCs w:val="20"/>
          <w:lang w:eastAsia="en-GB"/>
        </w:rPr>
        <w:t xml:space="preserve">This </w:t>
      </w:r>
      <w:proofErr w:type="spellStart"/>
      <w:r w:rsidR="00AC53F8" w:rsidRPr="002A425D">
        <w:rPr>
          <w:rFonts w:ascii="CourierNewPSMT" w:eastAsia="Times New Roman" w:hAnsi="CourierNewPSMT" w:cs="Times New Roman"/>
          <w:b/>
          <w:bCs/>
          <w:sz w:val="20"/>
          <w:szCs w:val="20"/>
          <w:lang w:eastAsia="en-GB"/>
        </w:rPr>
        <w:t>apiKey</w:t>
      </w:r>
      <w:proofErr w:type="spellEnd"/>
      <w:r w:rsidR="00AC53F8">
        <w:rPr>
          <w:rFonts w:ascii="CourierNewPSMT" w:eastAsia="Times New Roman" w:hAnsi="CourierNewPSMT" w:cs="Times New Roman"/>
          <w:sz w:val="20"/>
          <w:szCs w:val="20"/>
          <w:lang w:eastAsia="en-GB"/>
        </w:rPr>
        <w:t xml:space="preserve"> is different than above mentioned </w:t>
      </w:r>
      <w:r w:rsidR="0058798E">
        <w:rPr>
          <w:rFonts w:ascii="CourierNewPSMT" w:eastAsia="Times New Roman" w:hAnsi="CourierNewPSMT" w:cs="Times New Roman"/>
          <w:sz w:val="20"/>
          <w:szCs w:val="20"/>
          <w:lang w:eastAsia="en-GB"/>
        </w:rPr>
        <w:t xml:space="preserve">outbound/inbound API </w:t>
      </w:r>
      <w:r w:rsidR="00AC53F8">
        <w:rPr>
          <w:rFonts w:ascii="CourierNewPSMT" w:eastAsia="Times New Roman" w:hAnsi="CourierNewPSMT" w:cs="Times New Roman"/>
          <w:sz w:val="20"/>
          <w:szCs w:val="20"/>
          <w:lang w:eastAsia="en-GB"/>
        </w:rPr>
        <w:t>keys.</w:t>
      </w:r>
    </w:p>
    <w:p w14:paraId="0091C51A" w14:textId="734330BD" w:rsidR="008B17B7" w:rsidRDefault="008B17B7" w:rsidP="00F63F92">
      <w:pPr>
        <w:rPr>
          <w:rFonts w:ascii="CourierNewPSMT" w:eastAsia="Times New Roman" w:hAnsi="CourierNewPSMT" w:cs="Times New Roman"/>
          <w:sz w:val="20"/>
          <w:szCs w:val="20"/>
          <w:lang w:eastAsia="en-GB"/>
        </w:rPr>
      </w:pPr>
    </w:p>
    <w:p w14:paraId="73B1A8A3" w14:textId="77777777" w:rsidR="008B17B7" w:rsidRPr="00F63F92" w:rsidRDefault="008B17B7" w:rsidP="00F63F92"/>
    <w:sectPr w:rsidR="008B17B7" w:rsidRPr="00F63F92" w:rsidSect="00C02B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UI">
    <w:altName w:val="Segoe UI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550A5"/>
    <w:multiLevelType w:val="multilevel"/>
    <w:tmpl w:val="00E8F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008A7"/>
    <w:multiLevelType w:val="multilevel"/>
    <w:tmpl w:val="36D2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C7196"/>
    <w:multiLevelType w:val="multilevel"/>
    <w:tmpl w:val="CA72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DA700C"/>
    <w:multiLevelType w:val="multilevel"/>
    <w:tmpl w:val="BAE0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572476"/>
    <w:multiLevelType w:val="multilevel"/>
    <w:tmpl w:val="F090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C440A0"/>
    <w:multiLevelType w:val="multilevel"/>
    <w:tmpl w:val="F0B63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EB501A"/>
    <w:multiLevelType w:val="multilevel"/>
    <w:tmpl w:val="588E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1A"/>
    <w:rsid w:val="001031CE"/>
    <w:rsid w:val="001E44F6"/>
    <w:rsid w:val="002507EB"/>
    <w:rsid w:val="00257536"/>
    <w:rsid w:val="002A425D"/>
    <w:rsid w:val="0033427E"/>
    <w:rsid w:val="004068BB"/>
    <w:rsid w:val="0041164B"/>
    <w:rsid w:val="00437CE6"/>
    <w:rsid w:val="00453EAD"/>
    <w:rsid w:val="0047393E"/>
    <w:rsid w:val="004E097E"/>
    <w:rsid w:val="0058798E"/>
    <w:rsid w:val="00590675"/>
    <w:rsid w:val="00605286"/>
    <w:rsid w:val="00645114"/>
    <w:rsid w:val="0078085D"/>
    <w:rsid w:val="00822689"/>
    <w:rsid w:val="00860B3A"/>
    <w:rsid w:val="008B17B7"/>
    <w:rsid w:val="009B6CBA"/>
    <w:rsid w:val="009C5F0D"/>
    <w:rsid w:val="00AB20D1"/>
    <w:rsid w:val="00AC53F8"/>
    <w:rsid w:val="00AC63D8"/>
    <w:rsid w:val="00BC5CEB"/>
    <w:rsid w:val="00C02B0B"/>
    <w:rsid w:val="00D41D2B"/>
    <w:rsid w:val="00E52556"/>
    <w:rsid w:val="00E5471A"/>
    <w:rsid w:val="00EF0111"/>
    <w:rsid w:val="00F6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8619E"/>
  <w15:chartTrackingRefBased/>
  <w15:docId w15:val="{AD7B50E6-2D56-7D45-B28C-8B38B84B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F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6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11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5114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64511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5114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45114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45114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45114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45114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45114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45114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45114"/>
    <w:rPr>
      <w:rFonts w:cstheme="minorHAns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808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11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6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7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3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5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3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3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4C383C-1898-6D41-951B-AF526097B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Harshit</dc:creator>
  <cp:keywords/>
  <dc:description/>
  <cp:lastModifiedBy>Shah, Harshit</cp:lastModifiedBy>
  <cp:revision>24</cp:revision>
  <dcterms:created xsi:type="dcterms:W3CDTF">2021-02-23T09:58:00Z</dcterms:created>
  <dcterms:modified xsi:type="dcterms:W3CDTF">2021-02-23T11:45:00Z</dcterms:modified>
</cp:coreProperties>
</file>