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PER-QT</w:t>
      </w:r>
      <w:r>
        <w:t xml:space="preserve"> </w:t>
      </w:r>
      <w:r>
        <w:t xml:space="preserve">Example:</w:t>
      </w:r>
      <w:r>
        <w:br/>
      </w:r>
      <w:r>
        <w:t xml:space="preserve">A</w:t>
      </w:r>
      <w:r>
        <w:t xml:space="preserve"> </w:t>
      </w:r>
      <w:r>
        <w:t xml:space="preserve">proof</w:t>
      </w:r>
      <w:r>
        <w:t xml:space="preserve"> </w:t>
      </w:r>
      <w:r>
        <w:t xml:space="preserve">of</w:t>
      </w:r>
      <w:r>
        <w:t xml:space="preserve"> </w:t>
      </w:r>
      <w:r>
        <w:t xml:space="preserve">concept</w:t>
      </w:r>
      <w:r>
        <w:t xml:space="preserve"> </w:t>
      </w:r>
      <w:r>
        <w:t xml:space="preserve">in</w:t>
      </w:r>
      <w:r>
        <w:t xml:space="preserve"> </w:t>
      </w:r>
      <w:r>
        <w:t xml:space="preserve">the</w:t>
      </w:r>
      <w:r>
        <w:t xml:space="preserve"> </w:t>
      </w:r>
      <w:r>
        <w:t xml:space="preserve">style</w:t>
      </w:r>
      <w:r>
        <w:t xml:space="preserve"> </w:t>
      </w:r>
      <w:r>
        <w:t xml:space="preserve">of</w:t>
      </w:r>
      <w:r>
        <w:t xml:space="preserve"> </w:t>
      </w:r>
      <w:r>
        <w:t xml:space="preserve">the</w:t>
      </w:r>
      <w:r>
        <w:t xml:space="preserve"> </w:t>
      </w:r>
      <w:r>
        <w:rPr>
          <w:iCs/>
          <w:i/>
        </w:rPr>
        <w:t xml:space="preserve">PERC</w:t>
      </w:r>
      <w:r>
        <w:rPr>
          <w:iCs/>
          <w:i/>
        </w:rPr>
        <w:t xml:space="preserve"> </w:t>
      </w:r>
      <w:r>
        <w:rPr>
          <w:iCs/>
          <w:i/>
        </w:rPr>
        <w:t xml:space="preserve">Proceedings</w:t>
      </w:r>
    </w:p>
    <w:p>
      <w:pPr>
        <w:pStyle w:val="Author"/>
      </w:pPr>
      <w:r>
        <w:t xml:space="preserve">Astra</w:t>
      </w:r>
      <w:r>
        <w:t xml:space="preserve"> </w:t>
      </w:r>
      <w:r>
        <w:t xml:space="preserve">Sword</w:t>
      </w:r>
    </w:p>
    <w:p>
      <w:pPr>
        <w:pStyle w:val="Author"/>
      </w:pPr>
      <w:r>
        <w:t xml:space="preserve">Michael</w:t>
      </w:r>
      <w:r>
        <w:t xml:space="preserve"> </w:t>
      </w:r>
      <w:r>
        <w:t xml:space="preserve">Fox</w:t>
      </w:r>
    </w:p>
    <w:p>
      <w:pPr>
        <w:pStyle w:val="Abstract"/>
      </w:pPr>
      <w:r>
        <w:t xml:space="preserve">This</w:t>
      </w:r>
      <w:r>
        <w:t xml:space="preserve"> </w:t>
      </w:r>
      <w:r>
        <w:t xml:space="preserve">mini-paper</w:t>
      </w:r>
      <w:r>
        <w:t xml:space="preserve"> </w:t>
      </w:r>
      <w:r>
        <w:t xml:space="preserve">is</w:t>
      </w:r>
      <w:r>
        <w:t xml:space="preserve"> </w:t>
      </w:r>
      <w:r>
        <w:t xml:space="preserve">a</w:t>
      </w:r>
      <w:r>
        <w:t xml:space="preserve"> </w:t>
      </w:r>
      <w:r>
        <w:t xml:space="preserve">proof</w:t>
      </w:r>
      <w:r>
        <w:t xml:space="preserve"> </w:t>
      </w:r>
      <w:r>
        <w:t xml:space="preserve">of</w:t>
      </w:r>
      <w:r>
        <w:t xml:space="preserve"> </w:t>
      </w:r>
      <w:r>
        <w:t xml:space="preserve">concept</w:t>
      </w:r>
      <w:r>
        <w:t xml:space="preserve"> </w:t>
      </w:r>
      <w:r>
        <w:t xml:space="preserve">constructed</w:t>
      </w:r>
      <w:r>
        <w:t xml:space="preserve"> </w:t>
      </w:r>
      <w:r>
        <w:t xml:space="preserve">in</w:t>
      </w:r>
      <w:r>
        <w:t xml:space="preserve"> </w:t>
      </w:r>
      <w:r>
        <w:t xml:space="preserve">the</w:t>
      </w:r>
      <w:r>
        <w:t xml:space="preserve"> </w:t>
      </w:r>
      <w:r>
        <w:t xml:space="preserve">style</w:t>
      </w:r>
      <w:r>
        <w:t xml:space="preserve"> </w:t>
      </w:r>
      <w:r>
        <w:t xml:space="preserve">of</w:t>
      </w:r>
      <w:r>
        <w:t xml:space="preserve"> </w:t>
      </w:r>
      <w:r>
        <w:t xml:space="preserve">the</w:t>
      </w:r>
      <w:r>
        <w:t xml:space="preserve"> </w:t>
      </w:r>
      <w:r>
        <w:rPr>
          <w:iCs/>
          <w:i/>
        </w:rPr>
        <w:t xml:space="preserve">PERC</w:t>
      </w:r>
      <w:r>
        <w:rPr>
          <w:iCs/>
          <w:i/>
        </w:rPr>
        <w:t xml:space="preserve"> </w:t>
      </w:r>
      <w:r>
        <w:rPr>
          <w:iCs/>
          <w:i/>
        </w:rPr>
        <w:t xml:space="preserve">Proceedings</w:t>
      </w:r>
      <w:r>
        <w:t xml:space="preserve"> </w:t>
      </w:r>
      <w:r>
        <w:t xml:space="preserve">to</w:t>
      </w:r>
      <w:r>
        <w:t xml:space="preserve"> </w:t>
      </w:r>
      <w:r>
        <w:t xml:space="preserve">illustrate</w:t>
      </w:r>
      <w:r>
        <w:t xml:space="preserve"> </w:t>
      </w:r>
      <w:r>
        <w:t xml:space="preserve">our</w:t>
      </w:r>
      <w:r>
        <w:t xml:space="preserve"> </w:t>
      </w:r>
      <w:r>
        <w:t xml:space="preserve">progress</w:t>
      </w:r>
      <w:r>
        <w:t xml:space="preserve"> </w:t>
      </w:r>
      <w:r>
        <w:t xml:space="preserve">help</w:t>
      </w:r>
      <w:r>
        <w:t xml:space="preserve"> </w:t>
      </w:r>
      <w:r>
        <w:t xml:space="preserve">us</w:t>
      </w:r>
      <w:r>
        <w:t xml:space="preserve"> </w:t>
      </w:r>
      <w:r>
        <w:t xml:space="preserve">identify</w:t>
      </w:r>
      <w:r>
        <w:t xml:space="preserve"> </w:t>
      </w:r>
      <w:r>
        <w:t xml:space="preserve">the</w:t>
      </w:r>
      <w:r>
        <w:t xml:space="preserve"> </w:t>
      </w:r>
      <w:r>
        <w:t xml:space="preserve">major</w:t>
      </w:r>
      <w:r>
        <w:t xml:space="preserve"> </w:t>
      </w:r>
      <w:r>
        <w:t xml:space="preserve">technical</w:t>
      </w:r>
      <w:r>
        <w:t xml:space="preserve"> </w:t>
      </w:r>
      <w:r>
        <w:t xml:space="preserve">hurdles</w:t>
      </w:r>
      <w:r>
        <w:t xml:space="preserve"> </w:t>
      </w:r>
      <w:r>
        <w:t xml:space="preserve">that</w:t>
      </w:r>
      <w:r>
        <w:t xml:space="preserve"> </w:t>
      </w:r>
      <w:r>
        <w:t xml:space="preserve">remain.</w:t>
      </w:r>
      <w:r>
        <w:t xml:space="preserve"> </w:t>
      </w:r>
      <w:r>
        <w:t xml:space="preserve">This</w:t>
      </w:r>
      <w:r>
        <w:t xml:space="preserve"> </w:t>
      </w:r>
      <w:r>
        <w:t xml:space="preserve">shows</w:t>
      </w:r>
      <w:r>
        <w:t xml:space="preserve"> </w:t>
      </w:r>
      <w:r>
        <w:t xml:space="preserve">that</w:t>
      </w:r>
      <w:r>
        <w:t xml:space="preserve"> </w:t>
      </w:r>
      <w:r>
        <w:t xml:space="preserve">most</w:t>
      </w:r>
      <w:r>
        <w:t xml:space="preserve"> </w:t>
      </w:r>
      <w:r>
        <w:t xml:space="preserve">of</w:t>
      </w:r>
      <w:r>
        <w:t xml:space="preserve"> </w:t>
      </w:r>
      <w:r>
        <w:t xml:space="preserve">the</w:t>
      </w:r>
      <w:r>
        <w:t xml:space="preserve"> </w:t>
      </w:r>
      <w:r>
        <w:t xml:space="preserve">major</w:t>
      </w:r>
      <w:r>
        <w:t xml:space="preserve"> </w:t>
      </w:r>
      <w:r>
        <w:t xml:space="preserve">features</w:t>
      </w:r>
      <w:r>
        <w:t xml:space="preserve"> </w:t>
      </w:r>
      <w:r>
        <w:t xml:space="preserve">needed</w:t>
      </w:r>
      <w:r>
        <w:t xml:space="preserve"> </w:t>
      </w:r>
      <w:r>
        <w:t xml:space="preserve">to</w:t>
      </w:r>
      <w:r>
        <w:t xml:space="preserve"> </w:t>
      </w:r>
      <w:r>
        <w:t xml:space="preserve">write</w:t>
      </w:r>
      <w:r>
        <w:t xml:space="preserve"> </w:t>
      </w:r>
      <w:r>
        <w:t xml:space="preserve">an</w:t>
      </w:r>
      <w:r>
        <w:t xml:space="preserve"> </w:t>
      </w:r>
      <w:r>
        <w:t xml:space="preserve">academic</w:t>
      </w:r>
      <w:r>
        <w:t xml:space="preserve"> </w:t>
      </w:r>
      <w:r>
        <w:t xml:space="preserve">paper</w:t>
      </w:r>
      <w:r>
        <w:t xml:space="preserve"> </w:t>
      </w:r>
      <w:r>
        <w:t xml:space="preserve">can</w:t>
      </w:r>
      <w:r>
        <w:t xml:space="preserve"> </w:t>
      </w:r>
      <w:r>
        <w:t xml:space="preserve">be</w:t>
      </w:r>
      <w:r>
        <w:t xml:space="preserve"> </w:t>
      </w:r>
      <w:r>
        <w:t xml:space="preserve">implemented,</w:t>
      </w:r>
      <w:r>
        <w:t xml:space="preserve"> </w:t>
      </w:r>
      <w:r>
        <w:t xml:space="preserve">but</w:t>
      </w:r>
      <w:r>
        <w:t xml:space="preserve"> </w:t>
      </w:r>
      <w:r>
        <w:t xml:space="preserve">there</w:t>
      </w:r>
      <w:r>
        <w:t xml:space="preserve"> </w:t>
      </w:r>
      <w:r>
        <w:t xml:space="preserve">are</w:t>
      </w:r>
      <w:r>
        <w:t xml:space="preserve"> </w:t>
      </w:r>
      <w:r>
        <w:t xml:space="preserve">specific</w:t>
      </w:r>
      <w:r>
        <w:t xml:space="preserve"> </w:t>
      </w:r>
      <w:r>
        <w:t xml:space="preserve">issues</w:t>
      </w:r>
      <w:r>
        <w:t xml:space="preserve"> </w:t>
      </w:r>
      <w:r>
        <w:t xml:space="preserve">around</w:t>
      </w:r>
      <w:r>
        <w:t xml:space="preserve"> </w:t>
      </w:r>
      <w:r>
        <w:t xml:space="preserve">tables.</w:t>
      </w:r>
      <w:r>
        <w:t xml:space="preserve"> </w:t>
      </w:r>
      <w:r>
        <w:t xml:space="preserve">If</w:t>
      </w:r>
      <w:r>
        <w:t xml:space="preserve"> </w:t>
      </w:r>
      <w:r>
        <w:t xml:space="preserve">successful,</w:t>
      </w:r>
      <w:r>
        <w:t xml:space="preserve"> </w:t>
      </w:r>
      <w:r>
        <w:t xml:space="preserve">this</w:t>
      </w:r>
      <w:r>
        <w:t xml:space="preserve"> </w:t>
      </w:r>
      <w:r>
        <w:t xml:space="preserve">project</w:t>
      </w:r>
      <w:r>
        <w:t xml:space="preserve"> </w:t>
      </w:r>
      <w:r>
        <w:t xml:space="preserve">could</w:t>
      </w:r>
      <w:r>
        <w:t xml:space="preserve"> </w:t>
      </w:r>
      <w:r>
        <w:t xml:space="preserve">help</w:t>
      </w:r>
      <w:r>
        <w:t xml:space="preserve"> </w:t>
      </w:r>
      <w:r>
        <w:t xml:space="preserve">PER</w:t>
      </w:r>
      <w:r>
        <w:t xml:space="preserve"> </w:t>
      </w:r>
      <w:r>
        <w:t xml:space="preserve">researchers</w:t>
      </w:r>
      <w:r>
        <w:t xml:space="preserve"> </w:t>
      </w:r>
      <w:r>
        <w:t xml:space="preserve">produce</w:t>
      </w:r>
      <w:r>
        <w:t xml:space="preserve"> </w:t>
      </w:r>
      <w:r>
        <w:t xml:space="preserve">research</w:t>
      </w:r>
      <w:r>
        <w:t xml:space="preserve"> </w:t>
      </w:r>
      <w:r>
        <w:t xml:space="preserve">faster,</w:t>
      </w:r>
      <w:r>
        <w:t xml:space="preserve"> </w:t>
      </w:r>
      <w:r>
        <w:t xml:space="preserve">with</w:t>
      </w:r>
      <w:r>
        <w:t xml:space="preserve"> </w:t>
      </w:r>
      <w:r>
        <w:t xml:space="preserve">better</w:t>
      </w:r>
      <w:r>
        <w:t xml:space="preserve"> </w:t>
      </w:r>
      <w:r>
        <w:t xml:space="preserve">reproducibility,</w:t>
      </w:r>
      <w:r>
        <w:t xml:space="preserve"> </w:t>
      </w:r>
      <w:r>
        <w:t xml:space="preserve">and</w:t>
      </w:r>
      <w:r>
        <w:t xml:space="preserve"> </w:t>
      </w:r>
      <w:r>
        <w:t xml:space="preserve">disseminate</w:t>
      </w:r>
      <w:r>
        <w:t xml:space="preserve"> </w:t>
      </w:r>
      <w:r>
        <w:t xml:space="preserve">it</w:t>
      </w:r>
      <w:r>
        <w:t xml:space="preserve"> </w:t>
      </w:r>
      <w:r>
        <w:t xml:space="preserve">in</w:t>
      </w:r>
      <w:r>
        <w:t xml:space="preserve"> </w:t>
      </w:r>
      <w:r>
        <w:t xml:space="preserve">a</w:t>
      </w:r>
      <w:r>
        <w:t xml:space="preserve"> </w:t>
      </w:r>
      <w:r>
        <w:t xml:space="preserve">wider</w:t>
      </w:r>
      <w:r>
        <w:t xml:space="preserve"> </w:t>
      </w:r>
      <w:r>
        <w:t xml:space="preserve">range</w:t>
      </w:r>
      <w:r>
        <w:t xml:space="preserve"> </w:t>
      </w:r>
      <w:r>
        <w:t xml:space="preserve">of</w:t>
      </w:r>
      <w:r>
        <w:t xml:space="preserve"> </w:t>
      </w:r>
      <w:r>
        <w:t xml:space="preserve">accessible</w:t>
      </w:r>
      <w:r>
        <w:t xml:space="preserve"> </w:t>
      </w:r>
      <w:r>
        <w:t xml:space="preserve">formats.</w:t>
      </w:r>
    </w:p>
    <w:bookmarkStart w:id="20" w:name="sec-intro"/>
    <w:p>
      <w:pPr>
        <w:pStyle w:val="Heading1"/>
      </w:pPr>
      <w:r>
        <w:t xml:space="preserve">Introduction</w:t>
      </w:r>
    </w:p>
    <w:p>
      <w:pPr>
        <w:pStyle w:val="FirstParagraph"/>
      </w:pPr>
      <w:r>
        <w:t xml:space="preserve">Scientific writing is almost impossible without the ability to reference sources</w:t>
      </w:r>
      <w:r>
        <w:t xml:space="preserve"> </w:t>
      </w:r>
      <w:r>
        <w:t xml:space="preserve">(Knauff and Nejasmic 2014)</w:t>
      </w:r>
      <w:r>
        <w:t xml:space="preserve">; and ideally, we want to be able to reference any source,</w:t>
      </w:r>
      <w:r>
        <w:t xml:space="preserve"> </w:t>
      </w:r>
      <w:r>
        <w:t xml:space="preserve">Knauff and Nejasmic (2014)</w:t>
      </w:r>
      <w:r>
        <w:t xml:space="preserve">, in multiple, flexible ways.</w:t>
      </w:r>
    </w:p>
    <w:p>
      <w:pPr>
        <w:pStyle w:val="BodyText"/>
      </w:pPr>
      <w:r>
        <w:t xml:space="preserve">As important as it is to reference others, we also need to be able to reference other parts of our own work to signpost if we are going to:</w:t>
      </w:r>
    </w:p>
    <w:p>
      <w:pPr>
        <w:numPr>
          <w:ilvl w:val="0"/>
          <w:numId w:val="1001"/>
        </w:numPr>
        <w:pStyle w:val="Compact"/>
      </w:pPr>
      <w:r>
        <w:t xml:space="preserve">Describe innovative methods (</w:t>
      </w:r>
      <w:hyperlink w:anchor="sec-methods">
        <w:r>
          <w:rPr>
            <w:rStyle w:val="Hyperlink"/>
          </w:rPr>
          <w:t xml:space="preserve">Section 2</w:t>
        </w:r>
      </w:hyperlink>
      <w:r>
        <w:t xml:space="preserve">).</w:t>
      </w:r>
    </w:p>
    <w:p>
      <w:pPr>
        <w:numPr>
          <w:ilvl w:val="0"/>
          <w:numId w:val="1001"/>
        </w:numPr>
        <w:pStyle w:val="Compact"/>
      </w:pPr>
      <w:r>
        <w:t xml:space="preserve">Disseminate novel results (</w:t>
      </w:r>
      <w:hyperlink w:anchor="sec-results">
        <w:r>
          <w:rPr>
            <w:rStyle w:val="Hyperlink"/>
          </w:rPr>
          <w:t xml:space="preserve">Section 3</w:t>
        </w:r>
      </w:hyperlink>
      <w:r>
        <w:t xml:space="preserve">).</w:t>
      </w:r>
    </w:p>
    <w:p>
      <w:pPr>
        <w:numPr>
          <w:ilvl w:val="0"/>
          <w:numId w:val="1001"/>
        </w:numPr>
        <w:pStyle w:val="Compact"/>
      </w:pPr>
      <w:r>
        <w:t xml:space="preserve">Discuss provocative ideas (</w:t>
      </w:r>
      <w:hyperlink w:anchor="sec-discussion">
        <w:r>
          <w:rPr>
            <w:rStyle w:val="Hyperlink"/>
          </w:rPr>
          <w:t xml:space="preserve">Section 4</w:t>
        </w:r>
      </w:hyperlink>
      <w:r>
        <w:t xml:space="preserve">).</w:t>
      </w:r>
    </w:p>
    <w:bookmarkEnd w:id="20"/>
    <w:bookmarkStart w:id="23" w:name="sec-methods"/>
    <w:p>
      <w:pPr>
        <w:pStyle w:val="Heading1"/>
      </w:pPr>
      <w:r>
        <w:t xml:space="preserve">Methods</w:t>
      </w:r>
    </w:p>
    <w:p>
      <w:pPr>
        <w:pStyle w:val="FirstParagraph"/>
      </w:pPr>
      <w:r>
        <w:t xml:space="preserve">Statistical methods would be hard to write if you could not show the exact formula used, such as</w:t>
      </w:r>
      <w:r>
        <w:t xml:space="preserve"> </w:t>
      </w:r>
      <w:hyperlink w:anchor="eq-effect-size">
        <w:r>
          <w:rPr>
            <w:rStyle w:val="Hyperlink"/>
          </w:rPr>
          <w:t xml:space="preserve">Equation 1</w:t>
        </w:r>
      </w:hyperlink>
      <w:r>
        <w:t xml:space="preserve">, which shows Cohen’s</w:t>
      </w:r>
      <w:r>
        <w:t xml:space="preserve"> </w:t>
      </w:r>
      <m:oMath>
        <m:r>
          <m:t>d</m:t>
        </m:r>
      </m:oMath>
      <w:r>
        <w:t xml:space="preserve">. A unique benefit of this format though, is that one can embed the exact code used in analysis, as in the R code below, or just transparently</w:t>
      </w:r>
      <w:r>
        <w:t xml:space="preserve"> </w:t>
      </w:r>
      <w:hyperlink r:id="rId21">
        <w:r>
          <w:rPr>
            <w:rStyle w:val="Hyperlink"/>
          </w:rPr>
          <w:t xml:space="preserve">publish your entire source code</w:t>
        </w:r>
      </w:hyperlink>
      <w:r>
        <w:t xml:space="preserve">.</w:t>
      </w:r>
    </w:p>
    <w:p>
      <w:pPr>
        <w:pStyle w:val="SourceCode"/>
      </w:pPr>
      <w:r>
        <w:rPr>
          <w:rStyle w:val="NormalTok"/>
        </w:rPr>
        <w:t xml:space="preserve">t_results </w:t>
      </w:r>
      <w:r>
        <w:rPr>
          <w:rStyle w:val="OtherTok"/>
        </w:rPr>
        <w:t xml:space="preserve">&lt;-</w:t>
      </w:r>
      <w:r>
        <w:rPr>
          <w:rStyle w:val="NormalTok"/>
        </w:rPr>
        <w:t xml:space="preserve"> </w:t>
      </w:r>
      <w:r>
        <w:rPr>
          <w:rStyle w:val="FunctionTok"/>
        </w:rPr>
        <w:t xml:space="preserve">t.test</w:t>
      </w:r>
      <w:r>
        <w:rPr>
          <w:rStyle w:val="NormalTok"/>
        </w:rPr>
        <w:t xml:space="preserve">(extra </w:t>
      </w:r>
      <w:r>
        <w:rPr>
          <w:rStyle w:val="SpecialCharTok"/>
        </w:rPr>
        <w:t xml:space="preserve">~</w:t>
      </w:r>
      <w:r>
        <w:rPr>
          <w:rStyle w:val="NormalTok"/>
        </w:rPr>
        <w:t xml:space="preserve"> group, </w:t>
      </w:r>
      <w:r>
        <w:br/>
      </w:r>
      <w:r>
        <w:rPr>
          <w:rStyle w:val="NormalTok"/>
        </w:rPr>
        <w:t xml:space="preserve">  </w:t>
      </w:r>
      <w:r>
        <w:rPr>
          <w:rStyle w:val="AttributeTok"/>
        </w:rPr>
        <w:t xml:space="preserve">data=</w:t>
      </w:r>
      <w:r>
        <w:rPr>
          <w:rStyle w:val="NormalTok"/>
        </w:rPr>
        <w:t xml:space="preserve">sleep, </w:t>
      </w:r>
      <w:r>
        <w:rPr>
          <w:rStyle w:val="AttributeTok"/>
        </w:rPr>
        <w:t xml:space="preserve">paired=</w:t>
      </w:r>
      <w:r>
        <w:rPr>
          <w:rStyle w:val="ConstantTok"/>
        </w:rPr>
        <w:t xml:space="preserve">TRUE</w:t>
      </w:r>
      <w:r>
        <w:rPr>
          <w:rStyle w:val="NormalTok"/>
        </w:rPr>
        <w:t xml:space="preserve">)</w:t>
      </w:r>
    </w:p>
    <w:p>
      <w:pPr>
        <w:pStyle w:val="FirstParagraph"/>
      </w:pPr>
      <w:bookmarkStart w:id="22" w:name="eq-effect-size"/>
      <m:oMathPara>
        <m:oMathParaPr>
          <m:jc m:val="center"/>
        </m:oMathParaPr>
        <m:oMath>
          <m:r>
            <m:t>d</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r>
                <m:t>s</m:t>
              </m:r>
            </m:den>
          </m:f>
          <m:r>
            <m:t>  </m:t>
          </m:r>
          <m:d>
            <m:dPr>
              <m:begChr m:val="("/>
              <m:endChr m:val=")"/>
              <m:sepChr m:val=""/>
              <m:grow/>
            </m:dPr>
            <m:e>
              <m:r>
                <m:t>1</m:t>
              </m:r>
            </m:e>
          </m:d>
        </m:oMath>
      </m:oMathPara>
      <w:bookmarkEnd w:id="22"/>
    </w:p>
    <w:bookmarkEnd w:id="23"/>
    <w:bookmarkStart w:id="29" w:name="sec-results"/>
    <w:p>
      <w:pPr>
        <w:pStyle w:val="Heading1"/>
      </w:pPr>
      <w:r>
        <w:t xml:space="preserve">Results</w:t>
      </w:r>
    </w:p>
    <w:p>
      <w:pPr>
        <w:pStyle w:val="SourceCode"/>
      </w:pPr>
      <w:r>
        <w:rPr>
          <w:rStyle w:val="FunctionTok"/>
        </w:rPr>
        <w:t xml:space="preserve">boxplot</w:t>
      </w:r>
      <w:r>
        <w:rPr>
          <w:rStyle w:val="NormalTok"/>
        </w:rPr>
        <w:t xml:space="preserve">(extra </w:t>
      </w:r>
      <w:r>
        <w:rPr>
          <w:rStyle w:val="SpecialCharTok"/>
        </w:rPr>
        <w:t xml:space="preserve">~</w:t>
      </w:r>
      <w:r>
        <w:rPr>
          <w:rStyle w:val="NormalTok"/>
        </w:rPr>
        <w:t xml:space="preserve"> group, </w:t>
      </w:r>
      <w:r>
        <w:rPr>
          <w:rStyle w:val="AttributeTok"/>
        </w:rPr>
        <w:t xml:space="preserve">data=</w:t>
      </w:r>
      <w:r>
        <w:rPr>
          <w:rStyle w:val="NormalTok"/>
        </w:rPr>
        <w:t xml:space="preserve">sleep, </w:t>
      </w:r>
      <w:r>
        <w:rPr>
          <w:rStyle w:val="AttributeTok"/>
        </w:rPr>
        <w:t xml:space="preserve">col=</w:t>
      </w:r>
      <w:r>
        <w:rPr>
          <w:rStyle w:val="FunctionTok"/>
        </w:rPr>
        <w:t xml:space="preserve">c</w:t>
      </w:r>
      <w:r>
        <w:rPr>
          <w:rStyle w:val="NormalTok"/>
        </w:rPr>
        <w:t xml:space="preserve">(</w:t>
      </w:r>
      <w:r>
        <w:rPr>
          <w:rStyle w:val="StringTok"/>
        </w:rPr>
        <w:t xml:space="preserve">"#add8e6"</w:t>
      </w:r>
      <w:r>
        <w:rPr>
          <w:rStyle w:val="NormalTok"/>
        </w:rPr>
        <w:t xml:space="preserve">, </w:t>
      </w:r>
      <w:r>
        <w:rPr>
          <w:rStyle w:val="StringTok"/>
        </w:rPr>
        <w:t xml:space="preserve">"#6f64cb"</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27" w:name="fig-sleep"/>
          <w:p>
            <w:pPr>
              <w:jc w:val="center"/>
            </w:pPr>
            <w:r>
              <w:drawing>
                <wp:inline>
                  <wp:extent cx="4620126" cy="3696101"/>
                  <wp:effectExtent b="0" l="0" r="0" t="0"/>
                  <wp:docPr descr="" title="" id="25" name="Picture"/>
                  <a:graphic>
                    <a:graphicData uri="http://schemas.openxmlformats.org/drawingml/2006/picture">
                      <pic:pic>
                        <pic:nvPicPr>
                          <pic:cNvPr descr="demo_files/figure-docx/fig-sleep-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Repeated measures data from 10 patients taking one of two sleep aiding drugs. Drug 2 appears more effective.</w:t>
            </w:r>
          </w:p>
          <w:bookmarkEnd w:id="27"/>
        </w:tc>
      </w:tr>
    </w:tbl>
    <w:p>
      <w:pPr>
        <w:pStyle w:val="BodyText"/>
      </w:pPr>
      <w:r>
        <w:t xml:space="preserve">Results can be plotted directly from code, just look at</w:t>
      </w:r>
      <w:r>
        <w:t xml:space="preserve"> </w:t>
      </w:r>
      <w:hyperlink w:anchor="fig-sleep">
        <w:r>
          <w:rPr>
            <w:rStyle w:val="Hyperlink"/>
          </w:rPr>
          <w:t xml:space="preserve">Figure 1</w:t>
        </w:r>
      </w:hyperlink>
      <w:r>
        <w:t xml:space="preserve">! You can even embed the results of significance tests inline, quoting that with a paired t-test, Treatment 2 appears better than Treatment 1 with p = 0.0028329.</w:t>
      </w:r>
    </w:p>
    <w:p>
      <w:pPr>
        <w:pStyle w:val="BodyText"/>
      </w:pPr>
      <w:r>
        <w:t xml:space="preserve">Unfortunately, the compatibility issues around REVTEX tables have proven particularly difficult to resolve. The best solution we have at the moment is writing out tables like</w:t>
      </w:r>
      <w:r>
        <w:t xml:space="preserve"> </w:t>
      </w:r>
      <w:hyperlink w:anchor="tbl-means">
        <w:r>
          <w:rPr>
            <w:rStyle w:val="Hyperlink"/>
          </w:rPr>
          <w:t xml:space="preserve">Table 1</w:t>
        </w:r>
      </w:hyperlink>
      <w:r>
        <w:t xml:space="preserve"> </w:t>
      </w:r>
      <w:r>
        <w:t xml:space="preserve">out manually specifically for REVTEX PDFs.</w:t>
      </w:r>
    </w:p>
    <w:p>
      <w:pPr>
        <w:pStyle w:val="SourceCode"/>
      </w:pPr>
      <w:r>
        <w:rPr>
          <w:rStyle w:val="NormalTok"/>
        </w:rPr>
        <w:t xml:space="preserve">tibble</w:t>
      </w:r>
      <w:r>
        <w:rPr>
          <w:rStyle w:val="SpecialCharTok"/>
        </w:rPr>
        <w:t xml:space="preserve">::</w:t>
      </w:r>
      <w:r>
        <w:rPr>
          <w:rStyle w:val="FunctionTok"/>
        </w:rPr>
        <w:t xml:space="preserve">as_tibble</w:t>
      </w:r>
      <w:r>
        <w:rPr>
          <w:rStyle w:val="NormalTok"/>
        </w:rPr>
        <w:t xml:space="preserve">(sleep)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(group)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FunctionTok"/>
        </w:rPr>
        <w:t xml:space="preserve">mean</w:t>
      </w:r>
      <w:r>
        <w:rPr>
          <w:rStyle w:val="NormalTok"/>
        </w:rPr>
        <w:t xml:space="preserve">(extra))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bookmarkStart w:id="28" w:name="tbl-means"/>
    <w:p>
      <w:pPr>
        <w:pStyle w:val="TableCaption"/>
      </w:pPr>
      <w:r>
        <w:t xml:space="preserve">Table 1: An automatically generated table showing the mean extra sleep each treatment grants.</w:t>
      </w:r>
    </w:p>
    <w:tbl>
      <w:tblPr>
        <w:tblStyle w:val="Table"/>
        <w:tblW w:type="auto" w:w="0"/>
        <w:tblLook w:firstRow="1" w:lastRow="0" w:firstColumn="0" w:lastColumn="0" w:noHBand="0" w:noVBand="0" w:val="0020"/>
        <w:jc w:val="start"/>
        <w:tblCaption w:val="Table 1: An automatically generated table showing the mean extra sleep each treatment grants."/>
      </w:tblPr>
      <w:tblGrid>
        <w:gridCol w:w="3960"/>
        <w:gridCol w:w="3960"/>
      </w:tblGrid>
      <w:tr>
        <w:trPr>
          <w:tblHeader w:val="true"/>
        </w:trPr>
        <w:tc>
          <w:tcPr/>
          <w:p>
            <w:pPr>
              <w:pStyle w:val="Compact"/>
              <w:jc w:val="left"/>
            </w:pPr>
            <w:r>
              <w:t xml:space="preserve">group</w:t>
            </w:r>
          </w:p>
        </w:tc>
        <w:tc>
          <w:tcPr/>
          <w:p>
            <w:pPr>
              <w:pStyle w:val="Compact"/>
              <w:jc w:val="right"/>
            </w:pPr>
            <w:r>
              <w:t xml:space="preserve">mean(extra)</w:t>
            </w:r>
          </w:p>
        </w:tc>
      </w:tr>
      <w:tr>
        <w:tc>
          <w:tcPr/>
          <w:p>
            <w:pPr>
              <w:pStyle w:val="Compact"/>
              <w:jc w:val="left"/>
            </w:pPr>
            <w:r>
              <w:t xml:space="preserve">1</w:t>
            </w:r>
          </w:p>
        </w:tc>
        <w:tc>
          <w:tcPr/>
          <w:p>
            <w:pPr>
              <w:pStyle w:val="Compact"/>
              <w:jc w:val="right"/>
            </w:pPr>
            <w:r>
              <w:t xml:space="preserve">0.75</w:t>
            </w:r>
          </w:p>
        </w:tc>
      </w:tr>
      <w:tr>
        <w:tc>
          <w:tcPr/>
          <w:p>
            <w:pPr>
              <w:pStyle w:val="Compact"/>
              <w:jc w:val="left"/>
            </w:pPr>
            <w:r>
              <w:t xml:space="preserve">2</w:t>
            </w:r>
          </w:p>
        </w:tc>
        <w:tc>
          <w:tcPr/>
          <w:p>
            <w:pPr>
              <w:pStyle w:val="Compact"/>
              <w:jc w:val="right"/>
            </w:pPr>
            <w:r>
              <w:t xml:space="preserve">2.33</w:t>
            </w:r>
          </w:p>
        </w:tc>
      </w:tr>
    </w:tbl>
    <w:bookmarkEnd w:id="28"/>
    <w:bookmarkEnd w:id="29"/>
    <w:bookmarkStart w:id="33" w:name="sec-discussion"/>
    <w:p>
      <w:pPr>
        <w:pStyle w:val="Heading1"/>
      </w:pPr>
      <w:r>
        <w:t xml:space="preserve">Discussion</w:t>
      </w:r>
    </w:p>
    <w:p>
      <w:pPr>
        <w:pStyle w:val="FirstParagraph"/>
      </w:pPr>
      <w:r>
        <w:t xml:space="preserve">Overall, this proof of concept appears to work well so far, but further development and</w:t>
      </w:r>
      <w:r>
        <w:t xml:space="preserve"> </w:t>
      </w:r>
      <w:r>
        <w:t xml:space="preserve">“</w:t>
      </w:r>
      <w:r>
        <w:t xml:space="preserve">real world</w:t>
      </w:r>
      <w:r>
        <w:t xml:space="preserve">”</w:t>
      </w:r>
      <w:r>
        <w:t xml:space="preserve"> </w:t>
      </w:r>
      <w:r>
        <w:t xml:space="preserve">testing is needed.</w:t>
      </w:r>
    </w:p>
    <w:bookmarkStart w:id="32" w:name="refs"/>
    <w:bookmarkStart w:id="31" w:name="ref-knauff_efficiency_2014"/>
    <w:p>
      <w:pPr>
        <w:pStyle w:val="Bibliography"/>
      </w:pPr>
      <w:r>
        <w:t xml:space="preserve">Knauff, Markus, and Jelica Nejasmic. 2014.</w:t>
      </w:r>
      <w:r>
        <w:t xml:space="preserve"> </w:t>
      </w:r>
      <w:r>
        <w:t xml:space="preserve">“An</w:t>
      </w:r>
      <w:r>
        <w:t xml:space="preserve"> </w:t>
      </w:r>
      <w:r>
        <w:t xml:space="preserve">Efficiency</w:t>
      </w:r>
      <w:r>
        <w:t xml:space="preserve"> </w:t>
      </w:r>
      <w:r>
        <w:t xml:space="preserve">Comparison</w:t>
      </w:r>
      <w:r>
        <w:t xml:space="preserve"> </w:t>
      </w:r>
      <w:r>
        <w:t xml:space="preserve">of</w:t>
      </w:r>
      <w:r>
        <w:t xml:space="preserve"> </w:t>
      </w:r>
      <w:r>
        <w:t xml:space="preserve">Document</w:t>
      </w:r>
      <w:r>
        <w:t xml:space="preserve"> </w:t>
      </w:r>
      <w:r>
        <w:t xml:space="preserve">Preparation</w:t>
      </w:r>
      <w:r>
        <w:t xml:space="preserve"> </w:t>
      </w:r>
      <w:r>
        <w:t xml:space="preserve">Systems</w:t>
      </w:r>
      <w:r>
        <w:t xml:space="preserve"> </w:t>
      </w:r>
      <w:r>
        <w:t xml:space="preserve">Used</w:t>
      </w:r>
      <w:r>
        <w:t xml:space="preserve"> </w:t>
      </w:r>
      <w:r>
        <w:t xml:space="preserve">in</w:t>
      </w:r>
      <w:r>
        <w:t xml:space="preserve"> </w:t>
      </w:r>
      <w:r>
        <w:t xml:space="preserve">Academic</w:t>
      </w:r>
      <w:r>
        <w:t xml:space="preserve"> </w:t>
      </w:r>
      <w:r>
        <w:t xml:space="preserve">Research</w:t>
      </w:r>
      <w:r>
        <w:t xml:space="preserve"> </w:t>
      </w:r>
      <w:r>
        <w:t xml:space="preserve">and</w:t>
      </w:r>
      <w:r>
        <w:t xml:space="preserve"> </w:t>
      </w:r>
      <w:r>
        <w:t xml:space="preserve">Development</w:t>
      </w:r>
      <w:r>
        <w:t xml:space="preserve">.”</w:t>
      </w:r>
      <w:r>
        <w:t xml:space="preserve"> </w:t>
      </w:r>
      <w:r>
        <w:t xml:space="preserve">Edited by Cynthia Gibas.</w:t>
      </w:r>
      <w:r>
        <w:t xml:space="preserve"> </w:t>
      </w:r>
      <w:r>
        <w:rPr>
          <w:iCs/>
          <w:i/>
        </w:rPr>
        <w:t xml:space="preserve">PLoS ONE</w:t>
      </w:r>
      <w:r>
        <w:t xml:space="preserve"> </w:t>
      </w:r>
      <w:r>
        <w:t xml:space="preserve">9 (12): e115069.</w:t>
      </w:r>
      <w:r>
        <w:t xml:space="preserve"> </w:t>
      </w:r>
      <w:hyperlink r:id="rId30">
        <w:r>
          <w:rPr>
            <w:rStyle w:val="Hyperlink"/>
          </w:rPr>
          <w:t xml:space="preserve">https://doi.org/10.1371/journal.pone.0115069</w:t>
        </w:r>
      </w:hyperlink>
      <w:r>
        <w:t xml:space="preserve">.</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30" Target="https://doi.org/10.1371/journal.pone.0115069" TargetMode="External" /><Relationship Type="http://schemas.openxmlformats.org/officeDocument/2006/relationships/hyperlink" Id="rId21" Target="https://github.com/per-quarto-templates/revtex" TargetMode="External" /></Relationships>
</file>

<file path=word/_rels/footnotes.xml.rels><?xml version="1.0" encoding="UTF-8"?><Relationships xmlns="http://schemas.openxmlformats.org/package/2006/relationships"><Relationship Type="http://schemas.openxmlformats.org/officeDocument/2006/relationships/hyperlink" Id="rId30" Target="https://doi.org/10.1371/journal.pone.0115069" TargetMode="External" /><Relationship Type="http://schemas.openxmlformats.org/officeDocument/2006/relationships/hyperlink" Id="rId21" Target="https://github.com/per-quarto-templates/rev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PER-QT Example: A proof of concept in the style of the PERC Proceedings</dc:title>
  <dc:creator>Astra Sword; Michael Fox</dc:creator>
  <cp:keywords/>
  <dcterms:created xsi:type="dcterms:W3CDTF">2023-07-20T08:13:57Z</dcterms:created>
  <dcterms:modified xsi:type="dcterms:W3CDTF">2023-07-20T08:13:57Z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mini-paper is a proof of concept constructed in the style of the PERC Proceedings to illustrate our progress help us identify the major technical hurdles that remain. This shows that most of the major features needed to write an academic paper can be implemented, but there are specific issues around tables. If successful, this project could help PER researchers produce research faster, with better reproducibility, and disseminate it in a wider range of accessible formats.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title">
    <vt:lpwstr>References</vt:lpwstr>
  </property>
  <property fmtid="{D5CDD505-2E9C-101B-9397-08002B2CF9AE}" pid="7" name="bibliography">
    <vt:lpwstr>demo-references.bib</vt:lpwstr>
  </property>
  <property fmtid="{D5CDD505-2E9C-101B-9397-08002B2CF9AE}" pid="8" name="by-affiliation">
    <vt:lpwstr/>
  </property>
  <property fmtid="{D5CDD505-2E9C-101B-9397-08002B2CF9AE}" pid="9" name="by-author">
    <vt:lpwstr/>
  </property>
  <property fmtid="{D5CDD505-2E9C-101B-9397-08002B2CF9AE}" pid="10" name="format">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