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ETF Portfolio Manager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Regole e Parametri del Motore AI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Scorecard Completa — Pesi e Priorita</w:t>
      </w:r>
    </w:p>
    <w:p>
      <w:pPr>
        <w:spacing w:before="4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Versione: Marzo 2026</w:t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Sommario Pesi e Priorita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Il motore AI valuta ogni portafoglio su 100 punti distribuiti tra regole HARD (vincoli assoluti), regole SOFT (preferenze ottimizzabili) e contesto MACRO (fattori di mercato). Le regole HARD bloccano o impongono modifiche indipendentemente dal punteggio; le SOFT orientano le raccomandazioni; il MACRO modula la direzione.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800"/>
        <w:gridCol w:w="23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Regole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Totale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HARD — Vincoli assoluti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55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Blocca o impone modifica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SOFT — Preferenze ottimizzabili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30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Orienta raccomandazioni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MACRO — Contesto di mercato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15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Modula direzione e timing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 / 100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Scorecard Completa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Regole HARD — Vincoli Assoluti (peso totale: 55/100)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regole HARD sono non negoziabili. Una violazione HARD produce sempre un semaforo ROSSO e una modifica obbligatoria, indipendentemente dal resto del punteggio.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Numero ETF nel portafoglio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Prudente: 4-6 | Bilanciato: 5-8 | Aggressivo: 6-10. Violazione blocca analisi.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 (+/-10%)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0000"/>
                <w:sz w:val="16"/>
                <w:szCs w:val="16"/>
              </w:rPr>
              <w:t xml:space="preserve">████████░░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25% | Bil: 50% | Agg: 80%. Fuori range: modifica obbligatoria.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 singolo ETF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&lt;=25% | Bil: &lt;=18% | Agg: nessun limite. Solo dati reali DB.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Capitalizzazione minima ETF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&gt;=300M EUR | Bil: &gt;=200M EUR | Agg: &gt;=10M EUR.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Limite esposizione USA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 impostato dall'utente (0/30/60/No max): vincolo assoluto.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Mantenimento capitale investito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 modifiche non devono alterare il capitale totale investito.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Minimo ETF dopo modifiche (R2)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Dopo ogni modifica devono restare almeno minETF ETF selezionati.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Portafoglio recente (&lt;30 giorni)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Blocca analisi aggressiva su portafogli creati meno di 30 giorni fa.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Regole SOFT — Preferenze Ottimizzabili (peso totale: 30/100)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Le regole SOFT orientano le raccomandazioni AI ma possono essere bilanciate da altri fattori. Un semaforo GIALLO indica violazione soft.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ponderato portafoglio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pref &lt;0.5% max 1.0% | Bil: pref &lt;1.4% max 1.8% | Agg: max 2.5%.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tra ETF (&lt;0.6)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B45309"/>
                <w:sz w:val="16"/>
                <w:szCs w:val="16"/>
              </w:rPr>
              <w:t xml:space="preserve">█████░░░░░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Coppie con corr &gt;0.6 segnalate. Sostituzione solo se disponibile alternativa valida.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 ponderata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████░░░░░░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&lt;=16% | Bil: &lt;=15% | Agg: nessun limite.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 valuta non EUR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Prud: sempre hedged | Bil: max 50% non hedged | Agg: max 80% non hedged.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Distribuzione/Accumulazione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Rispetta preferenza utente (escludiDistribuzione flag).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Preferenze libere utente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SOFT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Note libere nel form pre-analisi: priorita alta se specifiche.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Contesto MACRO (peso totale: 15/100)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Il contesto macro non valuta la qualita intrinseca degli ETF ma modula le raccomandazioni in base alle condizioni di mercato correnti. Ha peso maggiore per orizzonti brevi (&lt;3 anni) e profili Prudente.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 / Parametro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/100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VIX (volatilita mercato)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&gt;30: cautela azionario | 20-30: attenzione | &lt;20: favorevole. Peso piu alto per Prudente.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BCE / tasso reale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███░░░░░░░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Tassi alti: preferire obblig. breve durata. Taglio atteso: favorisce lunga duration.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Inflazione EU / USA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██░░░░░░░░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Infl &gt;3%: suggerisce ETF inflation-linked. Infl &lt;1.5%: preferisce tasso fisso.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Petrolio Brent (&gt;$95)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Brent alto: rischio inflazione secondaria, cautela sui tagli tassi previsti.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Curva tassi USA / EUR/USD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MACRO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D6B3E"/>
                <w:sz w:val="16"/>
                <w:szCs w:val="16"/>
              </w:rPr>
              <w:t xml:space="preserve">█░░░░░░░░░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Curva invertita: riduci ciclici. EUR forte: hedging USD preferibile.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Parametri per Profilo di Rischio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Prudente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Bilanciato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N. ETF (min-max)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4 - 6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5 - 8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6 - 10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25% +/-10%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50% +/-10%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80% +/-10%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&lt;=25%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&lt;=18%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 limite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&lt;=16%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&lt;=15%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 limite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max / preferito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1.0% / 0.5%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1.8% / 1.4%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2.5% / 2.0%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Capitaliz. min ETF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300M EUR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200M EUR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10M EUR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 valuta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 hedged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50% non hedged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80% non hedged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Rendimento atteso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+2% / +3.5%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+2.5% / +5%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 +4.5% / +8%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Parametri Pre-Analisi (Form Utente)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Prima del lancio dell'analisi AI, l'utente configura i seguenti parametri che modulano il comportamento del motore: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Obiettivo analisi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opzioni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Orienta focus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Completa / Regole / Costi / Rendimento / Rischio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Disponibilita modifiche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livelli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Limita modifiche proposte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Conservativo (0) / Moderato (max 2) / Radicale (tutte)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Soglia P&amp;L vendita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% libera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 vendite in perdita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Es. -5% = non vendere se perdi piu del 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 esposizione USA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0/30/60/No max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limit geografico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Override del limite portafoglio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 libere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Testo libero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Istruzione prioritaria AI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Es: mantieni Gold, evita obbligaz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Fonti Dati e Aggiornamento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Forniti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Prezzi ETF, VIX, S&amp;P500, Oro, Brent, EUR/USD, Stoxx50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Giornaliera (18:00)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Ticker mappa ISIN-Yahoo. Auto-fix se 404.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FRED API (Fed Reserve)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Fed (DFEDTARL), CPI USA YoY, Bund 10Y, BTP 10Y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Mensile / Daily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Fallback statico se API non risponde da Railway.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BCE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Tasso depositi BCE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Mensile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Endpoint pubblico, no API key.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Trading Economics (statico)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Inflazione EU, dati macro 16 paesi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Aggiornamento manuale mensile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Costanti in macro.js: INFL_EU_FALLBACK, PAESI_MACRO, ecc.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JustETF (catalogo)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2735 ETF: AUM, TER, vol, drawdown, perf storiche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Import manuale Excel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2573 ETF con ticker Yahoo verificato.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Mappa Esposizione USA per Categoria ETF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Stima percentuale di esposizione geografica agli USA per categoria, usata nel calcolo del limite USA impostato dall'utente: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ETF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Exp. USA stimata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USA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Indici S&amp;P500, Nasdaq, Russell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Globale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MSCI World: USA circa 65-70% del peso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Tematico (Tech/Healthcare)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Settori dominati da aziende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 Treasury Bond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Titoli governativi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Emergenti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Esposizione indiretta minima a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Azionario Europa / Pacifico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Nessuna esposizione diretta USA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Obbligazionario EUR Gov/Corp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Emittenti europei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Oro / Commodities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Prezzato in USD ma asset globale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Liquidita / Monetario EUR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E"/>
                <w:sz w:val="20"/>
                <w:szCs w:val="20"/>
              </w:rPr>
              <w:t xml:space="preserve">0%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 / overnight EUR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Gerarchia dei Vincoli nel Motore AI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caso di conflitto tra regole, il motore segue questa priorita (dalla piu alta alla piu bassa):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9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 su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Parametri pre-analisi utente (note libere, maxUSA)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(input diretto)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Tutto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Quota azionaria target profilo (+/-10%)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Correlazione, TER, preferenze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 Drawdown 1Y per singolo ETF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Performance, TER, correlazione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Capitalizzazione minima ETF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Diversificazione, correlazione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N. minimo ETF dopo modifiche (R2)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(non rimuovere se scende sotto min)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TER ponderato portafoglio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Correlazione, volatilita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Correlazione tra ETF (&lt;0.6)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Volatilita, hedging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Volatilita media ponderata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Hedging, distribuzione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Contesto macro (VIX, tassi, inflazione)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orienta suggerimenti, non blocca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Note Operative e Aggiornamento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Aggiornamento Mensile Dati Statici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 seguenti valori in macro.js vanno aggiornati manualmente ogni mese: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INFL_EU_FALLBACK — inflazione area euro da Trading Economics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FED_FUNDS_FALLBACK — tasso Fed se FRED non risponde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BUND_10Y_FALLBACK / BTP_10Y_FALLBACK — rendimenti obbligazionari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PAESI_MACRO — tabella dati macroeconomici 16 paesi (Trading Economics)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Auto-Update Prezzi ETF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Automatico: ogni giorno alle 18:00 (aggiorna tutti i 2573 ETF del catalogo)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Manuale: tasto "Aggiorna Prezzi" in Dashboard (aggiorna solo ETF del portafoglio corrente)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Auto-fix ticker: se Yahoo restituisce 404, prova automaticamente suffissi .MI .AS .DE .PA .L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Pesi Modificabili (Roadmap)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sviluppo: schermata admin per modificare i pesi della scorecard direttamente dall interfaccia, senza toccare il codice. I pesi modificati saranno salvati in DB e letti dal motore AI ad ogni analisi.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ETF Portfolio Manager — Documento interno — Marzo 2026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>9. Rendimenti Attesi per Asset Class e Linee Guida Stime</w:t>
      </w:r>
    </w:p>
    <w:p>
      <w:pPr>
        <w:spacing w:before="0" w:after="8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Il motore AI utilizza rendimenti attesi di riferimento basati su medie storiche di lungo periodo (20-30 anni), non sui dati perf5y degli ETF in catalogo. I dati perf5y (2020-2024) riflettono un periodo eccezionalmente positivo e non sono rappresentativi delle aspettative future. I rendimenti sotto sono lordi annui, al netto di tasse italiane (26%) vanno moltiplicati per 0.74.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9.1 Tabella Rendimenti Attesi di Riferimento (lordi annui)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500"/>
        <w:gridCol w:w="1800"/>
        <w:gridCol w:w="1800"/>
        <w:gridCol w:w="1926"/>
      </w:tblGrid>
      <w:tr>
        <w:trPr>
          <w:trHeight w:val="400"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1F4E79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color w:val="FFFFFF"/>
                <w:sz w:val="22"/>
                <w:szCs w:val="22"/>
              </w:rPr>
              <w:t>Asset Class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1F4E79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2"/>
                <w:szCs w:val="22"/>
              </w:rPr>
              <w:t>Rendimento Atteso Lordo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1F4E79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2"/>
                <w:szCs w:val="22"/>
              </w:rPr>
              <w:t>Rendimento Netto (x0.74)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1F4E79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b/>
                <w:color w:val="FFFFFF"/>
                <w:sz w:val="22"/>
                <w:szCs w:val="22"/>
              </w:rPr>
              <w:t>Note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Azionario Globale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~7% annuo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~5.2%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Media storica 30 anni MSCI World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Azionario USA / Europa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~7-8% annuo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~5.2-5.9%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S&amp;P500 media 30 anni ~10% lordo pre-tax USA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Azionario Emergenti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~6-8% annuo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~4.4-5.9%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Alta volatilita, premio rischio paese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Obbligazionario Governativo EUR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~2-3% annuo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~1.5-2.2%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Bund 10Y ~2.8% contesto attuale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Obbligazionario Corporate EUR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~3-4% annuo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~2.2-3.0%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Spread credit ~100-150bp su gov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Inflation-Linked EUR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~2-3% annuo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~1.5-2.2%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Rendimento reale + inflazione attesa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Oro / Commodity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~4-5% annuo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~3.0-3.7%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fill="D5E8F0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Hedge inflazione, alta volatilita</w:t>
            </w:r>
          </w:p>
        </w:tc>
      </w:tr>
      <w:tr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2"/>
                <w:szCs w:val="22"/>
              </w:rPr>
              <w:t>Monetario / Liquidita EUR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~2-3% annuo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cs="Arial" w:hAnsi="Arial"/>
                <w:sz w:val="22"/>
                <w:szCs w:val="22"/>
              </w:rPr>
              <w:t>~1.5-2.2%</w:t>
            </w:r>
          </w:p>
        </w:tc>
        <w:tc>
          <w:tcPr>
            <w:tcW w:w="1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2"/>
                <w:szCs w:val="22"/>
              </w:rPr>
              <w:t>ESTR/overnight, dipende da BCE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>9.2 Cap Rendimento Atteso Netto per Profilo</w:t>
      </w:r>
    </w:p>
    <w:p>
      <w:pPr>
        <w:spacing w:before="0" w:after="80"/>
      </w:pPr>
      <w:r>
        <w:rPr>
          <w:rFonts w:ascii="Arial" w:cs="Arial" w:eastAsia="Arial" w:hAnsi="Arial"/>
          <w:color w:val="000000"/>
          <w:sz w:val="24"/>
          <w:szCs w:val="24"/>
        </w:rPr>
        <w:t>Il motore AI non deve mai proiettare rendimenti netti superiori a questi valori, indipendentemente dai dati perf5y degli ETF in catalogo:</w:t>
      </w:r>
    </w:p>
    <w:p>
      <w:pPr>
        <w:spacing w:before="0" w:after="60"/>
      </w:pPr>
      <w:r>
        <w:rPr>
          <w:rFonts w:ascii="Arial" w:cs="Arial" w:hAnsi="Arial"/>
          <w:color w:val="000000"/>
          <w:sz w:val="24"/>
          <w:szCs w:val="24"/>
        </w:rPr>
        <w:t xml:space="preserve">•  Prudente: max 4.5% netto annuo</w:t>
      </w:r>
    </w:p>
    <w:p>
      <w:pPr>
        <w:spacing w:before="0" w:after="60"/>
      </w:pPr>
      <w:r>
        <w:rPr>
          <w:rFonts w:ascii="Arial" w:cs="Arial" w:hAnsi="Arial"/>
          <w:color w:val="000000"/>
          <w:sz w:val="24"/>
          <w:szCs w:val="24"/>
        </w:rPr>
        <w:t xml:space="preserve">•  Bilanciato: max 7.0% netto annuo</w:t>
      </w:r>
    </w:p>
    <w:p>
      <w:pPr>
        <w:spacing w:before="0" w:after="80"/>
      </w:pPr>
      <w:r>
        <w:rPr>
          <w:rFonts w:ascii="Arial" w:cs="Arial" w:hAnsi="Arial"/>
          <w:color w:val="000000"/>
          <w:sz w:val="24"/>
          <w:szCs w:val="24"/>
        </w:rPr>
        <w:t xml:space="preserve">•  Aggressivo: max 10.0% netto annuo</w:t>
      </w:r>
    </w:p>
    <w:p>
      <w:pPr>
        <w:spacing w:before="0" w:after="80"/>
      </w:pPr>
      <w:r>
        <w:rPr>
          <w:rFonts w:ascii="Arial" w:cs="Arial" w:hAnsi="Arial"/>
          <w:i/>
          <w:iCs/>
          <w:color w:val="555555"/>
          <w:sz w:val="22"/>
          <w:szCs w:val="22"/>
        </w:rPr>
        <w:t>Nota: i rendimenti passati non sono garanzia di rendimenti futuri. Le stime si basano su medie storiche di lungo periodo (20-30 anni) e non sui dati perf5y degli ETF in catalogo, che riflettono un ciclo eccezionalmente positivo (2020-2024).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2026-03-20T11:35:04.812Z</dcterms:created>
  <dcterms:modified xsi:type="dcterms:W3CDTF">2026-03-20T11:35:04.813Z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