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 w:name="_GoBack"/>
      <w:bookmarkEnd w:id="2"/>
      <w:r>
        <w:rPr>
          <w:rFonts w:ascii="Arial" w:hAnsi="Arial" w:eastAsia="Arial" w:cs="Arial"/>
          <w:b/>
          <w:bCs/>
          <w:lang/>
        </w:rPr>
        <w:t>上海市发展和改革委员会关于开展本市拟纳入全国碳交易体系的企业历史碳排放报告工作的通知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上海市发展和改革委员会关于开展本市拟纳入全国碳交易体系的企业历史碳排放报告工作的通知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（沪发改环资〔2016〕17号）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为贯彻落实国家《</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"https://www.pkulaw.com/chl/442c015bf83fd9d1bdfb.html?way=textSlc"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生态文明体制改革总体方案</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》和本市“十三五”规划《纲要》有关要求，加快推进全国碳排放权交易市场建设，根据《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"https://www.pkulaw.com/chl/0ac4190e360c480ebdfb.html?way=textSlc"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国家发展改革委办公厅关于切实做好全国碳排放权交易市场启动重点工作的通知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》（发改办气候﹝2016﹞57号）要求及工作部署，本市现开展对拟纳入全国碳交易的企业历史碳排放报告编制及报送工作。现将有关事项通知如下：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历史排放报告编制与报送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企业按照国家发展改革委目前所明确的全国碳排放权交易覆盖行业及代码（见附件），根据已公布的企业温室气体排放核算方法与报告指南（发改办气候﹝2013﹞2526号、﹝2014﹞2920号和﹝2015﹞1722号）的要求，分年度核算2013年、2014年和2015年的温室气体排放量及相关基础数据，编制各年度排放报告，并于2016年3月31日前提交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排放报告模板请登陆“上海市碳排放报告直报系统”（可通过上海节能低碳和应对气候变化网www.reg-sh.org主页面右下角链接点击进入），在“基本信息”页面下方下载。各年度排放报告编制完成后，电子版通过“上海市碳排放报告直报系统”上传，纸质版加盖公章后（一式两份），于3月31日17：00前报送市发展改革委。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相关要求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各有关单位要如实、完整、准确地报告各年度数据，并在规定时间内完成报告编制和提交。企业完成核算与报告工作后我委将组织第三方核查机构对企业的排放数据进行核查，按要求将相关数据报送国家发改委，为全国碳排放交易体系配额方案制定提供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企业在碳排放报告编制与报送过程中如有问题，可以在线注册登录国家发改委建立的碳排放报告与核查工作技术问答平台，就核算与核查工作中涉及的各项技术问题进行咨询。在线问答平台网址：http：//124.205.45.90：8080/mrv/，问答热线电话：4001-676-772、4001-676-762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3、纸质版报告受理地址：威海路48号1307室；联系人：魏冰梅；电话：23113963；邮编200003。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联系人：王丽芹 23113954　　　 凌云 23113492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技术支持：臧　玲 62129099-2264（石化、化工企业）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鞠学泉 62129099-2293（钢铁生产企业）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张东海 62129099-2245（造纸企业）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蒋文闻 62129099-2289 （电力、电网行业）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余　星 62129099-2276（航空、机场）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2016年3月14日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全国碳排放权交易覆盖行业及代码</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（发改办气候﹝2016﹞57号）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106"/>
        <w:gridCol w:w="3325"/>
        <w:gridCol w:w="619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行业</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行业代码</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行业子类（主营产品统计代码）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石化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2511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原油加工（2501）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2614</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乙烯（2602010201）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化工 </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2619 2612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电石（2601220101）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合成氨（260401）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甲醇（2602090101）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建材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3011</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水泥熟料（310101）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3041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平板玻璃（311101）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3120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粗钢（3206）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有色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3216</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电解铝（3316039900）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3211</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铜冶炼（3311）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造纸 </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2211 2212 2221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纸浆制造（2201）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机制纸和纸板（2202）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电力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纯发电 热电联产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4420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电网</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航空 </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5611 5612 5631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航空旅客运输</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航空货物运输</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机场</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"https://www.pkulaw.com/lar/16eab1cfc08e4aefa326471425ec7cfbbdfb.html"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https://www.pkulaw.com/lar/16eab1cfc08e4aefa326471425ec7cfbbdfb.html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【法宝引证码】CLI.14.1171457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1A775B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2023-01-28T14:37:14Z</dcterms:created>
  <dc:creator>xmintie.</dc:creator>
  <cp:lastModifiedBy>xmintie.</cp:lastModifiedBy>
  <dcterms:modified xsi:type="dcterms:W3CDTF">2023-01-28T14:37:14Z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456EFE1EF46D4464B009D6914815CF92</vt:lpwstr>
  </property>
</Properties>
</file>