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上海市生态环境局关于开展本市2018年度碳排放核算与报告及排放监测计划制定工作的通知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上海市生态环境局关于开展本市2018年度碳排放核算与报告及排放监测计划制定工作的通知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各相关单位：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"https://www.pkulaw.com/chl/c0375c11b3940664bdfb.html?way=textSlc"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生态环境部办公厅《关于做好2018年度碳排放报告与核查及排放监测计划制定工作的通知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环办气候函〔2019〕71号，以下简称《通知》）的要求，为扎实做好全国碳排放权交易市场建设相关工作，完善配额分配方法，夯实数据基础，确保数据质量，本市将组织开展2018年度碳排放核算与报告及排放监测计划制定工作，现将有关事项通知如下：</w:t>
      </w:r>
      <w:r>
        <w:rPr>
          <w:rFonts w:ascii="宋体" w:hAnsi="宋体" w:eastAsia="宋体" w:cs="宋体"/>
          <w:b w:val="0"/>
          <w:bCs w:val="0"/>
          <w:color w:val="000000"/>
          <w:sz w:val="27"/>
          <w:szCs w:val="27"/>
          <w:lang/>
        </w:rPr>
        <w:br w:type="textWrapping"/>
      </w:r>
      <w:bookmarkStart w:id="0" w:name="tiao_1"/>
      <w:bookmarkEnd w:id="0"/>
      <w:r>
        <w:rPr>
          <w:rFonts w:ascii="宋体" w:hAnsi="宋体" w:eastAsia="宋体" w:cs="宋体"/>
          <w:b w:val="0"/>
          <w:bCs w:val="0"/>
          <w:color w:val="000000"/>
          <w:sz w:val="27"/>
          <w:szCs w:val="27"/>
          <w:lang/>
        </w:rPr>
        <w:t>　　一、企业范围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根据《通知》要求，结合本市企业实际用能和排放情况，我局制定了纳入此次工作的企业名单（见附件）。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Fonts w:ascii="宋体" w:hAnsi="宋体" w:eastAsia="宋体" w:cs="宋体"/>
          <w:b w:val="0"/>
          <w:bCs w:val="0"/>
          <w:color w:val="000000"/>
          <w:sz w:val="27"/>
          <w:szCs w:val="27"/>
          <w:lang/>
        </w:rPr>
        <w:t>　　二、工作内容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名单内的所有企业需根据已分批公布的企业温室气体排放核算方法与报告指南（发改办气候〔2013〕2526号、〔2014〕2920号和〔2015〕1722号）和《通知》的要求，核算并报告其2018年的温室气体排放量及相关数据，制定并提交排放监测计划。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Fonts w:ascii="宋体" w:hAnsi="宋体" w:eastAsia="宋体" w:cs="宋体"/>
          <w:b w:val="0"/>
          <w:bCs w:val="0"/>
          <w:color w:val="000000"/>
          <w:sz w:val="27"/>
          <w:szCs w:val="27"/>
          <w:lang/>
        </w:rPr>
        <w:t>　　三、工作要求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（一）初稿报送要求。请于3月31日17：00前报送排放报告和监测计划（初稿）。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（二）配合核查审核。收到初稿后，我局将及时组织第三方核查机构对年度排放报告进行核查，对监测计划内容进行审核，届时请予以支持和配合。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（三）最终版报送要求。请根据核查结果及时修改排放报告和监测计划，并于5月22日17：00前报送。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Fonts w:ascii="宋体" w:hAnsi="宋体" w:eastAsia="宋体" w:cs="宋体"/>
          <w:b w:val="0"/>
          <w:bCs w:val="0"/>
          <w:color w:val="000000"/>
          <w:sz w:val="27"/>
          <w:szCs w:val="27"/>
          <w:lang/>
        </w:rPr>
        <w:t>　　四、其他事项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报送方式。电子版通过“上海市碳排放报告直报系统”上传；纸质版加盖公章后（如页数较多可盖骑缝章），报送至纸质版受理窗口（地址：威海路48号1307室；联系人：徐婷；电话：23113963；邮编：200003）。</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（二）下载模板。有关排放报告和监测计划模板，请登录“上海市碳排放报告直报系统”（可通过上海节能低碳和应对气候变化网www.reg-sh.org主页面右下角链接点击进入），在“基本信息”页面下方下载。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（三）问题咨询。如有技术问题，可联系本通知所附技术支持人员，也可在线注册登录国家碳市场帮助平台（平台网址：http：//203.207.195.153），进行咨询。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附件：本市纳入国家2018年度碳排放报告与核查及排放监测计划制定工作的企业名单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联系人：徐婷23113963、朱毅23115656</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技术支持：石化、化工行业-臧玲62129099-2264</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钢铁、造纸行业-张东海62129099-5018</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发电、电网行业-蒋文闻62129099-2264</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航空、机场-余星62129099-2276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上海市生态环境局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2019年3月19日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本市纳入国家2018年度碳排放报告与核查及排放监测计划制定工作的企业名单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00"/>
        <w:gridCol w:w="9630"/>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序号</w:t>
            </w:r>
          </w:p>
        </w:tc>
        <w:tc>
          <w:tcPr>
            <w:tcW w:w="0" w:type="auto"/>
            <w:tcBorders>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企业名称</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1</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中国石化上海石油化工股份有限公司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2</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中国石化上海高桥石油化工有限公司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3</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宝武炭材料科技有限公司（原上海宝钢化工有限公司）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4</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科思创聚合物（中国）有限公司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5</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上海巴斯夫聚氨酯有限公司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6</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上海联恒异氰酸酯有限公司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7</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上海亨斯迈聚氨酯有限公司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8</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上海赛科石油化工有限责任公司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9</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上海中石化三井化工有限公司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10</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璐彩特国际（中国）化工有限公司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11</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上海华谊能源化工有限公司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12</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上海阿科玛双氧水有限公司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13</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上海雪垠化工有限公司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14</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上海氯碱化工股份有限公司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15</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上海金菲石油化工有限公司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16</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上海金森石油树脂有限公司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17</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沙伯基础创新塑料（上海）有限公司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18</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三菱瓦斯化学工程塑料（上海）有限公司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19</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上海金发科技发展有限公司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20</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上海元邦化工制造有限公司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21</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远纺工业（上海）有限公司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22</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亚东石化（上海）有限公司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23</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巴斯夫化工有限公司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24</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赢创特种化学（上海）有限公司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25</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西萨化工（上海）有限公司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26</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宝钢特钢有限公司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27</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上海实达精密不锈钢有限公司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28</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宝山钢铁股份有限公司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29</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宝钢新日铁汽车板有限公司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30</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上海外高桥发电有限责任公司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31</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上海申能临港燃机发电有限公司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32</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上海闸电燃气轮机发电有限公司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33</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上海电力股份有限公司吴泾热电厂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34</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上海长兴岛热电有限责任公司（原上海长兴岛第二发电厂）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35</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上海吴泾第二发电有限责任公司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36</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上海外高桥第二发电有限责任公司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37</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华能国际电力股份有限公司上海石洞口第一电厂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38</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上海上电漕泾发电有限公司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39</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华能上海石洞口发电有限责任公司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40</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上海漕泾热电有限责任公司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41</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上海吴泾发电有限责任公司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42</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上海奉贤燃机发电有限公司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43</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华能上海燃机发电有限责任公司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44</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上海外高桥第三发电有限责任公司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45</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华能国际电力股份有限公司上海石洞口第二电厂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46</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国网上海市电力公司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47</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上海电力股份有限公司罗泾燃机发电厂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48</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上海华电闵行能源有限公司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49</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上海华电奉贤热电有限公司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50</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上海航空有限公司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51</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中国东方航空股份有限公司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52</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春秋航空股份有限公司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53</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上海吉祥航空股份有限公司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54</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中国货运航空有限公司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55</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金鹏航空股份有限公司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56</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上海机场（集团）有限公司（虹桥国际机场）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57</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上海国际机场股份有限公司（浦东国际机场）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58</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上海东冠纸业有限公司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59</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上海华谊新材料有限公司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60</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上海协和氨基酸有限公司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61</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上海抚佳精细化工有限公司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62</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巴斯夫聚氨酯特种产品（中国）有限公司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63</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上海中石化三井弹性体有限公司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64</w:t>
            </w:r>
          </w:p>
        </w:tc>
        <w:tc>
          <w:tcPr>
            <w:tcW w:w="0" w:type="auto"/>
            <w:tcBorders>
              <w:top w:val="single" w:color="666666" w:sz="6" w:space="0"/>
              <w:left w:val="single" w:color="666666" w:sz="6" w:space="0"/>
              <w:bottom w:val="single" w:color="808080" w:sz="6" w:space="0"/>
            </w:tcBorders>
            <w:shd w:val="clear" w:color="auto" w:fill="FFFFFF"/>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英威达尼龙化工（中国）有限公司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65</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widowControl/>
              <w:spacing w:line="48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宝钢特钢长材有限公司</w:t>
            </w:r>
          </w:p>
        </w:tc>
      </w:tr>
    </w:tbl>
    <w:p>
      <w:pPr>
        <w:spacing w:after="300" w:line="600" w:lineRule="atLeast"/>
        <w:ind w:left="375" w:right="375"/>
        <w:rPr>
          <w:rFonts w:ascii="宋体" w:hAnsi="宋体" w:eastAsia="宋体" w:cs="宋体"/>
          <w:color w:val="000000"/>
          <w:sz w:val="27"/>
          <w:szCs w:val="27"/>
          <w:lang/>
        </w:rPr>
      </w:pP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"https://www.pkulaw.com/lar/f51a737c0d56a0a880bea980d12e8674bdfb.html"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https://www.pkulaw.com/lar/f51a737c0d56a0a880bea980d12e8674bdfb.html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【法宝引证码】CLI.14.1519036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4301F5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2023-01-28T14:40:36Z</dcterms:created>
  <dc:creator>xmintie.</dc:creator>
  <cp:lastModifiedBy>xmintie.</cp:lastModifiedBy>
  <dcterms:modified xsi:type="dcterms:W3CDTF">2023-01-28T14:40:36Z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11035E71F9454BFB8CC35AE496ACFCA9</vt:lpwstr>
  </property>
</Properties>
</file>