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北京市生态环境局办公室关于举办2020年北京碳排放权交易试点工作培训会议的通知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北京市生态环境局办公室关于举办2020年北京碳排放权交易试点工作培训会议的通知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近日我局印发了《关于做好2020年重点碳排放单位管理和碳排放权交易试点工作通知》（京环发〔2020〕6号），工作安排较往年有多项调整，为做好2020年碳排放权交易履约工作，现将有关政策培训安排通知如下：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新冠肺炎疫情防控工作要求，今年不组织现场培训，我局定于2020年4月20日-4月24日每天下午14：00-17：00分批次以视频会议的方式举办培训活动，将采用腾讯会议APP在线培训系统，会后我们也会将培训课件上传至“北京市应对气候变化数据填报系统”课件下载管理模块，供在线学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请各区组织好辖区内碳排放单位，每单位参会人员1-2人，并将各区参会名单汇总反馈我处，名单反馈邮箱地址：ydqhbhzx@sthjj.beijing.gov.cn。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请各单位安排参会人员提前下载安装腾讯会议软件，按照会议安排表规定时间参会（附件1）。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会议安排表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会议日程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参会名单反馈表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2020年4月15日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会议安排表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42"/>
        <w:gridCol w:w="3780"/>
        <w:gridCol w:w="560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84"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778"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培训对象</w:t>
            </w:r>
          </w:p>
        </w:tc>
        <w:tc>
          <w:tcPr>
            <w:tcW w:w="2638"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会议地址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84"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4月20日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（周一）14：00-17：00</w:t>
            </w:r>
          </w:p>
        </w:tc>
        <w:tc>
          <w:tcPr>
            <w:tcW w:w="177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新增重点碳排放单位、</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航空企业、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第三方核查机构</w:t>
            </w:r>
          </w:p>
        </w:tc>
        <w:tc>
          <w:tcPr>
            <w:tcW w:w="2638"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腾讯会议链接：https：//meeting.tencent.com/s/50QP1sRf1fb1</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 ID：526 627 725</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会议直播链接：https：//meeting.tencent.com/l/5a7PZc031871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84"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4月21日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（周二）</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14：00-17：00</w:t>
            </w:r>
          </w:p>
        </w:tc>
        <w:tc>
          <w:tcPr>
            <w:tcW w:w="177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东城、朝阳和顺义区生态环境局相关管理人员和重点碳排放单位</w:t>
            </w:r>
          </w:p>
        </w:tc>
        <w:tc>
          <w:tcPr>
            <w:tcW w:w="2638"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腾讯会议链接：https：//meeting.tencent.com/s/5EUojcZ8b502</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 ID：646 066 137</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会议直播链接：https：//meeting.tencent.com/l/5GMu9P61129e</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84"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4月22日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14：00-17：00</w:t>
            </w:r>
          </w:p>
        </w:tc>
        <w:tc>
          <w:tcPr>
            <w:tcW w:w="177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西城、海淀和通州区生态环境局相关管理人员和重点碳排放单位</w:t>
            </w:r>
          </w:p>
        </w:tc>
        <w:tc>
          <w:tcPr>
            <w:tcW w:w="2638"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腾讯会议链接：https：//meeting.tencent.com/s/5G3r0GI8a6c4</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 ID：242 427 546</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会议直播链接：https：//meeting.tencent.com/l/56NSFz7abeb3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84"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4月23日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（周四）</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14：00-17：00</w:t>
            </w:r>
          </w:p>
        </w:tc>
        <w:tc>
          <w:tcPr>
            <w:tcW w:w="177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丰台、石景山、门头沟、房山、昌平、大兴、怀柔、平谷、密云、延庆区生态环境局及北京经济技术开发区城市运行局相关管理人员和重点碳排放单位</w:t>
            </w:r>
          </w:p>
        </w:tc>
        <w:tc>
          <w:tcPr>
            <w:tcW w:w="2638"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腾讯会议链接：https：//meeting.tencent.com/s/51v33FV02f86</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 ID：608 093 075</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会议直播链接：https：//meeting.tencent.com/l/5WFIiK830135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84"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4月24日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（周五）</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14：00-17：00</w:t>
            </w:r>
          </w:p>
        </w:tc>
        <w:tc>
          <w:tcPr>
            <w:tcW w:w="1778"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一般报告单位</w:t>
            </w:r>
          </w:p>
        </w:tc>
        <w:tc>
          <w:tcPr>
            <w:tcW w:w="2638"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腾讯会议链接：https：//meeting.tencent.com/s/58fR0Y274254</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 ID：561 136 655</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会议直播链接：https：//meeting.tencent.com/l/5bS7vfs3d3e7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备注：1.腾讯会议链接最多容纳300人，容量外参会人员请选择直播链接。</w:t>
      </w:r>
      <w:r>
        <w:rPr>
          <w:rFonts w:ascii="宋体" w:hAnsi="宋体" w:eastAsia="宋体" w:cs="宋体"/>
          <w:color w:val="000000"/>
          <w:sz w:val="27"/>
          <w:szCs w:val="27"/>
          <w:lang/>
        </w:rPr>
        <w:br w:type="textWrapping"/>
      </w:r>
      <w:r>
        <w:rPr>
          <w:rFonts w:ascii="宋体" w:hAnsi="宋体" w:eastAsia="宋体" w:cs="宋体"/>
          <w:color w:val="000000"/>
          <w:sz w:val="27"/>
          <w:szCs w:val="27"/>
          <w:lang/>
        </w:rPr>
        <w:t>　　2.名单以市生态环境局和市统计局《关于公布2019年北京市重点碳排放单位及报告单位名单的通知》为准。（通知链接：</w:t>
      </w:r>
      <w:r>
        <w:rPr>
          <w:rFonts w:ascii="宋体" w:hAnsi="宋体" w:eastAsia="宋体" w:cs="宋体"/>
          <w:color w:val="000000"/>
          <w:sz w:val="27"/>
          <w:szCs w:val="27"/>
          <w:u w:val="single" w:color="000000"/>
          <w:lang/>
        </w:rPr>
        <w:t>http：//sthjj.beijing.gov.cn/bjhrb/index/xxgk69/zfxxgk43/fdzdgknr2/hbjfw/1745093/index.html</w:t>
      </w:r>
      <w:r>
        <w:rPr>
          <w:rFonts w:ascii="宋体" w:hAnsi="宋体" w:eastAsia="宋体" w:cs="宋体"/>
          <w:color w:val="000000"/>
          <w:sz w:val="27"/>
          <w:szCs w:val="27"/>
          <w:lang/>
        </w:rPr>
        <w:t>）</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日程安排表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59"/>
        <w:gridCol w:w="917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会议主持：市生态环境局应对气候变化处或市应对气候变化研究中心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14：00-14：30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参会人员进入直播间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14：30-14：40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主持人介绍参会人员以及会议背景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14：40-14：50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市生态环境局应对气候变化处介绍本市碳排放权交易情况，部署2020年履约工作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14：50-15：10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市应对气候变化中心讲解2020年本市碳排放权交易履约工作变化情况、年度安排以及碳排放核算等相关规定和注意事项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15：10-15：30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清华大学讲解配额核定方法及注意事项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15：30-15：50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中国质量认证中心讲解核查指南、核查工作要点、核查报告规范、核查工作特点及注意事项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15：50-16：00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市应对气候变化研究中心讲解企业温室气体填报系统、报送流程、开户流程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16：00-16：10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北京环境交易所讲解碳排放交易规则、开户流程及交易细则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16：10-16：30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《碳排放权交易有关会计处理暂行规定》解读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16：30-17：00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现场答疑（通过腾讯会议APP 聊天框提问）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会议结束</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参会名单反馈表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94"/>
        <w:gridCol w:w="1888"/>
        <w:gridCol w:w="1888"/>
        <w:gridCol w:w="1888"/>
        <w:gridCol w:w="1888"/>
        <w:gridCol w:w="18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2"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88"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888"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w:t>
            </w:r>
          </w:p>
        </w:tc>
        <w:tc>
          <w:tcPr>
            <w:tcW w:w="888"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888"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888"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2"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2"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62"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88"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"https://www.pkulaw.com/lar/a9080e910f06e7d624f35ec79a3cd8e0bdfb.html"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https://www.pkulaw.com/lar/a9080e910f06e7d624f35ec79a3cd8e0bdfb.html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【法宝引证码】CLI.14.1589223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F645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2023-01-28T14:28:19Z</dcterms:created>
  <dc:creator>xmintie.</dc:creator>
  <cp:lastModifiedBy>xmintie.</cp:lastModifiedBy>
  <dcterms:modified xsi:type="dcterms:W3CDTF">2023-01-28T14:28:20Z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9C4DF73864E4417EADB3749C31A79E5A</vt:lpwstr>
  </property>
</Properties>
</file>