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5" w:name="_GoBack"/>
      <w:bookmarkEnd w:id="5"/>
      <w:r>
        <w:rPr>
          <w:rFonts w:ascii="Arial" w:hAnsi="Arial" w:eastAsia="Arial" w:cs="Arial"/>
          <w:b/>
          <w:bCs/>
          <w:lang/>
        </w:rPr>
        <w:t>吉林省科技厅关于召开碳纤维复合材料重大科技专项论证会的通知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吉林省科技厅关于召开碳纤维复合材料重大科技专项论证会的通知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深入贯彻落实省政府碳纤维产业发展专题会议决策部署，促进吉林省碳纤维及复合材料产业高质量发展，省科技厅决定组织实施碳纤维复合材料重大科技专项。并于10月16日组织召开碳纤维复合材料重大科技专项论证会，有关事宜通知如下：</w:t>
      </w:r>
      <w:r>
        <w:rPr>
          <w:rFonts w:ascii="宋体" w:hAnsi="宋体" w:eastAsia="宋体" w:cs="宋体"/>
          <w:b w:val="0"/>
          <w:bCs w:val="0"/>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组织实施碳纤维复合材料重大科技专项项目的原则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是坚持“三个原则”。坚持重大性，即项目应是支撑碳纤维产业高质量发展关键核心技术，能够产生重大经济社会效益。对碳纤维高质量发展和打造中国（吉林）碳纤维高新技术产业化基地具有支撑和引领作用。坚持技术的先进性，即项目要符合碳纤维产业的发展趋势，对碳纤维产业强链、壮链、补链、延链具有战略性支撑作用。坚持成果的可用性，即项目应是碳纤维产业高质量发展的现实科技创新需求，项目完成后马上就能转化为现实生产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是坚持“四个导向”。坚持市场导向，即项目要紧盯碳纤维产业高质量发展的重大科技需求，科学布局各类创新要素。坚持企业技术创新主体导向，即企业是提出项目的主体、经费投入的主体、成果应用的主体和研发决策的主体。坚持产学研深度融合导向，即组织开展产学研用协同创新，推动产业链上下游、产学研深度融合，聚集社会上最优质碳纤维科技创新资源，集中力量攻克一批强优势和“卡脖子”关键核心技术。坚持参照揭榜挂帅机制导向，即参照项目管理新机制，进一步激发人才创新创造活力，提升碳纤维科技自主创新能力，充分发挥科技专项资金的杠杆作用，提高科技创新专项资金的使用绩效。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碳纤维复合材料重大科技专项重大项目课题论证答辩要求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一是碳纤维复合材料重大科技专项重大项目提出单位请按照重大专项项目建议书格式准备10分钟PPT答辩材料，同时，现场提供15份碳纤维重大科技专项重大项目建议书。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二是每个项目答辩时间15分钟，其中，项目负责人自述10分钟，专家咨询5分钟。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三是碳纤维复合材料重大科技专项重大项目建议书负责人必须到会议现场答辩。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防疫要求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一是自10月3日以来去过中高风险地区的人员禁止参加会议。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二是参会人员需要测量体温，并查验吉祥码和行程码。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专项论证会时间和地点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会议时间：2021年10月16日上午7：30--12：00。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会议地点：吉林省科技厅一楼第三会议室（长春市民康路522号）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会议联系人与联系方式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杨景鹏　　 0431-89634220　 18686663677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吉林省科技厅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2021年10月13日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"https://www.pkulaw.com/lar/950a5a1fce57b96ad0dc1212f0f9792dbdfb.html"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https://www.pkulaw.com/lar/950a5a1fce57b96ad0dc1212f0f9792dbdfb.html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【法宝引证码】CLI.14.5055480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DEB07D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2023-01-28T14:54:34Z</dcterms:created>
  <dc:creator>xmintie.</dc:creator>
  <cp:lastModifiedBy>xmintie.</cp:lastModifiedBy>
  <dcterms:modified xsi:type="dcterms:W3CDTF">2023-01-28T14:54:34Z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C02304BF5353465E9DF09EFEB9900438</vt:lpwstr>
  </property>
</Properties>
</file>