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四川省发展和改革委员会关于公布重点企(事)业单位碳排放第三方核查机构征选结果的通知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四川省发展和改革委员会关于公布重点企（事）业单位碳排放第三方核查机构征选结果的通知</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　　根据国家发展改革委《关于落实全国碳排放权交易市场建设有关工作安排的通知》（发改气候〔2015〕1024号）、《</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"https://www.pkulaw.com/chl/6d383bde3eb49799bdfb.html?way=textSlc"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关于组织开展重点企（事）业单位温室气体排放报告工作的通知</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发改气候〔2014〕63号），我委面向社会对碳排放第三方核查机构进行了公开征选，经专家综合评定和网上公示，将中国质量认证中心成都分中心等20家机构（详见附件）纳入我省碳排放第三方核查机构备案库。入库机构将作为我省各级政府有关部门组织开展碳排放核查和重点企（事）业单位自主委托开展碳排放核查的备选机构，实施动态管理。待国家出台碳排放第三方核查机构管理办法后，严格按照国家相关规定进行管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附件：纳入我省重点企（事）业单位碳排放第三方核查机构备案库机构名单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四川省发展和改革委员会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2015年12月4日</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附件：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纳入我省重点企（事）业单位碳排放第三方核查机构备案库机构名单</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中国质量认证中心成都分中心</w:t>
      </w:r>
      <w:r>
        <w:rPr>
          <w:rFonts w:ascii="宋体" w:hAnsi="宋体" w:eastAsia="宋体" w:cs="宋体"/>
          <w:color w:val="000000"/>
          <w:sz w:val="27"/>
          <w:szCs w:val="27"/>
          <w:lang/>
        </w:rPr>
        <w:br w:type="textWrapping"/>
      </w:r>
      <w:r>
        <w:rPr>
          <w:rFonts w:ascii="宋体" w:hAnsi="宋体" w:eastAsia="宋体" w:cs="宋体"/>
          <w:color w:val="000000"/>
          <w:sz w:val="27"/>
          <w:szCs w:val="27"/>
          <w:lang/>
        </w:rPr>
        <w:t>　　中国船级社质量认证公司四川分公司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中环联合（北京）认证中心有限公司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北京中创碳投科技有限公司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广州赛宝认证中心服务有限公司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深圳华测国际认证有限公司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北京中竞同创能源环境技术股份有限公司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中国检验认证集团四川有限公司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深圳嘉德瑞碳资产股份有限公司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方圆标志认证集团产品认证有限公司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中国建材检验认证集团股份有限公司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北京和碳环境技术有限公司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广州绿石碳资产管理有限公司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上海宝碳新能源环保科技有限公司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华能碳资产经营有限公司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成都清然科技有限公司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成都益可同创科技有限公司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四川普拉德清洁能源咨询有限公司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四川圣智鑫联节能环保科技有限公司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四川拓展清洁发展机制服务中心</w:t>
      </w:r>
      <w:r>
        <w:rPr>
          <w:rFonts w:ascii="宋体" w:hAnsi="宋体" w:eastAsia="宋体" w:cs="宋体"/>
          <w:color w:val="000000"/>
          <w:sz w:val="27"/>
          <w:szCs w:val="27"/>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"https://www.pkulaw.com/lar/c5bfb9e1825a7228eafcf7b155875cfcbdfb.html"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https://www.pkulaw.com/lar/c5bfb9e1825a7228eafcf7b155875cfcbdfb.html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【法宝引证码】CLI.12.1144789</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4B3C7A4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2023-01-28T14:55:46Z</dcterms:created>
  <dc:creator>xmintie.</dc:creator>
  <cp:lastModifiedBy>xmintie.</cp:lastModifiedBy>
  <dcterms:modified xsi:type="dcterms:W3CDTF">2023-01-28T14:55:46Z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7BBB108BF80C48C8B693A3A776020DF6</vt:lpwstr>
  </property>
</Properties>
</file>