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天津市发展改革委、天津市工业和信息化局、天津市市场监管委、天津市生态环境局关于印发《天津市严格能效约束推动重点领域节能降碳工作实施方案》的通知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天津市发展改革委、天津市工业和信息化局、天津市市场监管委、天津市生态环境局关于印发《天津市严格能效约束推动重点领域节能降碳工作实施方案》的通知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天津市发展改革委、天津市工业和信息化局、天津市市场监管委、天津市生态环境局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关于印发《天津市严格能效约束推动重点领域节能降碳工作实施方案》的通知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为贯彻落实党中央、国务院关于碳达峰、碳中和重大战略部署，科学有序推动重点工业领域节能降碳和绿色转型，坚决遏制“两高"项目盲目发展，确保如期实现碳达峰目标，根据国家发展改革委等五部委《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"https://www.pkulaw.com/chl/8f25431ba90b6d44bdfb.html?way=textSlc"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2"/>
          <w:rFonts w:ascii="宋体" w:hAnsi="宋体" w:eastAsia="宋体" w:cs="宋体"/>
          <w:sz w:val="27"/>
          <w:szCs w:val="27"/>
          <w:lang/>
        </w:rPr>
        <w:t>关于严格能效约束推动重点领域节能降碳的若干意见</w:t>
      </w:r>
      <w:r>
        <w:rPr>
          <w:rStyle w:val="12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产业〔2021〕1464号）、《关于发布〈高耗能行业重点领域能效标杆水平和基准水平（2021年版）〉的通知》（发改产业〔2021〕1609号）和国家发展改革委等四部委《关于发布〈高耗能行业重点领域节能降碳改造升级实施指南（2022年版）〉的通知》（发改产业〔2022〕200号）要求，市发展改革委、市工业和信息化局、市市场监管委、市生态环境局会同相关单位制定了《天津市严格能效约束推动重点领域节能降碳工作实施方案》，现印发给你们，望遵照执行。</w:t>
      </w:r>
    </w:p>
    <w:p>
      <w:pPr>
        <w:pStyle w:val="9"/>
        <w:spacing w:before="0" w:after="0" w:line="600" w:lineRule="atLeast"/>
        <w:ind w:left="375" w:right="375" w:firstLine="540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"https://resources.pkulaw.cn/staticfiles/lawinfo/20220623/19/06/0/e0bafa77ebe0d65f94412fca4c5e7919.docx"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2"/>
          <w:rFonts w:ascii="宋体" w:hAnsi="宋体" w:eastAsia="宋体" w:cs="宋体"/>
          <w:sz w:val="27"/>
          <w:szCs w:val="27"/>
          <w:lang/>
        </w:rPr>
        <w:t>天津市严格能效约束推动重点领域节能降碳工作实施方案.docx</w:t>
      </w:r>
      <w:r>
        <w:rPr>
          <w:rStyle w:val="12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天津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市发展改革委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天津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市工业和信息化局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天津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市市场监管委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天津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市生态环境局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2022年4月29日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"https://www.pkulaw.com/lar/5d8893adb04b051c3ef09ef403578e46bdfb.html"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https://www.pkulaw.com/lar/5d8893adb04b051c3ef09ef403578e46bdfb.html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【法宝引证码】CLI.14.5085117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0D35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2023-01-28T15:00:41Z</dcterms:created>
  <dc:creator>xmintie.</dc:creator>
  <cp:lastModifiedBy>xmintie.</cp:lastModifiedBy>
  <dcterms:modified xsi:type="dcterms:W3CDTF">2023-01-28T15:00:41Z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9241EA1A24274F7798094D63EBC3AE32</vt:lpwstr>
  </property>
</Properties>
</file>