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6" w:name="_GoBack"/>
      <w:bookmarkEnd w:id="6"/>
      <w:r>
        <w:rPr>
          <w:rFonts w:ascii="Arial" w:hAnsi="Arial" w:eastAsia="Arial" w:cs="Arial"/>
          <w:b/>
          <w:bCs/>
          <w:lang/>
        </w:rPr>
        <w:t>天津市生态环境局关于2020年度碳排放配额有偿竞价发放的公告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天津市生态环境局关于2020年度碳排放配额有偿竞价发放的公告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根据《天津市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"https://www.pkulaw.com/chl/3bd82d2e15823813bdfb.html?way=textSlc"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碳排放权交易管理暂行办法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》（津政办规〔2020〕11号），经研究决定，开展我市2020年度碳排放配额有偿竞价发放，有关事项公告如下：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发放时间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2021年5月24日（星期一）上午9：30-11：30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发放总量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200　万吨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发放方式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由天津排放权交易所通过碳排放权交易系统组织竞价发放。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参与人资格和竞买量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我市试点纳入企业和天津排放权交易所会员投资机构可参与竞买。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单个试点纳入企业竞买量不得超过2019年度实际排放量的2%，单个投资机构竞买量不得超过8万吨。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竞买底价和成交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竞买底价为我市碳排放配额交易在2020年1月1日至2021年5月21日期间所有市场加权平均价，具体价格由天津排放权交易所于5月21日收市后公布。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竞买人报价不得低于竞买底价，在申报时间结束时按照价格优先、时间优先原则进行配对成交。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六、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其他事项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（一）此次配额有偿竞价发放的收入按规定缴入市级国库。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（二）此次配额有偿竞价发放的具体事宜由天津排放权交易所另行发布。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2021年5月18日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"https://www.pkulaw.com/lar/2238268d166ebe44ba0fe7bcfd3fdab8bdfb.html"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https://www.pkulaw.com/lar/2238268d166ebe44ba0fe7bcfd3fdab8bdfb.html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【法宝引证码】CLI.14.4074011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2B874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2023-01-28T15:01:09Z</dcterms:created>
  <dc:creator>xmintie.</dc:creator>
  <cp:lastModifiedBy>xmintie.</cp:lastModifiedBy>
  <dcterms:modified xsi:type="dcterms:W3CDTF">2023-01-28T15:01:09Z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0F2BCEA4F4D548D89DBA3D99687B0D04</vt:lpwstr>
  </property>
</Properties>
</file>